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3FAE" w14:textId="027D2E22" w:rsidR="00B43F7D" w:rsidRPr="00735BDE" w:rsidRDefault="00CC28E8" w:rsidP="003E6A06">
      <w:pPr>
        <w:spacing w:after="0" w:line="240" w:lineRule="auto"/>
        <w:ind w:left="2160"/>
        <w:rPr>
          <w:rFonts w:ascii="Inter" w:hAnsi="Inter" w:cs="Arial"/>
          <w:b/>
          <w:sz w:val="18"/>
          <w:szCs w:val="18"/>
        </w:rPr>
      </w:pPr>
      <w:r w:rsidRPr="00735BDE">
        <w:rPr>
          <w:rFonts w:ascii="Inter" w:hAnsi="Inter" w:cs="Arial"/>
          <w:b/>
          <w:sz w:val="18"/>
          <w:szCs w:val="18"/>
        </w:rPr>
        <w:t>Vote by correspondence</w:t>
      </w:r>
      <w:r w:rsidR="008E6F3B" w:rsidRPr="00735BDE">
        <w:rPr>
          <w:rFonts w:ascii="Inter" w:hAnsi="Inter" w:cs="Arial"/>
          <w:b/>
          <w:sz w:val="18"/>
          <w:szCs w:val="18"/>
        </w:rPr>
        <w:t xml:space="preserve"> </w:t>
      </w:r>
      <w:r w:rsidR="00B43F7D" w:rsidRPr="00735BDE">
        <w:rPr>
          <w:rFonts w:ascii="Inter" w:hAnsi="Inter" w:cs="Arial"/>
          <w:b/>
          <w:sz w:val="18"/>
          <w:szCs w:val="18"/>
        </w:rPr>
        <w:t xml:space="preserve">for BCR </w:t>
      </w:r>
      <w:r w:rsidRPr="00735BDE">
        <w:rPr>
          <w:rFonts w:ascii="Inter" w:hAnsi="Inter" w:cs="Arial"/>
          <w:b/>
          <w:sz w:val="18"/>
          <w:szCs w:val="18"/>
        </w:rPr>
        <w:t>O</w:t>
      </w:r>
      <w:r w:rsidR="00B43F7D" w:rsidRPr="00735BDE">
        <w:rPr>
          <w:rFonts w:ascii="Inter" w:hAnsi="Inter" w:cs="Arial"/>
          <w:b/>
          <w:sz w:val="18"/>
          <w:szCs w:val="18"/>
        </w:rPr>
        <w:t>rdinary General Shareholders Meeting</w:t>
      </w:r>
    </w:p>
    <w:p w14:paraId="3A0DFD8D" w14:textId="7AF7FA21" w:rsidR="00B43F7D" w:rsidRDefault="00B43F7D" w:rsidP="003E6A06">
      <w:pPr>
        <w:spacing w:after="0" w:line="240" w:lineRule="auto"/>
        <w:ind w:left="2160"/>
        <w:rPr>
          <w:rFonts w:ascii="Inter" w:hAnsi="Inter" w:cs="Arial"/>
          <w:b/>
          <w:sz w:val="18"/>
          <w:szCs w:val="18"/>
        </w:rPr>
      </w:pPr>
      <w:r w:rsidRPr="00735BDE">
        <w:rPr>
          <w:rFonts w:ascii="Inter" w:hAnsi="Inter" w:cs="Arial"/>
          <w:b/>
          <w:sz w:val="18"/>
          <w:szCs w:val="18"/>
        </w:rPr>
        <w:t xml:space="preserve">                       </w:t>
      </w:r>
      <w:r w:rsidR="00C23A82" w:rsidRPr="00735BDE">
        <w:rPr>
          <w:rFonts w:ascii="Inter" w:hAnsi="Inter" w:cs="Arial"/>
          <w:b/>
          <w:sz w:val="18"/>
          <w:szCs w:val="18"/>
        </w:rPr>
        <w:t xml:space="preserve">            </w:t>
      </w:r>
      <w:r w:rsidRPr="00735BDE">
        <w:rPr>
          <w:rFonts w:ascii="Inter" w:hAnsi="Inter" w:cs="Arial"/>
          <w:b/>
          <w:sz w:val="18"/>
          <w:szCs w:val="18"/>
        </w:rPr>
        <w:t xml:space="preserve">called </w:t>
      </w:r>
      <w:r w:rsidR="006A6344">
        <w:rPr>
          <w:rFonts w:ascii="Inter" w:hAnsi="Inter" w:cs="Arial"/>
          <w:b/>
          <w:sz w:val="18"/>
          <w:szCs w:val="18"/>
        </w:rPr>
        <w:t>on</w:t>
      </w:r>
      <w:r w:rsidR="00CC28E8" w:rsidRPr="00735BDE">
        <w:rPr>
          <w:rFonts w:ascii="Inter" w:hAnsi="Inter" w:cs="Arial"/>
          <w:b/>
          <w:sz w:val="18"/>
          <w:szCs w:val="18"/>
        </w:rPr>
        <w:t xml:space="preserve"> 2</w:t>
      </w:r>
      <w:r w:rsidR="00735BDE" w:rsidRPr="00735BDE">
        <w:rPr>
          <w:rFonts w:ascii="Inter" w:hAnsi="Inter" w:cs="Arial"/>
          <w:b/>
          <w:sz w:val="18"/>
          <w:szCs w:val="18"/>
        </w:rPr>
        <w:t>4</w:t>
      </w:r>
      <w:r w:rsidR="00CC28E8" w:rsidRPr="00735BDE">
        <w:rPr>
          <w:rFonts w:ascii="Inter" w:hAnsi="Inter" w:cs="Arial"/>
          <w:b/>
          <w:sz w:val="18"/>
          <w:szCs w:val="18"/>
        </w:rPr>
        <w:t>.0</w:t>
      </w:r>
      <w:r w:rsidR="0011776E" w:rsidRPr="00735BDE">
        <w:rPr>
          <w:rFonts w:ascii="Inter" w:hAnsi="Inter" w:cs="Arial"/>
          <w:b/>
          <w:sz w:val="18"/>
          <w:szCs w:val="18"/>
        </w:rPr>
        <w:t>4</w:t>
      </w:r>
      <w:r w:rsidR="00CC28E8" w:rsidRPr="00735BDE">
        <w:rPr>
          <w:rFonts w:ascii="Inter" w:hAnsi="Inter" w:cs="Arial"/>
          <w:b/>
          <w:sz w:val="18"/>
          <w:szCs w:val="18"/>
        </w:rPr>
        <w:t>.202</w:t>
      </w:r>
      <w:r w:rsidR="00735BDE" w:rsidRPr="00735BDE">
        <w:rPr>
          <w:rFonts w:ascii="Inter" w:hAnsi="Inter" w:cs="Arial"/>
          <w:b/>
          <w:sz w:val="18"/>
          <w:szCs w:val="18"/>
        </w:rPr>
        <w:t>3</w:t>
      </w:r>
    </w:p>
    <w:p w14:paraId="1643CFE2" w14:textId="77777777" w:rsidR="003A67AA" w:rsidRPr="00735BDE" w:rsidRDefault="003A67AA" w:rsidP="003E6A06">
      <w:pPr>
        <w:spacing w:after="0" w:line="240" w:lineRule="auto"/>
        <w:ind w:left="2160"/>
        <w:rPr>
          <w:rFonts w:ascii="Inter" w:hAnsi="Inter" w:cs="Arial"/>
          <w:b/>
          <w:sz w:val="18"/>
          <w:szCs w:val="18"/>
        </w:rPr>
      </w:pPr>
    </w:p>
    <w:p w14:paraId="5586BF78" w14:textId="77777777" w:rsidR="003A67AA" w:rsidRDefault="00CC28E8" w:rsidP="00CC28E8">
      <w:pPr>
        <w:spacing w:after="0" w:line="240" w:lineRule="auto"/>
        <w:jc w:val="both"/>
        <w:rPr>
          <w:rFonts w:ascii="Inter" w:hAnsi="Inter" w:cs="Arial"/>
          <w:b/>
          <w:sz w:val="18"/>
          <w:szCs w:val="18"/>
        </w:rPr>
      </w:pPr>
      <w:r w:rsidRPr="00735BDE">
        <w:rPr>
          <w:rFonts w:ascii="Inter" w:hAnsi="Inter" w:cs="Arial"/>
          <w:b/>
          <w:sz w:val="18"/>
          <w:szCs w:val="18"/>
        </w:rPr>
        <w:t>Name of the shareholder:</w:t>
      </w:r>
      <w:r w:rsidR="00C23A82" w:rsidRPr="00735BDE">
        <w:rPr>
          <w:rFonts w:ascii="Inter" w:hAnsi="Inter" w:cs="Arial"/>
          <w:b/>
          <w:sz w:val="18"/>
          <w:szCs w:val="18"/>
        </w:rPr>
        <w:t xml:space="preserve"> </w:t>
      </w:r>
      <w:r w:rsidR="00ED64B4" w:rsidRPr="00735BDE">
        <w:rPr>
          <w:rFonts w:ascii="Inter" w:hAnsi="Inter" w:cs="Arial"/>
          <w:b/>
          <w:sz w:val="18"/>
          <w:szCs w:val="18"/>
        </w:rPr>
        <w:t>…………………………..</w:t>
      </w:r>
    </w:p>
    <w:p w14:paraId="144F111E" w14:textId="27F0A215" w:rsidR="00CC28E8" w:rsidRPr="00735BDE" w:rsidRDefault="00CC28E8" w:rsidP="00CC28E8">
      <w:pPr>
        <w:spacing w:after="0" w:line="240" w:lineRule="auto"/>
        <w:jc w:val="both"/>
        <w:rPr>
          <w:rFonts w:ascii="Inter" w:hAnsi="Inter" w:cs="Arial"/>
          <w:b/>
          <w:sz w:val="18"/>
          <w:szCs w:val="18"/>
        </w:rPr>
      </w:pPr>
      <w:r w:rsidRPr="00735BDE">
        <w:rPr>
          <w:rFonts w:ascii="Inter" w:hAnsi="Inter" w:cs="Arial"/>
          <w:b/>
          <w:sz w:val="18"/>
          <w:szCs w:val="18"/>
        </w:rPr>
        <w:tab/>
      </w:r>
    </w:p>
    <w:p w14:paraId="3B9CD7E0" w14:textId="498B71CA" w:rsidR="007C78BB" w:rsidRPr="00735BDE" w:rsidRDefault="00CC28E8" w:rsidP="0011776E">
      <w:pPr>
        <w:jc w:val="both"/>
        <w:rPr>
          <w:rFonts w:ascii="Inter" w:hAnsi="Inter" w:cs="Tahoma"/>
          <w:sz w:val="18"/>
          <w:szCs w:val="18"/>
        </w:rPr>
      </w:pPr>
      <w:r w:rsidRPr="00735BDE">
        <w:rPr>
          <w:rFonts w:ascii="Inter" w:hAnsi="Inter" w:cs="Arial"/>
          <w:b/>
          <w:sz w:val="18"/>
          <w:szCs w:val="18"/>
          <w:lang w:val="pt-BR"/>
        </w:rPr>
        <w:t xml:space="preserve">Number of shares held by the shareholder </w:t>
      </w:r>
      <w:r w:rsidR="006A6344">
        <w:rPr>
          <w:rFonts w:ascii="Inter" w:hAnsi="Inter" w:cs="Arial"/>
          <w:b/>
          <w:sz w:val="18"/>
          <w:szCs w:val="18"/>
          <w:lang w:val="pt-BR"/>
        </w:rPr>
        <w:t xml:space="preserve">as of </w:t>
      </w:r>
      <w:r w:rsidRPr="00735BDE">
        <w:rPr>
          <w:rFonts w:ascii="Inter" w:hAnsi="Inter" w:cs="Arial"/>
          <w:b/>
          <w:sz w:val="18"/>
          <w:szCs w:val="18"/>
          <w:lang w:val="pt-BR"/>
        </w:rPr>
        <w:t>reference date 0</w:t>
      </w:r>
      <w:r w:rsidR="00884C4C" w:rsidRPr="00735BDE">
        <w:rPr>
          <w:rFonts w:ascii="Inter" w:hAnsi="Inter" w:cs="Arial"/>
          <w:b/>
          <w:sz w:val="18"/>
          <w:szCs w:val="18"/>
          <w:lang w:val="pt-BR"/>
        </w:rPr>
        <w:t>2</w:t>
      </w:r>
      <w:r w:rsidRPr="00735BDE">
        <w:rPr>
          <w:rFonts w:ascii="Inter" w:hAnsi="Inter" w:cs="Arial"/>
          <w:b/>
          <w:sz w:val="18"/>
          <w:szCs w:val="18"/>
          <w:lang w:val="pt-BR"/>
        </w:rPr>
        <w:t>.0</w:t>
      </w:r>
      <w:r w:rsidR="0011776E" w:rsidRPr="00735BDE">
        <w:rPr>
          <w:rFonts w:ascii="Inter" w:hAnsi="Inter" w:cs="Arial"/>
          <w:b/>
          <w:sz w:val="18"/>
          <w:szCs w:val="18"/>
          <w:lang w:val="pt-BR"/>
        </w:rPr>
        <w:t>4</w:t>
      </w:r>
      <w:r w:rsidRPr="00735BDE">
        <w:rPr>
          <w:rFonts w:ascii="Inter" w:hAnsi="Inter" w:cs="Arial"/>
          <w:b/>
          <w:sz w:val="18"/>
          <w:szCs w:val="18"/>
          <w:lang w:val="pt-BR"/>
        </w:rPr>
        <w:t>.202</w:t>
      </w:r>
      <w:r w:rsidR="00735BDE" w:rsidRPr="00735BDE">
        <w:rPr>
          <w:rFonts w:ascii="Inter" w:hAnsi="Inter" w:cs="Arial"/>
          <w:b/>
          <w:sz w:val="18"/>
          <w:szCs w:val="18"/>
          <w:lang w:val="pt-BR"/>
        </w:rPr>
        <w:t>3</w:t>
      </w:r>
      <w:r w:rsidRPr="00735BDE">
        <w:rPr>
          <w:rFonts w:ascii="Inter" w:hAnsi="Inter" w:cs="Arial"/>
          <w:b/>
          <w:sz w:val="18"/>
          <w:szCs w:val="18"/>
          <w:lang w:val="pt-BR"/>
        </w:rPr>
        <w:t xml:space="preserve">: </w:t>
      </w:r>
      <w:r w:rsidR="0011776E" w:rsidRPr="00735BDE">
        <w:rPr>
          <w:rFonts w:ascii="Inter" w:hAnsi="Inter" w:cs="Arial"/>
          <w:b/>
          <w:sz w:val="18"/>
          <w:szCs w:val="18"/>
          <w:lang w:val="pt-BR"/>
        </w:rPr>
        <w:t>......</w:t>
      </w:r>
      <w:r w:rsidR="00ED64B4" w:rsidRPr="00735BDE">
        <w:rPr>
          <w:rFonts w:ascii="Inter" w:hAnsi="Inter" w:cs="Arial"/>
          <w:b/>
          <w:sz w:val="18"/>
          <w:szCs w:val="18"/>
          <w:lang w:val="pt-BR"/>
        </w:rPr>
        <w:t>.......................</w:t>
      </w:r>
    </w:p>
    <w:p w14:paraId="402A27AC" w14:textId="39BDA62D" w:rsidR="00CC28E8" w:rsidRPr="00735BDE" w:rsidRDefault="00CC28E8" w:rsidP="0011776E">
      <w:pPr>
        <w:jc w:val="both"/>
        <w:rPr>
          <w:rFonts w:ascii="Inter" w:hAnsi="Inter" w:cs="Arial"/>
          <w:sz w:val="18"/>
          <w:szCs w:val="18"/>
          <w:lang w:val="en-GB"/>
        </w:rPr>
      </w:pPr>
      <w:r w:rsidRPr="00735BDE">
        <w:rPr>
          <w:rFonts w:ascii="Inter" w:hAnsi="Inter" w:cs="Arial"/>
          <w:sz w:val="18"/>
          <w:szCs w:val="18"/>
          <w:lang w:val="en-GB"/>
        </w:rPr>
        <w:t xml:space="preserve">I send you my </w:t>
      </w:r>
      <w:r w:rsidR="008E6F3B" w:rsidRPr="00735BDE">
        <w:rPr>
          <w:rFonts w:ascii="Inter" w:hAnsi="Inter" w:cs="Arial"/>
          <w:sz w:val="18"/>
          <w:szCs w:val="18"/>
          <w:lang w:val="en-GB"/>
        </w:rPr>
        <w:t>vote r</w:t>
      </w:r>
      <w:r w:rsidRPr="00735BDE">
        <w:rPr>
          <w:rFonts w:ascii="Inter" w:hAnsi="Inter" w:cs="Arial"/>
          <w:sz w:val="18"/>
          <w:szCs w:val="18"/>
          <w:lang w:val="en-GB"/>
        </w:rPr>
        <w:t xml:space="preserve">egarding the documents/proposals submitted for the </w:t>
      </w:r>
      <w:r w:rsidR="00884C4C" w:rsidRPr="00735BDE">
        <w:rPr>
          <w:rFonts w:ascii="Inter" w:hAnsi="Inter" w:cs="Arial"/>
          <w:sz w:val="18"/>
          <w:szCs w:val="18"/>
          <w:lang w:val="en-GB"/>
        </w:rPr>
        <w:t>O</w:t>
      </w:r>
      <w:r w:rsidR="00CF191F" w:rsidRPr="00735BDE">
        <w:rPr>
          <w:rFonts w:ascii="Inter" w:hAnsi="Inter" w:cs="Arial"/>
          <w:sz w:val="18"/>
          <w:szCs w:val="18"/>
          <w:lang w:val="en-GB"/>
        </w:rPr>
        <w:t xml:space="preserve">GSM </w:t>
      </w:r>
      <w:r w:rsidRPr="00735BDE">
        <w:rPr>
          <w:rFonts w:ascii="Inter" w:hAnsi="Inter" w:cs="Arial"/>
          <w:sz w:val="18"/>
          <w:szCs w:val="18"/>
          <w:lang w:val="en-GB"/>
        </w:rPr>
        <w:t>approval, as follows:</w:t>
      </w:r>
    </w:p>
    <w:tbl>
      <w:tblPr>
        <w:tblStyle w:val="TableGrid"/>
        <w:tblW w:w="10373" w:type="dxa"/>
        <w:tblLayout w:type="fixed"/>
        <w:tblLook w:val="01E0" w:firstRow="1" w:lastRow="1" w:firstColumn="1" w:lastColumn="1" w:noHBand="0" w:noVBand="0"/>
      </w:tblPr>
      <w:tblGrid>
        <w:gridCol w:w="828"/>
        <w:gridCol w:w="6390"/>
        <w:gridCol w:w="990"/>
        <w:gridCol w:w="990"/>
        <w:gridCol w:w="1175"/>
      </w:tblGrid>
      <w:tr w:rsidR="00CC28E8" w:rsidRPr="003E6A06" w14:paraId="4A173AAE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72E5B9F" w:rsidR="00CC28E8" w:rsidRPr="003E6A06" w:rsidRDefault="00847BED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No. item call notice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587DC990" w:rsidR="00CC28E8" w:rsidRPr="003E6A06" w:rsidRDefault="00CC28E8">
            <w:pPr>
              <w:spacing w:before="120"/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Document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3498B22C" w:rsidR="00CC28E8" w:rsidRPr="003E6A06" w:rsidRDefault="008E6F3B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I</w:t>
            </w:r>
            <w:r w:rsidR="00CC28E8" w:rsidRPr="003E6A06"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n </w:t>
            </w:r>
            <w:proofErr w:type="spellStart"/>
            <w:r w:rsidR="00CC28E8"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favour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274DB67A" w:rsidR="00CC28E8" w:rsidRPr="003E6A06" w:rsidRDefault="008E6F3B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A</w:t>
            </w:r>
            <w:r w:rsidR="00CC28E8"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gainst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154F8A6E" w:rsidR="00CC28E8" w:rsidRPr="003E6A06" w:rsidRDefault="008E6F3B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A</w:t>
            </w:r>
            <w:r w:rsidR="00CC28E8"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bstention</w:t>
            </w:r>
          </w:p>
        </w:tc>
      </w:tr>
      <w:tr w:rsidR="00CC28E8" w:rsidRPr="003E6A06" w14:paraId="4D102D65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F27" w14:textId="77777777" w:rsidR="00CC28E8" w:rsidRPr="003E6A06" w:rsidRDefault="00CC28E8" w:rsidP="00847BED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8C5" w14:textId="77777777" w:rsidR="00735BDE" w:rsidRPr="003E6A06" w:rsidRDefault="00735BDE" w:rsidP="00735BDE">
            <w:pPr>
              <w:tabs>
                <w:tab w:val="left" w:pos="900"/>
              </w:tabs>
              <w:autoSpaceDE w:val="0"/>
              <w:autoSpaceDN w:val="0"/>
              <w:jc w:val="both"/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Approval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of the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annual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financial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statements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for the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year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2022,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individual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for BCR and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consolidated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for BCR Group,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prepared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in accordance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with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the International Financial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Reporting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Standards,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audited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together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with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the </w:t>
            </w:r>
            <w:proofErr w:type="spellStart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>following</w:t>
            </w:r>
            <w:proofErr w:type="spellEnd"/>
            <w:r w:rsidRPr="003E6A06">
              <w:rPr>
                <w:rFonts w:ascii="Inter" w:hAnsi="Inter" w:cs="Arial"/>
                <w:b/>
                <w:bCs/>
                <w:sz w:val="16"/>
                <w:szCs w:val="16"/>
                <w:lang w:val="fr-FR"/>
              </w:rPr>
              <w:t xml:space="preserve"> reports : </w:t>
            </w:r>
          </w:p>
          <w:p w14:paraId="270268D6" w14:textId="77777777" w:rsidR="00735BDE" w:rsidRPr="003E6A06" w:rsidRDefault="00735BDE" w:rsidP="00735BDE">
            <w:pPr>
              <w:numPr>
                <w:ilvl w:val="1"/>
                <w:numId w:val="14"/>
              </w:numPr>
              <w:autoSpaceDE w:val="0"/>
              <w:autoSpaceDN w:val="0"/>
              <w:ind w:left="72" w:firstLine="450"/>
              <w:jc w:val="both"/>
              <w:rPr>
                <w:rFonts w:ascii="Inter" w:hAnsi="Inter" w:cs="Arial"/>
                <w:sz w:val="16"/>
                <w:szCs w:val="16"/>
                <w:lang w:val="fr-FR"/>
              </w:rPr>
            </w:pP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Separate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and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Consolidated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Administrators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’ Report for the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year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2022,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prepared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in accordance </w:t>
            </w:r>
            <w:bookmarkStart w:id="0" w:name="OLE_LINK2"/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with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NBR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Order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27/2010,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with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further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amendments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and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supplements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;</w:t>
            </w:r>
          </w:p>
          <w:bookmarkEnd w:id="0"/>
          <w:p w14:paraId="227CA738" w14:textId="77777777" w:rsidR="00735BDE" w:rsidRPr="003E6A06" w:rsidRDefault="00735BDE" w:rsidP="00735BDE">
            <w:pPr>
              <w:numPr>
                <w:ilvl w:val="1"/>
                <w:numId w:val="14"/>
              </w:numPr>
              <w:autoSpaceDE w:val="0"/>
              <w:autoSpaceDN w:val="0"/>
              <w:ind w:left="72" w:firstLine="450"/>
              <w:jc w:val="both"/>
              <w:rPr>
                <w:rFonts w:ascii="Inter" w:hAnsi="Inter" w:cs="Arial"/>
                <w:sz w:val="16"/>
                <w:szCs w:val="16"/>
                <w:lang w:val="fr-FR"/>
              </w:rPr>
            </w:pPr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Independent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auditor’s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Report on the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individual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annual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financial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statements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of BCR and on the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consolidated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financial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statements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of BCR Group for the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year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2022,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prepared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in accordance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with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IFRS; </w:t>
            </w:r>
          </w:p>
          <w:p w14:paraId="6A2E25FC" w14:textId="7F17A091" w:rsidR="008E6F3B" w:rsidRPr="003E6A06" w:rsidRDefault="00735BDE" w:rsidP="00735BDE">
            <w:pPr>
              <w:numPr>
                <w:ilvl w:val="1"/>
                <w:numId w:val="14"/>
              </w:numPr>
              <w:autoSpaceDE w:val="0"/>
              <w:autoSpaceDN w:val="0"/>
              <w:ind w:left="72" w:firstLine="450"/>
              <w:jc w:val="both"/>
              <w:rPr>
                <w:rFonts w:ascii="Inter" w:hAnsi="Inter" w:cs="Arial"/>
                <w:sz w:val="16"/>
                <w:szCs w:val="16"/>
              </w:rPr>
            </w:pP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Annual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Report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prepared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in accordance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with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Annex 15 to the FSA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Regulation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No. 5/2018,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with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further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amendments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 and </w:t>
            </w:r>
            <w:proofErr w:type="spellStart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>supplements</w:t>
            </w:r>
            <w:proofErr w:type="spellEnd"/>
            <w:r w:rsidRPr="003E6A06">
              <w:rPr>
                <w:rFonts w:ascii="Inter" w:hAnsi="Inter" w:cs="Arial"/>
                <w:sz w:val="16"/>
                <w:szCs w:val="16"/>
                <w:lang w:val="fr-FR"/>
              </w:rPr>
              <w:t xml:space="preserve">.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AB9" w14:textId="77777777" w:rsidR="00CC28E8" w:rsidRPr="003E6A06" w:rsidRDefault="00CC28E8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  <w:p w14:paraId="43BF521D" w14:textId="77777777" w:rsidR="00B453E9" w:rsidRPr="003E6A06" w:rsidRDefault="00B453E9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  <w:p w14:paraId="07741AE7" w14:textId="2E7BA7F0" w:rsidR="00B453E9" w:rsidRPr="003E6A06" w:rsidRDefault="00B453E9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CC28E8" w:rsidRPr="003E6A06" w:rsidRDefault="00CC28E8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CC28E8" w:rsidRPr="003E6A06" w:rsidRDefault="00CC28E8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B43F7D" w:rsidRPr="003E6A06" w14:paraId="33024D4C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41B" w14:textId="7CB66847" w:rsidR="00B43F7D" w:rsidRPr="003E6A06" w:rsidRDefault="00B43F7D" w:rsidP="00847BED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39D" w14:textId="69845748" w:rsidR="00B43F7D" w:rsidRPr="003E6A06" w:rsidRDefault="00B43F7D" w:rsidP="00B453E9">
            <w:pPr>
              <w:jc w:val="both"/>
              <w:rPr>
                <w:rFonts w:ascii="Inter" w:hAnsi="Inter" w:cs="Arial"/>
                <w:sz w:val="16"/>
                <w:szCs w:val="16"/>
                <w:lang w:val="ro-RO"/>
              </w:rPr>
            </w:pPr>
            <w:r w:rsidRPr="003E6A06">
              <w:rPr>
                <w:rFonts w:ascii="Inter" w:hAnsi="Inter" w:cs="Arial"/>
                <w:b/>
                <w:sz w:val="16"/>
                <w:szCs w:val="16"/>
              </w:rPr>
              <w:t>Approval of the 20</w:t>
            </w:r>
            <w:r w:rsidR="0011776E" w:rsidRPr="003E6A06">
              <w:rPr>
                <w:rFonts w:ascii="Inter" w:hAnsi="Inter" w:cs="Arial"/>
                <w:b/>
                <w:sz w:val="16"/>
                <w:szCs w:val="16"/>
              </w:rPr>
              <w:t>2</w:t>
            </w:r>
            <w:r w:rsidR="00735BDE" w:rsidRPr="003E6A06">
              <w:rPr>
                <w:rFonts w:ascii="Inter" w:hAnsi="Inter" w:cs="Arial"/>
                <w:b/>
                <w:sz w:val="16"/>
                <w:szCs w:val="16"/>
              </w:rPr>
              <w:t>2</w:t>
            </w:r>
            <w:r w:rsidRPr="003E6A06">
              <w:rPr>
                <w:rFonts w:ascii="Inter" w:hAnsi="Inter" w:cs="Arial"/>
                <w:b/>
                <w:sz w:val="16"/>
                <w:szCs w:val="16"/>
              </w:rPr>
              <w:t xml:space="preserve"> profit distribution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DF6CF" w14:textId="77777777" w:rsidR="00B43F7D" w:rsidRPr="003E6A06" w:rsidRDefault="00B43F7D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</w:tr>
      <w:tr w:rsidR="003E6A06" w:rsidRPr="003E6A06" w14:paraId="4C5EC0EB" w14:textId="77777777" w:rsidTr="003E6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ACC" w14:textId="1AA8776E" w:rsidR="003E6A06" w:rsidRPr="003E6A06" w:rsidRDefault="003E6A06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BAB" w14:textId="6022B9CD" w:rsidR="003E6A06" w:rsidRPr="003E6A06" w:rsidRDefault="003E6A06" w:rsidP="003E6A06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  <w:highlight w:val="yellow"/>
              </w:rPr>
            </w:pPr>
            <w:r w:rsidRPr="003E6A06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Distribution of the net profit for the financial year 202</w:t>
            </w:r>
            <w:r w:rsidR="00295B49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2</w:t>
            </w:r>
            <w:r w:rsidRPr="003E6A06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in amount of RON 1,830,015,908</w:t>
            </w:r>
            <w:r w:rsidR="00295B49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,</w:t>
            </w:r>
            <w:r w:rsidRPr="003E6A06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as follows: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F8481" w14:textId="3BB7D58B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B2A59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457F3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</w:tr>
      <w:tr w:rsidR="003E6A06" w:rsidRPr="003E6A06" w14:paraId="6930BEFB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E660" w14:textId="6444C8EC" w:rsidR="003E6A06" w:rsidRPr="003E6A06" w:rsidRDefault="0058461D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  </w:t>
            </w:r>
            <w:r w:rsidR="003E6A06"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2.1. 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906" w14:textId="33ECF81F" w:rsidR="003E6A06" w:rsidRPr="003E6A06" w:rsidRDefault="003E6A06" w:rsidP="003A67AA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  <w:highlight w:val="yellow"/>
              </w:rPr>
            </w:pPr>
            <w:r w:rsidRPr="003E6A06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Other Reserves - RON 73,547,564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79B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926A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AF" w14:textId="790C929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</w:tr>
      <w:tr w:rsidR="003E6A06" w:rsidRPr="003E6A06" w14:paraId="75B32DFE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BB5" w14:textId="40556443" w:rsidR="003E6A06" w:rsidRPr="003E6A06" w:rsidRDefault="0058461D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 </w:t>
            </w:r>
            <w:r w:rsidR="003E6A06"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2.1. b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350" w14:textId="153DA462" w:rsidR="003E6A06" w:rsidRPr="003E6A06" w:rsidRDefault="003E6A06" w:rsidP="003A67AA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  <w:highlight w:val="yellow"/>
              </w:rPr>
            </w:pPr>
            <w:r w:rsidRPr="003E6A06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Dividend distribution - RON 1,189,510,340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59E" w14:textId="7260957A" w:rsidR="003E6A06" w:rsidRPr="003E6A06" w:rsidRDefault="003E6A06" w:rsidP="003E6A06">
            <w:pPr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B45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4CFC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</w:tr>
      <w:tr w:rsidR="003E6A06" w:rsidRPr="003E6A06" w14:paraId="2B6F062A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88E" w14:textId="3DDCE33F" w:rsidR="003E6A06" w:rsidRPr="003E6A06" w:rsidRDefault="0058461D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  </w:t>
            </w:r>
            <w:r w:rsidR="003E6A06"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2.1.b1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F80" w14:textId="7925A569" w:rsidR="003E6A06" w:rsidRPr="003E6A06" w:rsidRDefault="003E6A06" w:rsidP="003A67AA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  <w:highlight w:val="yellow"/>
              </w:rPr>
            </w:pPr>
            <w:r w:rsidRPr="003E6A06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Ordinary dividends – RON 1,145,561,239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904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8E48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C93" w14:textId="5E01AE16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</w:tr>
      <w:tr w:rsidR="003E6A06" w:rsidRPr="003E6A06" w14:paraId="60B2C9F0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992" w14:textId="16DEC5EF" w:rsidR="003E6A06" w:rsidRPr="003E6A06" w:rsidRDefault="0058461D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>
              <w:rPr>
                <w:rFonts w:ascii="Inter" w:hAnsi="Inter" w:cs="Arial"/>
                <w:b/>
                <w:bCs/>
                <w:sz w:val="16"/>
                <w:szCs w:val="16"/>
              </w:rPr>
              <w:t xml:space="preserve">   </w:t>
            </w:r>
            <w:r w:rsidR="003E6A06">
              <w:rPr>
                <w:rFonts w:ascii="Inter" w:hAnsi="Inter" w:cs="Arial"/>
                <w:b/>
                <w:bCs/>
                <w:sz w:val="16"/>
                <w:szCs w:val="16"/>
              </w:rPr>
              <w:t>2.1.b2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E1E" w14:textId="41200D5C" w:rsidR="003E6A06" w:rsidRPr="003E6A06" w:rsidRDefault="003E6A06" w:rsidP="003A67AA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r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AT1 dividends</w:t>
            </w:r>
            <w:r w:rsidR="00D87241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r w:rsidR="00D87241" w:rsidRPr="00D87241">
              <w:rPr>
                <w:rFonts w:ascii="Inter" w:hAnsi="Inter" w:cs="Arial"/>
                <w:sz w:val="16"/>
                <w:szCs w:val="16"/>
                <w:lang w:val="fr-FR"/>
              </w:rPr>
              <w:t>(</w:t>
            </w:r>
            <w:proofErr w:type="spellStart"/>
            <w:r w:rsidR="00D87241" w:rsidRPr="00D87241">
              <w:rPr>
                <w:rFonts w:ascii="Inter" w:hAnsi="Inter" w:cs="Arial"/>
                <w:sz w:val="16"/>
                <w:szCs w:val="16"/>
                <w:lang w:val="fr-FR"/>
              </w:rPr>
              <w:t>Dividends</w:t>
            </w:r>
            <w:proofErr w:type="spellEnd"/>
            <w:r w:rsidR="00D87241" w:rsidRPr="00D87241">
              <w:rPr>
                <w:rFonts w:ascii="Inter" w:hAnsi="Inter" w:cs="Arial"/>
                <w:sz w:val="16"/>
                <w:szCs w:val="16"/>
                <w:lang w:val="fr-FR"/>
              </w:rPr>
              <w:t xml:space="preserve"> for bonds)</w:t>
            </w:r>
            <w:r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– RON 43,949,102</w:t>
            </w:r>
            <w:r w:rsidR="00D87241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B0F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973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2F0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  <w:highlight w:val="yellow"/>
              </w:rPr>
            </w:pPr>
          </w:p>
        </w:tc>
      </w:tr>
      <w:tr w:rsidR="003E6A06" w:rsidRPr="003E6A06" w14:paraId="506463ED" w14:textId="77777777" w:rsidTr="003E6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4F0" w14:textId="449ECA1B" w:rsidR="003E6A06" w:rsidRPr="003E6A06" w:rsidRDefault="003E6A06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D81E7D">
              <w:rPr>
                <w:rFonts w:ascii="Inter" w:hAnsi="Inter" w:cs="Arial"/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EFF" w14:textId="578A56EB" w:rsidR="003E6A06" w:rsidRPr="003E6A06" w:rsidRDefault="003E6A06" w:rsidP="003A67AA">
            <w:pPr>
              <w:spacing w:before="2"/>
              <w:ind w:right="63" w:hanging="20"/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  <w:highlight w:val="yellow"/>
              </w:rPr>
            </w:pPr>
            <w:r w:rsidRPr="00D81E7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Re</w:t>
            </w:r>
            <w:r w:rsidR="00F51AFA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tained earnings </w:t>
            </w:r>
            <w:r w:rsidRPr="00D81E7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- RON 566,9</w:t>
            </w:r>
            <w:r w:rsidR="006A6344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5</w:t>
            </w:r>
            <w:r w:rsidRPr="00D81E7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8,004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53C" w14:textId="77777777" w:rsidR="003E6A06" w:rsidRPr="003E6A06" w:rsidRDefault="003E6A06" w:rsidP="003E6A06">
            <w:pPr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E85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3120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E6A06" w:rsidRPr="003E6A06" w14:paraId="3D4D2091" w14:textId="77777777" w:rsidTr="003E6A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B7C" w14:textId="7BC4047B" w:rsidR="003E6A06" w:rsidRPr="003E6A06" w:rsidRDefault="003E6A06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D81E7D">
              <w:rPr>
                <w:rFonts w:ascii="Inter" w:hAnsi="Inter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678" w14:textId="013BBF75" w:rsidR="003E6A06" w:rsidRPr="003E6A06" w:rsidRDefault="003E6A06" w:rsidP="003A67AA">
            <w:pPr>
              <w:spacing w:before="2"/>
              <w:ind w:right="63" w:hanging="20"/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  <w:highlight w:val="yellow"/>
              </w:rPr>
            </w:pPr>
            <w:r w:rsidRPr="00D81E7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Payment of dividends, in compliance with the provisions of the Fiscal Code regarding withholding tax: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0ABF0" w14:textId="01805A56" w:rsidR="003E6A06" w:rsidRPr="003E6A06" w:rsidRDefault="003E6A06" w:rsidP="003E6A06">
            <w:pPr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107ED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A04F6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E6A06" w:rsidRPr="003E6A06" w14:paraId="3E1CDFD6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D05" w14:textId="079C6C32" w:rsidR="003E6A06" w:rsidRPr="003E6A06" w:rsidRDefault="003E6A06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D81E7D">
              <w:rPr>
                <w:rFonts w:ascii="Inter" w:hAnsi="Inter" w:cs="Arial"/>
                <w:b/>
                <w:bCs/>
                <w:sz w:val="16"/>
                <w:szCs w:val="16"/>
              </w:rPr>
              <w:t>2.2a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733" w14:textId="176B2E7C" w:rsidR="003E6A06" w:rsidRPr="003E6A06" w:rsidRDefault="003E6A06" w:rsidP="003A67AA">
            <w:pPr>
              <w:autoSpaceDE w:val="0"/>
              <w:autoSpaceDN w:val="0"/>
              <w:adjustRightInd w:val="0"/>
              <w:ind w:left="-20" w:firstLine="20"/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  <w:highlight w:val="yellow"/>
              </w:rPr>
            </w:pPr>
            <w:r w:rsidRPr="00425772">
              <w:rPr>
                <w:rFonts w:ascii="Inter" w:hAnsi="Inter" w:cs="Arial-BoldMT"/>
                <w:b/>
                <w:bCs/>
                <w:sz w:val="16"/>
                <w:szCs w:val="16"/>
              </w:rPr>
              <w:t xml:space="preserve">Dividends related to AT1 instruments </w:t>
            </w:r>
            <w:r w:rsidR="00295B49">
              <w:rPr>
                <w:rFonts w:ascii="Inter" w:hAnsi="Inter" w:cs="Arial-BoldMT"/>
                <w:b/>
                <w:bCs/>
                <w:sz w:val="16"/>
                <w:szCs w:val="16"/>
              </w:rPr>
              <w:t>–</w:t>
            </w:r>
            <w:r w:rsidR="006A6344">
              <w:rPr>
                <w:rFonts w:ascii="Inter" w:hAnsi="Inter" w:cs="Arial-BoldMT"/>
                <w:b/>
                <w:bCs/>
                <w:sz w:val="16"/>
                <w:szCs w:val="16"/>
              </w:rPr>
              <w:t xml:space="preserve"> </w:t>
            </w:r>
            <w:r w:rsidR="00295B49">
              <w:rPr>
                <w:rFonts w:ascii="Inter" w:hAnsi="Inter" w:cs="Arial-BoldMT"/>
                <w:b/>
                <w:bCs/>
                <w:sz w:val="16"/>
                <w:szCs w:val="16"/>
              </w:rPr>
              <w:t xml:space="preserve">to be </w:t>
            </w:r>
            <w:r w:rsidRPr="00C647AE">
              <w:rPr>
                <w:rFonts w:ascii="Inter" w:hAnsi="Inter" w:cs="ArialMT"/>
                <w:b/>
                <w:bCs/>
                <w:sz w:val="16"/>
                <w:szCs w:val="16"/>
              </w:rPr>
              <w:t>paid on 29th May 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3B6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232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9347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E6A06" w:rsidRPr="003E6A06" w14:paraId="181DF531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D608" w14:textId="02FD899D" w:rsidR="003E6A06" w:rsidRPr="003E6A06" w:rsidRDefault="003E6A06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D81E7D">
              <w:rPr>
                <w:rFonts w:ascii="Inter" w:hAnsi="Inter" w:cs="Arial"/>
                <w:b/>
                <w:bCs/>
                <w:sz w:val="16"/>
                <w:szCs w:val="16"/>
              </w:rPr>
              <w:t>2.2b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AC67" w14:textId="73FCE1CD" w:rsidR="003E6A06" w:rsidRPr="003E6A06" w:rsidRDefault="003E6A06" w:rsidP="003A67AA">
            <w:pPr>
              <w:spacing w:before="2"/>
              <w:ind w:left="-20" w:right="65" w:firstLine="20"/>
              <w:jc w:val="both"/>
              <w:rPr>
                <w:rFonts w:ascii="Inter" w:hAnsi="Inter" w:cs="Arial"/>
                <w:b/>
                <w:sz w:val="16"/>
                <w:szCs w:val="16"/>
                <w:highlight w:val="yellow"/>
                <w:lang w:val="ro-RO"/>
              </w:rPr>
            </w:pPr>
            <w:r w:rsidRPr="00425772">
              <w:rPr>
                <w:rFonts w:ascii="Inter" w:hAnsi="Inter" w:cs="Arial-BoldMT"/>
                <w:b/>
                <w:bCs/>
                <w:sz w:val="16"/>
                <w:szCs w:val="16"/>
              </w:rPr>
              <w:t xml:space="preserve">Ordinary dividends </w:t>
            </w:r>
            <w:r w:rsidR="006A6344">
              <w:rPr>
                <w:rFonts w:ascii="Inter" w:hAnsi="Inter" w:cs="Arial-BoldMT"/>
                <w:b/>
                <w:bCs/>
                <w:sz w:val="16"/>
                <w:szCs w:val="16"/>
              </w:rPr>
              <w:t xml:space="preserve">- </w:t>
            </w:r>
            <w:r w:rsidRPr="00C647AE">
              <w:rPr>
                <w:rFonts w:ascii="Inter" w:hAnsi="Inter" w:cs="ArialMT"/>
                <w:b/>
                <w:bCs/>
                <w:sz w:val="16"/>
                <w:szCs w:val="16"/>
              </w:rPr>
              <w:t xml:space="preserve">to be paid </w:t>
            </w:r>
            <w:r w:rsidR="006A6344">
              <w:rPr>
                <w:rFonts w:ascii="Inter" w:hAnsi="Inter" w:cs="ArialMT"/>
                <w:b/>
                <w:bCs/>
                <w:sz w:val="16"/>
                <w:szCs w:val="16"/>
              </w:rPr>
              <w:t xml:space="preserve">until </w:t>
            </w:r>
            <w:r w:rsidRPr="00C647AE">
              <w:rPr>
                <w:rFonts w:ascii="Inter" w:hAnsi="Inter" w:cs="ArialMT"/>
                <w:b/>
                <w:bCs/>
                <w:sz w:val="16"/>
                <w:szCs w:val="16"/>
              </w:rPr>
              <w:t>31st of May</w:t>
            </w:r>
            <w:r w:rsidR="006A6344">
              <w:rPr>
                <w:rFonts w:ascii="Inter" w:hAnsi="Inter" w:cs="ArialMT"/>
                <w:b/>
                <w:bCs/>
                <w:sz w:val="16"/>
                <w:szCs w:val="16"/>
              </w:rPr>
              <w:t xml:space="preserve"> 2023,</w:t>
            </w:r>
            <w:r w:rsidR="006A6344" w:rsidRPr="006D670A">
              <w:rPr>
                <w:rFonts w:ascii="Inter" w:hAnsi="Inter" w:cs="ArialMT"/>
                <w:b/>
                <w:bCs/>
                <w:sz w:val="16"/>
                <w:szCs w:val="16"/>
              </w:rPr>
              <w:t xml:space="preserve"> at the latest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76F" w14:textId="56D3A24D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A1F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736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E6A06" w:rsidRPr="003E6A06" w14:paraId="69B74BE0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56F" w14:textId="404A5FDB" w:rsidR="003E6A06" w:rsidRPr="003E6A06" w:rsidRDefault="003E6A06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D81E7D">
              <w:rPr>
                <w:rFonts w:ascii="Inter" w:hAnsi="Inter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EEE" w14:textId="76EBE8D5" w:rsidR="003E6A06" w:rsidRPr="003E6A06" w:rsidRDefault="003E6A06" w:rsidP="003A67AA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r w:rsidRPr="00D81E7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Maintaining the inclusion in the Basic Tier 1 Own Funds of the retained earnings, other accumulated earnings, other reserves and funds for general banking risks in compliance with the provisions of Regulation 575/2013 u</w:t>
            </w:r>
            <w:r w:rsidR="006A6344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ntil</w:t>
            </w:r>
            <w:r w:rsidRPr="00D81E7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any other decisions of the GSM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E80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A0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6E6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E6A06" w:rsidRPr="003E6A06" w14:paraId="0CA29C75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666" w14:textId="05D64E25" w:rsidR="003E6A06" w:rsidRPr="003E6A06" w:rsidRDefault="003E6A06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D81E7D">
              <w:rPr>
                <w:rFonts w:ascii="Inter" w:hAnsi="Inter" w:cs="Arial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20E" w14:textId="476F681D" w:rsidR="003E6A06" w:rsidRPr="003E6A06" w:rsidRDefault="003E6A06" w:rsidP="003A67AA">
            <w:pPr>
              <w:spacing w:before="2"/>
              <w:ind w:left="-20" w:right="65" w:firstLine="20"/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r w:rsidRPr="00C647AE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Continuing in 2023</w:t>
            </w:r>
            <w:r w:rsidRPr="00D81E7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to apply for the fiscal facility related to the reinvested profit with the consequence that the investment value from the net profit will have to be mandator</w:t>
            </w:r>
            <w:r w:rsidR="006A6344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y</w:t>
            </w:r>
            <w:r w:rsidRPr="00D81E7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allocated to</w:t>
            </w:r>
            <w:r w:rsidR="006A6344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 xml:space="preserve"> </w:t>
            </w:r>
            <w:r w:rsidRPr="00D81E7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“Other reserves” category within total Bank’s equity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7540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AA3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D83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E6A06" w:rsidRPr="003E6A06" w14:paraId="20B3D17D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5C5" w14:textId="1BA96A8B" w:rsidR="003E6A06" w:rsidRPr="003E6A06" w:rsidRDefault="003E6A06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D81E7D">
              <w:rPr>
                <w:rFonts w:ascii="Inter" w:hAnsi="Inter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10E" w14:textId="17F9F715" w:rsidR="003E6A06" w:rsidRPr="003E6A06" w:rsidRDefault="003E6A06" w:rsidP="003A67AA">
            <w:pPr>
              <w:jc w:val="both"/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</w:pPr>
            <w:r w:rsidRPr="00D81E7D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Approval of the discharging of liability for the Supervisory Board members and the Management Board members for 2022 financial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4B1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E7C7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BB4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  <w:tr w:rsidR="003E6A06" w:rsidRPr="003E6A06" w14:paraId="1C70E6A3" w14:textId="77777777" w:rsidTr="00B453E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D33" w14:textId="3787C902" w:rsidR="003E6A06" w:rsidRPr="003E6A06" w:rsidRDefault="003E6A06" w:rsidP="003E6A06">
            <w:pPr>
              <w:jc w:val="center"/>
              <w:rPr>
                <w:rFonts w:ascii="Inter" w:hAnsi="Inter" w:cs="Arial"/>
                <w:b/>
                <w:bCs/>
                <w:sz w:val="16"/>
                <w:szCs w:val="16"/>
              </w:rPr>
            </w:pPr>
            <w:r w:rsidRPr="003E6A06">
              <w:rPr>
                <w:rFonts w:ascii="Inter" w:hAnsi="Inter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041" w14:textId="7078CF0F" w:rsidR="003E6A06" w:rsidRPr="003E6A06" w:rsidRDefault="003E6A06" w:rsidP="003A67AA">
            <w:pPr>
              <w:jc w:val="both"/>
              <w:rPr>
                <w:lang w:val="ro-RO"/>
              </w:rPr>
            </w:pPr>
            <w:r w:rsidRPr="003E6A06">
              <w:rPr>
                <w:rFonts w:ascii="Inter" w:eastAsia="Times New Roman" w:hAnsi="Inter" w:cs="Arial"/>
                <w:b/>
                <w:bCs/>
                <w:sz w:val="16"/>
                <w:szCs w:val="16"/>
              </w:rPr>
              <w:t>Approval of the remuneration structure for the members of BCR Supervisory Board for the year 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61C" w14:textId="10063636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685D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99C" w14:textId="77777777" w:rsidR="003E6A06" w:rsidRPr="003E6A06" w:rsidRDefault="003E6A06" w:rsidP="003E6A06">
            <w:pPr>
              <w:jc w:val="center"/>
              <w:rPr>
                <w:rFonts w:ascii="Inter" w:hAnsi="Inter" w:cs="Arial"/>
                <w:bCs/>
                <w:sz w:val="16"/>
                <w:szCs w:val="16"/>
              </w:rPr>
            </w:pPr>
          </w:p>
        </w:tc>
      </w:tr>
    </w:tbl>
    <w:p w14:paraId="00AA6139" w14:textId="6FD920D5" w:rsidR="00CC28E8" w:rsidRPr="003E6A06" w:rsidRDefault="001E2CDD" w:rsidP="001E2CDD">
      <w:pPr>
        <w:spacing w:after="0" w:line="240" w:lineRule="auto"/>
        <w:jc w:val="both"/>
        <w:rPr>
          <w:rFonts w:ascii="Inter" w:hAnsi="Inter" w:cs="Arial"/>
          <w:sz w:val="16"/>
          <w:szCs w:val="16"/>
          <w:lang w:eastAsia="ro-RO"/>
        </w:rPr>
      </w:pPr>
      <w:r w:rsidRPr="003E6A06">
        <w:rPr>
          <w:rFonts w:ascii="Inter" w:hAnsi="Inter" w:cs="Arial"/>
          <w:sz w:val="16"/>
          <w:szCs w:val="16"/>
          <w:lang w:eastAsia="ro-RO"/>
        </w:rPr>
        <w:t>Note: Will be ticked the box corresponding to the vote. The other boxes will not be completed with any signs.</w:t>
      </w:r>
    </w:p>
    <w:p w14:paraId="77CD8DFA" w14:textId="57BA5114" w:rsidR="00B453E9" w:rsidRPr="003E6A06" w:rsidRDefault="00B453E9" w:rsidP="001E2CDD">
      <w:pPr>
        <w:spacing w:after="0" w:line="240" w:lineRule="auto"/>
        <w:jc w:val="both"/>
        <w:rPr>
          <w:rFonts w:ascii="Inter" w:hAnsi="Inter" w:cs="Arial"/>
          <w:sz w:val="16"/>
          <w:szCs w:val="16"/>
          <w:lang w:eastAsia="ro-RO"/>
        </w:rPr>
      </w:pPr>
    </w:p>
    <w:p w14:paraId="21C559BD" w14:textId="2B106999" w:rsidR="00D417FA" w:rsidRPr="003E6A06" w:rsidRDefault="00D417FA" w:rsidP="001E2CDD">
      <w:pPr>
        <w:spacing w:after="0" w:line="240" w:lineRule="auto"/>
        <w:jc w:val="both"/>
        <w:rPr>
          <w:rFonts w:ascii="Inter" w:hAnsi="Inter" w:cs="Arial"/>
          <w:sz w:val="16"/>
          <w:szCs w:val="16"/>
          <w:lang w:eastAsia="ro-RO"/>
        </w:rPr>
      </w:pPr>
    </w:p>
    <w:p w14:paraId="1A7C297E" w14:textId="297AA3A7" w:rsidR="00D417FA" w:rsidRPr="003E6A06" w:rsidRDefault="00D417FA" w:rsidP="00D417FA">
      <w:pPr>
        <w:jc w:val="both"/>
        <w:rPr>
          <w:rFonts w:ascii="Inter" w:hAnsi="Inter" w:cs="Arial"/>
          <w:b/>
          <w:sz w:val="16"/>
          <w:szCs w:val="16"/>
          <w:lang w:val="pt-BR"/>
        </w:rPr>
      </w:pPr>
      <w:r w:rsidRPr="003E6A06">
        <w:rPr>
          <w:rFonts w:ascii="Inter" w:hAnsi="Inter" w:cs="Arial"/>
          <w:b/>
          <w:sz w:val="16"/>
          <w:szCs w:val="16"/>
          <w:lang w:val="pt-BR"/>
        </w:rPr>
        <w:t xml:space="preserve">              Signature</w:t>
      </w:r>
      <w:r w:rsidRPr="003E6A06">
        <w:rPr>
          <w:rFonts w:ascii="Inter" w:hAnsi="Inter" w:cs="Arial"/>
          <w:b/>
          <w:sz w:val="16"/>
          <w:szCs w:val="16"/>
          <w:lang w:val="pt-BR"/>
        </w:rPr>
        <w:tab/>
      </w:r>
      <w:r w:rsidRPr="003E6A06">
        <w:rPr>
          <w:rFonts w:ascii="Inter" w:hAnsi="Inter" w:cs="Arial"/>
          <w:b/>
          <w:sz w:val="16"/>
          <w:szCs w:val="16"/>
          <w:lang w:val="pt-BR"/>
        </w:rPr>
        <w:tab/>
        <w:t xml:space="preserve"> . . . . . . . . . . . . </w:t>
      </w:r>
    </w:p>
    <w:p w14:paraId="2850795A" w14:textId="534CE492" w:rsidR="00D417FA" w:rsidRPr="003E6A06" w:rsidRDefault="00D417FA" w:rsidP="00D417FA">
      <w:pPr>
        <w:jc w:val="both"/>
        <w:rPr>
          <w:rFonts w:ascii="Inter" w:hAnsi="Inter" w:cs="Arial"/>
          <w:sz w:val="16"/>
          <w:szCs w:val="16"/>
        </w:rPr>
      </w:pPr>
      <w:r w:rsidRPr="003E6A06">
        <w:rPr>
          <w:rFonts w:ascii="Inter" w:hAnsi="Inter" w:cs="Arial"/>
          <w:b/>
          <w:sz w:val="16"/>
          <w:szCs w:val="16"/>
          <w:lang w:val="pt-BR"/>
        </w:rPr>
        <w:tab/>
        <w:t>Date</w:t>
      </w:r>
      <w:r w:rsidRPr="003E6A06">
        <w:rPr>
          <w:rFonts w:ascii="Inter" w:hAnsi="Inter" w:cs="Arial"/>
          <w:b/>
          <w:sz w:val="16"/>
          <w:szCs w:val="16"/>
          <w:lang w:val="pt-BR"/>
        </w:rPr>
        <w:tab/>
      </w:r>
      <w:r w:rsidRPr="003E6A06">
        <w:rPr>
          <w:rFonts w:ascii="Inter" w:hAnsi="Inter" w:cs="Arial"/>
          <w:b/>
          <w:sz w:val="16"/>
          <w:szCs w:val="16"/>
          <w:lang w:val="pt-BR"/>
        </w:rPr>
        <w:tab/>
        <w:t xml:space="preserve">  . . . . . . . . . . .</w:t>
      </w:r>
    </w:p>
    <w:p w14:paraId="3313D26B" w14:textId="77777777" w:rsidR="00D417FA" w:rsidRPr="003E6A06" w:rsidRDefault="00D417FA" w:rsidP="001E2CDD">
      <w:pPr>
        <w:spacing w:after="0" w:line="240" w:lineRule="auto"/>
        <w:jc w:val="both"/>
        <w:rPr>
          <w:rFonts w:ascii="Inter" w:hAnsi="Inter" w:cs="Arial"/>
          <w:sz w:val="16"/>
          <w:szCs w:val="16"/>
          <w:lang w:eastAsia="ro-RO"/>
        </w:rPr>
      </w:pPr>
    </w:p>
    <w:sectPr w:rsidR="00D417FA" w:rsidRPr="003E6A06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ADD5" w14:textId="77777777" w:rsidR="0001204D" w:rsidRDefault="0001204D" w:rsidP="00CE576A">
      <w:pPr>
        <w:spacing w:after="0" w:line="240" w:lineRule="auto"/>
      </w:pPr>
      <w:r>
        <w:separator/>
      </w:r>
    </w:p>
  </w:endnote>
  <w:endnote w:type="continuationSeparator" w:id="0">
    <w:p w14:paraId="316D62F2" w14:textId="77777777" w:rsidR="0001204D" w:rsidRDefault="0001204D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C79C" w14:textId="77777777" w:rsidR="0001204D" w:rsidRDefault="0001204D" w:rsidP="00CE576A">
      <w:pPr>
        <w:spacing w:after="0" w:line="240" w:lineRule="auto"/>
      </w:pPr>
      <w:r>
        <w:separator/>
      </w:r>
    </w:p>
  </w:footnote>
  <w:footnote w:type="continuationSeparator" w:id="0">
    <w:p w14:paraId="5C53D3C8" w14:textId="77777777" w:rsidR="0001204D" w:rsidRDefault="0001204D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7A2F" w14:textId="75353DC3" w:rsidR="005126D9" w:rsidRDefault="006A63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FA19E6F" wp14:editId="1EC7E1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920" cy="3425825"/>
              <wp:effectExtent l="0" t="1247775" r="0" b="7175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920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0833B" w14:textId="77777777" w:rsidR="006A6344" w:rsidRDefault="006A6344" w:rsidP="006A6344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19E6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49.6pt;height:269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Nw9AEAAMUDAAAOAAAAZHJzL2Uyb0RvYy54bWysU8Fy0zAQvTPDP2h0J3YMgcQTpxNayqVA&#10;Z5pOz4okxwZLK1ZK7Px9V4qbMHDr4IPGXklv33v7vLwaTMcOGn0LtuLTSc6ZthJUa3cVf9zcvptz&#10;5oOwSnRgdcWP2vOr1ds3y96VuoAGOqWREYj1Ze8q3oTgyizzstFG+Ak4bWmzBjQi0CfuMoWiJ3TT&#10;ZUWef8x6QOUQpPaeqjenTb5K+HWtZfhR114H1lWcuIW0Ylq3cc1WS1HuULimlSMN8QoWRrSWmp6h&#10;bkQQbI/tP1CmlQge6jCRYDKo61bqpIHUTPO/1Dw0wumkhczx7myT/3+w8vvhwd0jC8NnGGiASYR3&#10;dyB/eWbhuhF2p9eI0DdaKGo85edyorc5Ohprqm70EL6oljyeRl+z3vlyxI/z8KWPnbb9N1B0RewD&#10;pG5DjYYhxGvzRR6fVCZvGDGioR3Pg6IGTFJx9ilfLArakrT3/kMxmxez1FKUES0OwqEPXzUYFl8q&#10;jpSEBCsOdz5EdpcjI9XI7sQzDNuBjkTKW1BHIt1TQiruf+8FajJgb66BAkWqawTzRBFcY5L90nkz&#10;PAl0Y+9AtO+7l4QkAikqillhohPqJwGZjoJ3EB2bJQtOFMfDI9kTarzr3Zrsu22TkgvPUQllJQkc&#10;cx3D+Od3OnX5+1bPAAAA//8DAFBLAwQUAAYACAAAACEApgCEANwAAAAFAQAADwAAAGRycy9kb3du&#10;cmV2LnhtbEyPwU7DMBBE70j8g7VI3KhDq6ImxKkQEYce2yLObrxN0trrEDtNytezcIHLSqMZzbzN&#10;15Oz4oJ9aD0peJwlIJAqb1qqFbzv3x5WIELUZLT1hAquGGBd3N7kOjN+pC1edrEWXEIh0wqaGLtM&#10;ylA16HSY+Q6JvaPvnY4s+1qaXo9c7qycJ8mTdLolXmh0h68NVufd4BSYr+O1W4zjfrPZlsOnbcsS&#10;P05K3d9NL88gIk7xLww/+IwOBTMd/EAmCKuAH4m/l71Vms5BHBQsF+kSZJHL//TFNwAAAP//AwBQ&#10;SwECLQAUAAYACAAAACEAtoM4kv4AAADhAQAAEwAAAAAAAAAAAAAAAAAAAAAAW0NvbnRlbnRfVHlw&#10;ZXNdLnhtbFBLAQItABQABgAIAAAAIQA4/SH/1gAAAJQBAAALAAAAAAAAAAAAAAAAAC8BAABfcmVs&#10;cy8ucmVsc1BLAQItABQABgAIAAAAIQCzD+Nw9AEAAMUDAAAOAAAAAAAAAAAAAAAAAC4CAABkcnMv&#10;ZTJvRG9jLnhtbFBLAQItABQABgAIAAAAIQCmAIQA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9B0833B" w14:textId="77777777" w:rsidR="006A6344" w:rsidRDefault="006A6344" w:rsidP="006A6344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5" w:type="dxa"/>
      <w:tblCellSpacing w:w="11" w:type="dxa"/>
      <w:tblInd w:w="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9"/>
      <w:gridCol w:w="2489"/>
      <w:gridCol w:w="2488"/>
      <w:gridCol w:w="2499"/>
    </w:tblGrid>
    <w:tr w:rsidR="00735BDE" w14:paraId="18EF909B" w14:textId="77777777" w:rsidTr="00E85F00">
      <w:trPr>
        <w:tblCellSpacing w:w="11" w:type="dxa"/>
      </w:trPr>
      <w:tc>
        <w:tcPr>
          <w:tcW w:w="2467" w:type="dxa"/>
          <w:hideMark/>
        </w:tcPr>
        <w:p w14:paraId="2932957E" w14:textId="2E6E36A2" w:rsidR="00735BDE" w:rsidRDefault="00735BDE" w:rsidP="00735BDE">
          <w:pPr>
            <w:pStyle w:val="Header"/>
            <w:spacing w:line="160" w:lineRule="exact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1" layoutInCell="1" allowOverlap="1" wp14:anchorId="15383AC0" wp14:editId="396D3A9C">
                <wp:simplePos x="0" y="0"/>
                <wp:positionH relativeFrom="page">
                  <wp:posOffset>-8890</wp:posOffset>
                </wp:positionH>
                <wp:positionV relativeFrom="page">
                  <wp:posOffset>31750</wp:posOffset>
                </wp:positionV>
                <wp:extent cx="706120" cy="2743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7" w:type="dxa"/>
        </w:tcPr>
        <w:p w14:paraId="149DD007" w14:textId="77777777" w:rsidR="00735BDE" w:rsidRDefault="00735BDE" w:rsidP="00735BDE">
          <w:pPr>
            <w:pStyle w:val="Header"/>
            <w:spacing w:line="160" w:lineRule="exact"/>
            <w:rPr>
              <w:sz w:val="14"/>
              <w:szCs w:val="14"/>
            </w:rPr>
          </w:pPr>
        </w:p>
      </w:tc>
      <w:tc>
        <w:tcPr>
          <w:tcW w:w="2466" w:type="dxa"/>
        </w:tcPr>
        <w:p w14:paraId="05425A70" w14:textId="77777777" w:rsidR="00735BDE" w:rsidRDefault="00735BDE" w:rsidP="00735BDE">
          <w:pPr>
            <w:pStyle w:val="Header"/>
            <w:spacing w:line="160" w:lineRule="exact"/>
            <w:rPr>
              <w:sz w:val="14"/>
              <w:szCs w:val="14"/>
            </w:rPr>
          </w:pPr>
        </w:p>
      </w:tc>
      <w:tc>
        <w:tcPr>
          <w:tcW w:w="2466" w:type="dxa"/>
        </w:tcPr>
        <w:p w14:paraId="5D942F83" w14:textId="77777777" w:rsidR="00735BDE" w:rsidRDefault="00735BDE" w:rsidP="00735BDE">
          <w:pPr>
            <w:pStyle w:val="Header"/>
            <w:spacing w:line="160" w:lineRule="exact"/>
            <w:rPr>
              <w:sz w:val="14"/>
              <w:szCs w:val="14"/>
            </w:rPr>
          </w:pPr>
        </w:p>
      </w:tc>
    </w:tr>
  </w:tbl>
  <w:p w14:paraId="398B3FE2" w14:textId="77777777" w:rsidR="00735BDE" w:rsidRDefault="00735BDE" w:rsidP="00735BDE">
    <w:pPr>
      <w:rPr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</w:pPr>
  </w:p>
  <w:tbl>
    <w:tblPr>
      <w:tblW w:w="2186" w:type="dxa"/>
      <w:tblInd w:w="77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6"/>
    </w:tblGrid>
    <w:tr w:rsidR="00735BDE" w14:paraId="706C3D0A" w14:textId="77777777" w:rsidTr="003E6A06">
      <w:trPr>
        <w:trHeight w:val="3386"/>
      </w:trPr>
      <w:tc>
        <w:tcPr>
          <w:tcW w:w="2186" w:type="dxa"/>
        </w:tcPr>
        <w:p w14:paraId="2E1E9612" w14:textId="77777777" w:rsidR="00735BDE" w:rsidRDefault="00735BDE" w:rsidP="00735BDE">
          <w:pPr>
            <w:pStyle w:val="Info"/>
            <w:rPr>
              <w:lang w:val="ro-RO"/>
            </w:rPr>
          </w:pPr>
          <w:bookmarkStart w:id="1" w:name="OLE_LINK1"/>
          <w:bookmarkStart w:id="2" w:name="OLE_LINK3"/>
          <w:r>
            <w:rPr>
              <w:lang w:val="ro-RO"/>
            </w:rPr>
            <w:t>Banca Comercială Română S.A.</w:t>
          </w:r>
        </w:p>
        <w:p w14:paraId="667009A0" w14:textId="77777777" w:rsidR="00735BDE" w:rsidRDefault="00735BDE" w:rsidP="00735BDE">
          <w:pPr>
            <w:pStyle w:val="Info"/>
            <w:rPr>
              <w:lang w:val="ro-RO"/>
            </w:rPr>
          </w:pPr>
          <w:r>
            <w:rPr>
              <w:lang w:val="ro-RO"/>
            </w:rPr>
            <w:t>Societate administrată în sistem dualist</w:t>
          </w:r>
        </w:p>
        <w:p w14:paraId="732E3E33" w14:textId="77777777" w:rsidR="00735BDE" w:rsidRDefault="00735BDE" w:rsidP="00735BDE">
          <w:pPr>
            <w:pStyle w:val="Info"/>
            <w:rPr>
              <w:lang w:val="ro-RO"/>
            </w:rPr>
          </w:pPr>
          <w:r>
            <w:rPr>
              <w:lang w:val="ro-RO"/>
            </w:rPr>
            <w:t xml:space="preserve">www.bcr.ro </w:t>
          </w:r>
        </w:p>
        <w:p w14:paraId="50152D20" w14:textId="77777777" w:rsidR="00735BDE" w:rsidRDefault="00735BDE" w:rsidP="00735BDE">
          <w:pPr>
            <w:pStyle w:val="Info"/>
            <w:rPr>
              <w:lang w:val="ro-RO"/>
            </w:rPr>
          </w:pPr>
        </w:p>
        <w:p w14:paraId="5771158A" w14:textId="77777777" w:rsidR="00735BDE" w:rsidRDefault="00735BDE" w:rsidP="00735BDE">
          <w:pPr>
            <w:pStyle w:val="Info"/>
            <w:rPr>
              <w:lang w:val="ro-RO"/>
            </w:rPr>
          </w:pPr>
          <w:r>
            <w:rPr>
              <w:lang w:val="ro-RO"/>
            </w:rPr>
            <w:t xml:space="preserve">Calea Plevnei nr. 159, Business Garden Bucharest, Clădirea A, </w:t>
          </w:r>
          <w:r>
            <w:rPr>
              <w:spacing w:val="-4"/>
              <w:lang w:val="ro-RO"/>
            </w:rPr>
            <w:t>Etaj 6, sector 6, București, cod poștal 060013</w:t>
          </w:r>
        </w:p>
        <w:p w14:paraId="12C16C5C" w14:textId="77777777" w:rsidR="00735BDE" w:rsidRDefault="00735BDE" w:rsidP="00735BDE">
          <w:pPr>
            <w:pStyle w:val="Info"/>
            <w:rPr>
              <w:lang w:val="ro-RO"/>
            </w:rPr>
          </w:pPr>
        </w:p>
        <w:p w14:paraId="2166C171" w14:textId="77777777" w:rsidR="00735BDE" w:rsidRDefault="00735BDE" w:rsidP="00735BDE">
          <w:pPr>
            <w:pStyle w:val="Info"/>
            <w:rPr>
              <w:lang w:val="ro-RO"/>
            </w:rPr>
          </w:pPr>
          <w:r>
            <w:rPr>
              <w:lang w:val="ro-RO"/>
            </w:rPr>
            <w:t>Înmatriculată la Registrul Comerţului: J40/90/1991</w:t>
          </w:r>
        </w:p>
        <w:p w14:paraId="7E17D27B" w14:textId="77777777" w:rsidR="00735BDE" w:rsidRDefault="00735BDE" w:rsidP="00735BDE">
          <w:pPr>
            <w:pStyle w:val="Info"/>
            <w:rPr>
              <w:lang w:val="ro-RO"/>
            </w:rPr>
          </w:pPr>
          <w:r>
            <w:rPr>
              <w:lang w:val="ro-RO"/>
            </w:rPr>
            <w:t>Înmatriculată la Registrul</w:t>
          </w:r>
        </w:p>
        <w:p w14:paraId="72F2AEFE" w14:textId="77777777" w:rsidR="00735BDE" w:rsidRDefault="00735BDE" w:rsidP="00735BDE">
          <w:pPr>
            <w:pStyle w:val="Info"/>
            <w:rPr>
              <w:lang w:val="ro-RO"/>
            </w:rPr>
          </w:pPr>
          <w:r>
            <w:rPr>
              <w:lang w:val="ro-RO"/>
            </w:rPr>
            <w:t xml:space="preserve">Instituțiilor de Credit: </w:t>
          </w:r>
        </w:p>
        <w:p w14:paraId="63303F48" w14:textId="77777777" w:rsidR="00735BDE" w:rsidRDefault="00735BDE" w:rsidP="00735BDE">
          <w:pPr>
            <w:pStyle w:val="Info"/>
            <w:rPr>
              <w:lang w:val="ro-RO"/>
            </w:rPr>
          </w:pPr>
          <w:r>
            <w:rPr>
              <w:lang w:val="ro-RO"/>
            </w:rPr>
            <w:t>Nr. RB-PJR-40-008/18.02.1999</w:t>
          </w:r>
        </w:p>
        <w:p w14:paraId="4CF8947B" w14:textId="77777777" w:rsidR="00735BDE" w:rsidRDefault="00735BDE" w:rsidP="00735BDE">
          <w:pPr>
            <w:pStyle w:val="Info"/>
            <w:rPr>
              <w:lang w:val="ro-RO"/>
            </w:rPr>
          </w:pPr>
        </w:p>
        <w:p w14:paraId="77651F07" w14:textId="77777777" w:rsidR="00735BDE" w:rsidRDefault="00735BDE" w:rsidP="00735BDE">
          <w:pPr>
            <w:pStyle w:val="Info"/>
            <w:rPr>
              <w:spacing w:val="-6"/>
              <w:lang w:val="ro-RO"/>
            </w:rPr>
          </w:pPr>
          <w:r>
            <w:rPr>
              <w:spacing w:val="-6"/>
              <w:lang w:val="ro-RO"/>
            </w:rPr>
            <w:t>Cod Unic de Înregistrare: RO 361757</w:t>
          </w:r>
        </w:p>
        <w:p w14:paraId="7D644268" w14:textId="77777777" w:rsidR="00735BDE" w:rsidRDefault="00735BDE" w:rsidP="00735BDE">
          <w:pPr>
            <w:pStyle w:val="Info"/>
            <w:rPr>
              <w:spacing w:val="-4"/>
              <w:lang w:val="ro-RO"/>
            </w:rPr>
          </w:pPr>
          <w:r>
            <w:rPr>
              <w:spacing w:val="-4"/>
              <w:lang w:val="ro-RO"/>
            </w:rPr>
            <w:t>Capital Social: 1.625.341.625,40 lei</w:t>
          </w:r>
        </w:p>
        <w:p w14:paraId="0A547B28" w14:textId="77777777" w:rsidR="00735BDE" w:rsidRDefault="00735BDE" w:rsidP="00735BDE">
          <w:pPr>
            <w:pStyle w:val="Info"/>
            <w:rPr>
              <w:lang w:val="ro-RO"/>
            </w:rPr>
          </w:pPr>
          <w:r>
            <w:rPr>
              <w:lang w:val="ro-RO"/>
            </w:rPr>
            <w:t>SWIFT: RNCB RO BU</w:t>
          </w:r>
        </w:p>
        <w:p w14:paraId="66056C3F" w14:textId="77777777" w:rsidR="00735BDE" w:rsidRDefault="00735BDE" w:rsidP="00735BDE">
          <w:pPr>
            <w:pStyle w:val="Info"/>
            <w:rPr>
              <w:lang w:val="ro-RO"/>
            </w:rPr>
          </w:pPr>
        </w:p>
        <w:p w14:paraId="791687FF" w14:textId="77777777" w:rsidR="00735BDE" w:rsidRDefault="00735BDE" w:rsidP="00735BDE">
          <w:pPr>
            <w:pStyle w:val="Info"/>
            <w:rPr>
              <w:lang w:val="ro-RO"/>
            </w:rPr>
          </w:pPr>
        </w:p>
      </w:tc>
      <w:bookmarkEnd w:id="1"/>
    </w:tr>
    <w:bookmarkEnd w:id="2"/>
  </w:tbl>
  <w:p w14:paraId="04F73838" w14:textId="77777777" w:rsidR="00310A12" w:rsidRDefault="00310A12" w:rsidP="00735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41E"/>
    <w:multiLevelType w:val="hybridMultilevel"/>
    <w:tmpl w:val="AB44BCAA"/>
    <w:lvl w:ilvl="0" w:tplc="D62E1C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1449A"/>
    <w:multiLevelType w:val="hybridMultilevel"/>
    <w:tmpl w:val="1C30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92B0C2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EAA1EA0"/>
    <w:multiLevelType w:val="hybridMultilevel"/>
    <w:tmpl w:val="1DD24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84A57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C74AC"/>
    <w:multiLevelType w:val="hybridMultilevel"/>
    <w:tmpl w:val="CDFA66E2"/>
    <w:lvl w:ilvl="0" w:tplc="7C70397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C2786"/>
    <w:multiLevelType w:val="hybridMultilevel"/>
    <w:tmpl w:val="A23ED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  <w:num w:numId="16">
    <w:abstractNumId w:val="1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D1"/>
    <w:rsid w:val="00001FF2"/>
    <w:rsid w:val="000025B3"/>
    <w:rsid w:val="0001204D"/>
    <w:rsid w:val="000422AA"/>
    <w:rsid w:val="000D12D7"/>
    <w:rsid w:val="00101ABC"/>
    <w:rsid w:val="0011776E"/>
    <w:rsid w:val="00127BDA"/>
    <w:rsid w:val="00131834"/>
    <w:rsid w:val="0013698A"/>
    <w:rsid w:val="001468FA"/>
    <w:rsid w:val="0016349B"/>
    <w:rsid w:val="001814D1"/>
    <w:rsid w:val="001B43B4"/>
    <w:rsid w:val="001B7093"/>
    <w:rsid w:val="001C2F41"/>
    <w:rsid w:val="001C4BCF"/>
    <w:rsid w:val="001C71A3"/>
    <w:rsid w:val="001E2CDD"/>
    <w:rsid w:val="00220119"/>
    <w:rsid w:val="00236978"/>
    <w:rsid w:val="00236C19"/>
    <w:rsid w:val="00250406"/>
    <w:rsid w:val="00295B49"/>
    <w:rsid w:val="002B69AF"/>
    <w:rsid w:val="002E6704"/>
    <w:rsid w:val="00302A44"/>
    <w:rsid w:val="00310A12"/>
    <w:rsid w:val="003414A9"/>
    <w:rsid w:val="0035566B"/>
    <w:rsid w:val="00371BC4"/>
    <w:rsid w:val="00374169"/>
    <w:rsid w:val="00375CC8"/>
    <w:rsid w:val="003A67AA"/>
    <w:rsid w:val="003E6A06"/>
    <w:rsid w:val="004469C0"/>
    <w:rsid w:val="00447C2C"/>
    <w:rsid w:val="0045535F"/>
    <w:rsid w:val="00465C0A"/>
    <w:rsid w:val="004C6C03"/>
    <w:rsid w:val="00502511"/>
    <w:rsid w:val="005126D9"/>
    <w:rsid w:val="00540425"/>
    <w:rsid w:val="00561C71"/>
    <w:rsid w:val="005662EB"/>
    <w:rsid w:val="0058024C"/>
    <w:rsid w:val="0058461D"/>
    <w:rsid w:val="005B2411"/>
    <w:rsid w:val="005E71ED"/>
    <w:rsid w:val="00674D0E"/>
    <w:rsid w:val="00680052"/>
    <w:rsid w:val="00697C2A"/>
    <w:rsid w:val="006A6344"/>
    <w:rsid w:val="00701249"/>
    <w:rsid w:val="00702736"/>
    <w:rsid w:val="007044F3"/>
    <w:rsid w:val="00716C9A"/>
    <w:rsid w:val="0072576B"/>
    <w:rsid w:val="00735BDE"/>
    <w:rsid w:val="00754F89"/>
    <w:rsid w:val="00774809"/>
    <w:rsid w:val="00781612"/>
    <w:rsid w:val="007A1062"/>
    <w:rsid w:val="007C269A"/>
    <w:rsid w:val="007C3A08"/>
    <w:rsid w:val="007C78BB"/>
    <w:rsid w:val="007F27D1"/>
    <w:rsid w:val="00812CCC"/>
    <w:rsid w:val="0083180F"/>
    <w:rsid w:val="0084443E"/>
    <w:rsid w:val="00847BED"/>
    <w:rsid w:val="00867B96"/>
    <w:rsid w:val="00884C4C"/>
    <w:rsid w:val="008B2518"/>
    <w:rsid w:val="008E6F3B"/>
    <w:rsid w:val="008F5A6C"/>
    <w:rsid w:val="00900C19"/>
    <w:rsid w:val="009737C6"/>
    <w:rsid w:val="00994330"/>
    <w:rsid w:val="009D3C9A"/>
    <w:rsid w:val="00A05E2B"/>
    <w:rsid w:val="00A14E62"/>
    <w:rsid w:val="00A35A4F"/>
    <w:rsid w:val="00A646DF"/>
    <w:rsid w:val="00A75331"/>
    <w:rsid w:val="00A803CB"/>
    <w:rsid w:val="00A82DA1"/>
    <w:rsid w:val="00A84F27"/>
    <w:rsid w:val="00AA1753"/>
    <w:rsid w:val="00AB1FC6"/>
    <w:rsid w:val="00AB324B"/>
    <w:rsid w:val="00AC739B"/>
    <w:rsid w:val="00AD74CC"/>
    <w:rsid w:val="00AE427F"/>
    <w:rsid w:val="00AE5D12"/>
    <w:rsid w:val="00AE6180"/>
    <w:rsid w:val="00AF3CFC"/>
    <w:rsid w:val="00B22E91"/>
    <w:rsid w:val="00B36633"/>
    <w:rsid w:val="00B42094"/>
    <w:rsid w:val="00B43F7D"/>
    <w:rsid w:val="00B453E9"/>
    <w:rsid w:val="00B46B0B"/>
    <w:rsid w:val="00BD77F6"/>
    <w:rsid w:val="00BF23C6"/>
    <w:rsid w:val="00C23A82"/>
    <w:rsid w:val="00C443D1"/>
    <w:rsid w:val="00C647AE"/>
    <w:rsid w:val="00C77558"/>
    <w:rsid w:val="00C9131E"/>
    <w:rsid w:val="00CC28E8"/>
    <w:rsid w:val="00CE576A"/>
    <w:rsid w:val="00CF191F"/>
    <w:rsid w:val="00CF5609"/>
    <w:rsid w:val="00D04ACE"/>
    <w:rsid w:val="00D417FA"/>
    <w:rsid w:val="00D45651"/>
    <w:rsid w:val="00D458FB"/>
    <w:rsid w:val="00D5618E"/>
    <w:rsid w:val="00D87241"/>
    <w:rsid w:val="00DB05BC"/>
    <w:rsid w:val="00DC13DF"/>
    <w:rsid w:val="00DD2388"/>
    <w:rsid w:val="00DE3D00"/>
    <w:rsid w:val="00DE5222"/>
    <w:rsid w:val="00E05D3E"/>
    <w:rsid w:val="00E23B1A"/>
    <w:rsid w:val="00E4257C"/>
    <w:rsid w:val="00E66976"/>
    <w:rsid w:val="00E75100"/>
    <w:rsid w:val="00ED64B4"/>
    <w:rsid w:val="00EE5E72"/>
    <w:rsid w:val="00F037F1"/>
    <w:rsid w:val="00F072CD"/>
    <w:rsid w:val="00F07530"/>
    <w:rsid w:val="00F07F73"/>
    <w:rsid w:val="00F33FF2"/>
    <w:rsid w:val="00F51AFA"/>
    <w:rsid w:val="00F64980"/>
    <w:rsid w:val="00F6587D"/>
    <w:rsid w:val="00F6797E"/>
    <w:rsid w:val="00F86DF5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Info">
    <w:name w:val="Info"/>
    <w:basedOn w:val="Normal"/>
    <w:uiPriority w:val="11"/>
    <w:qFormat/>
    <w:rsid w:val="00735BDE"/>
    <w:pPr>
      <w:spacing w:after="0" w:line="160" w:lineRule="exact"/>
    </w:pPr>
    <w:rPr>
      <w:rFonts w:ascii="Inter" w:eastAsia="Inter" w:hAnsi="Inter" w:cs="Times New Roman"/>
      <w:color w:val="303030"/>
      <w:sz w:val="1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CDC8-6021-4478-9BF3-48B6C001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Catalina Voicu BCR</cp:lastModifiedBy>
  <cp:revision>9</cp:revision>
  <cp:lastPrinted>2019-10-15T05:46:00Z</cp:lastPrinted>
  <dcterms:created xsi:type="dcterms:W3CDTF">2023-03-28T07:02:00Z</dcterms:created>
  <dcterms:modified xsi:type="dcterms:W3CDTF">2023-04-06T06:31:00Z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DocumentFN">
    <vt:lpwstr>C:\DATA\DiskC\My Documents\AGA\2023\24.04.2023\buletine vot\AGOA\OGSM voting ballot by corespondence 24.04.2023.docx</vt:lpwstr>
  </property>
  <property fmtid="{D5CDD505-2E9C-101B-9397-08002B2CF9AE}" pid="12" name="DocumentId">
    <vt:lpwstr>3b865eb3-40b2-4e2b-87b0-3488303dffa9</vt:lpwstr>
  </property>
</Properties>
</file>