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8B5D" w14:textId="69C43B6C" w:rsidR="00CC28E8" w:rsidRPr="00EB7BED" w:rsidRDefault="00B46B0B" w:rsidP="0039556E">
      <w:pPr>
        <w:ind w:left="2160"/>
        <w:rPr>
          <w:rFonts w:ascii="Inter" w:hAnsi="Inter" w:cs="Arial"/>
          <w:b/>
          <w:sz w:val="18"/>
          <w:szCs w:val="18"/>
        </w:rPr>
      </w:pPr>
      <w:r w:rsidRPr="00EB7BED">
        <w:rPr>
          <w:rFonts w:ascii="Inter" w:hAnsi="Inter" w:cs="Arial"/>
          <w:b/>
          <w:sz w:val="18"/>
          <w:szCs w:val="18"/>
        </w:rPr>
        <w:t xml:space="preserve">    </w:t>
      </w:r>
      <w:r w:rsidR="00BF23C6" w:rsidRPr="00EB7BED">
        <w:rPr>
          <w:rFonts w:ascii="Inter" w:hAnsi="Inter" w:cs="Arial"/>
          <w:b/>
          <w:sz w:val="18"/>
          <w:szCs w:val="18"/>
        </w:rPr>
        <w:t xml:space="preserve">     </w:t>
      </w:r>
      <w:r w:rsidR="00EB7BED">
        <w:rPr>
          <w:rFonts w:ascii="Inter" w:hAnsi="Inter" w:cs="Arial"/>
          <w:b/>
          <w:sz w:val="18"/>
          <w:szCs w:val="18"/>
        </w:rPr>
        <w:t xml:space="preserve">          </w:t>
      </w:r>
      <w:r w:rsidR="00BF23C6" w:rsidRPr="00EB7BED">
        <w:rPr>
          <w:rFonts w:ascii="Inter" w:hAnsi="Inter" w:cs="Arial"/>
          <w:b/>
          <w:sz w:val="18"/>
          <w:szCs w:val="18"/>
        </w:rPr>
        <w:t xml:space="preserve">   </w:t>
      </w:r>
      <w:r w:rsidR="0039556E" w:rsidRPr="00EB7BED">
        <w:rPr>
          <w:rFonts w:ascii="Inter" w:hAnsi="Inter" w:cs="Arial"/>
          <w:b/>
          <w:sz w:val="18"/>
          <w:szCs w:val="18"/>
        </w:rPr>
        <w:t xml:space="preserve"> </w:t>
      </w:r>
      <w:proofErr w:type="spellStart"/>
      <w:r w:rsidR="00CC28E8" w:rsidRPr="00EB7BED">
        <w:rPr>
          <w:rFonts w:ascii="Inter" w:hAnsi="Inter" w:cs="Arial"/>
          <w:b/>
          <w:sz w:val="18"/>
          <w:szCs w:val="18"/>
        </w:rPr>
        <w:t>Vot</w:t>
      </w:r>
      <w:proofErr w:type="spellEnd"/>
      <w:r w:rsidR="00CC28E8" w:rsidRPr="00EB7BED">
        <w:rPr>
          <w:rFonts w:ascii="Inter" w:hAnsi="Inter" w:cs="Arial"/>
          <w:b/>
          <w:sz w:val="18"/>
          <w:szCs w:val="18"/>
        </w:rPr>
        <w:t xml:space="preserve"> </w:t>
      </w:r>
      <w:proofErr w:type="spellStart"/>
      <w:r w:rsidR="00CC28E8" w:rsidRPr="00EB7BED">
        <w:rPr>
          <w:rFonts w:ascii="Inter" w:hAnsi="Inter" w:cs="Arial"/>
          <w:b/>
          <w:sz w:val="18"/>
          <w:szCs w:val="18"/>
        </w:rPr>
        <w:t>prin</w:t>
      </w:r>
      <w:proofErr w:type="spellEnd"/>
      <w:r w:rsidR="00CC28E8" w:rsidRPr="00EB7BED">
        <w:rPr>
          <w:rFonts w:ascii="Inter" w:hAnsi="Inter" w:cs="Arial"/>
          <w:b/>
          <w:sz w:val="18"/>
          <w:szCs w:val="18"/>
        </w:rPr>
        <w:t xml:space="preserve"> </w:t>
      </w:r>
      <w:proofErr w:type="spellStart"/>
      <w:r w:rsidR="00CC28E8" w:rsidRPr="00EB7BED">
        <w:rPr>
          <w:rFonts w:ascii="Inter" w:hAnsi="Inter" w:cs="Arial"/>
          <w:b/>
          <w:sz w:val="18"/>
          <w:szCs w:val="18"/>
        </w:rPr>
        <w:t>corespondenţă</w:t>
      </w:r>
      <w:proofErr w:type="spellEnd"/>
      <w:r w:rsidR="0039556E" w:rsidRPr="00EB7BED">
        <w:rPr>
          <w:rFonts w:ascii="Inter" w:hAnsi="Inter" w:cs="Arial"/>
          <w:b/>
          <w:sz w:val="18"/>
          <w:szCs w:val="18"/>
        </w:rPr>
        <w:t xml:space="preserve"> </w:t>
      </w:r>
      <w:r w:rsidR="00CC28E8" w:rsidRPr="00EB7BED">
        <w:rPr>
          <w:rFonts w:ascii="Inter" w:hAnsi="Inter" w:cs="Arial"/>
          <w:b/>
          <w:sz w:val="18"/>
          <w:szCs w:val="18"/>
          <w:lang w:val="pt-BR"/>
        </w:rPr>
        <w:t>pentru</w:t>
      </w:r>
      <w:r w:rsidR="0039556E" w:rsidRPr="00EB7BED">
        <w:rPr>
          <w:rFonts w:ascii="Inter" w:hAnsi="Inter" w:cs="Arial"/>
          <w:b/>
          <w:sz w:val="18"/>
          <w:szCs w:val="18"/>
          <w:lang w:val="pt-BR"/>
        </w:rPr>
        <w:t xml:space="preserve"> </w:t>
      </w:r>
      <w:r w:rsidR="00CC28E8" w:rsidRPr="00EB7BED">
        <w:rPr>
          <w:rFonts w:ascii="Inter" w:hAnsi="Inter" w:cs="Arial"/>
          <w:b/>
          <w:sz w:val="18"/>
          <w:szCs w:val="18"/>
        </w:rPr>
        <w:t>AGOA BCR</w:t>
      </w:r>
    </w:p>
    <w:p w14:paraId="4066E04D" w14:textId="48164E9E" w:rsidR="00CC28E8" w:rsidRPr="00EB7BED" w:rsidRDefault="00CC28E8" w:rsidP="00CC28E8">
      <w:pPr>
        <w:jc w:val="center"/>
        <w:rPr>
          <w:rFonts w:ascii="Inter" w:hAnsi="Inter" w:cs="Arial"/>
          <w:b/>
          <w:sz w:val="18"/>
          <w:szCs w:val="18"/>
        </w:rPr>
      </w:pPr>
      <w:proofErr w:type="spellStart"/>
      <w:r w:rsidRPr="00EB7BED">
        <w:rPr>
          <w:rFonts w:ascii="Inter" w:hAnsi="Inter" w:cs="Arial"/>
          <w:b/>
          <w:sz w:val="18"/>
          <w:szCs w:val="18"/>
        </w:rPr>
        <w:t>convocata</w:t>
      </w:r>
      <w:proofErr w:type="spellEnd"/>
      <w:r w:rsidRPr="00EB7BED">
        <w:rPr>
          <w:rFonts w:ascii="Inter" w:hAnsi="Inter" w:cs="Arial"/>
          <w:b/>
          <w:sz w:val="18"/>
          <w:szCs w:val="18"/>
        </w:rPr>
        <w:t xml:space="preserve"> </w:t>
      </w:r>
      <w:proofErr w:type="spellStart"/>
      <w:r w:rsidRPr="00EB7BED">
        <w:rPr>
          <w:rFonts w:ascii="Inter" w:hAnsi="Inter" w:cs="Arial"/>
          <w:b/>
          <w:sz w:val="18"/>
          <w:szCs w:val="18"/>
        </w:rPr>
        <w:t>pentru</w:t>
      </w:r>
      <w:proofErr w:type="spellEnd"/>
      <w:r w:rsidRPr="00EB7BED">
        <w:rPr>
          <w:rFonts w:ascii="Inter" w:hAnsi="Inter" w:cs="Arial"/>
          <w:b/>
          <w:sz w:val="18"/>
          <w:szCs w:val="18"/>
        </w:rPr>
        <w:t xml:space="preserve"> data de 2</w:t>
      </w:r>
      <w:r w:rsidR="0003702F" w:rsidRPr="00EB7BED">
        <w:rPr>
          <w:rFonts w:ascii="Inter" w:hAnsi="Inter" w:cs="Arial"/>
          <w:b/>
          <w:sz w:val="18"/>
          <w:szCs w:val="18"/>
        </w:rPr>
        <w:t>4</w:t>
      </w:r>
      <w:r w:rsidRPr="00EB7BED">
        <w:rPr>
          <w:rFonts w:ascii="Inter" w:hAnsi="Inter" w:cs="Arial"/>
          <w:b/>
          <w:sz w:val="18"/>
          <w:szCs w:val="18"/>
        </w:rPr>
        <w:t>.0</w:t>
      </w:r>
      <w:r w:rsidR="00D84A15" w:rsidRPr="00EB7BED">
        <w:rPr>
          <w:rFonts w:ascii="Inter" w:hAnsi="Inter" w:cs="Arial"/>
          <w:b/>
          <w:sz w:val="18"/>
          <w:szCs w:val="18"/>
        </w:rPr>
        <w:t>4</w:t>
      </w:r>
      <w:r w:rsidRPr="00EB7BED">
        <w:rPr>
          <w:rFonts w:ascii="Inter" w:hAnsi="Inter" w:cs="Arial"/>
          <w:b/>
          <w:sz w:val="18"/>
          <w:szCs w:val="18"/>
        </w:rPr>
        <w:t>.202</w:t>
      </w:r>
      <w:r w:rsidR="0003702F" w:rsidRPr="00EB7BED">
        <w:rPr>
          <w:rFonts w:ascii="Inter" w:hAnsi="Inter" w:cs="Arial"/>
          <w:b/>
          <w:sz w:val="18"/>
          <w:szCs w:val="18"/>
        </w:rPr>
        <w:t>3</w:t>
      </w:r>
      <w:r w:rsidR="0039556E" w:rsidRPr="00EB7BED">
        <w:rPr>
          <w:rFonts w:ascii="Inter" w:hAnsi="Inter" w:cs="Arial"/>
          <w:b/>
          <w:sz w:val="18"/>
          <w:szCs w:val="18"/>
        </w:rPr>
        <w:t xml:space="preserve"> </w:t>
      </w:r>
      <w:r w:rsidR="005662EB" w:rsidRPr="00EB7BED">
        <w:rPr>
          <w:rFonts w:ascii="Inter" w:hAnsi="Inter" w:cs="Arial"/>
          <w:b/>
          <w:sz w:val="18"/>
          <w:szCs w:val="18"/>
        </w:rPr>
        <w:t xml:space="preserve"> </w:t>
      </w:r>
    </w:p>
    <w:p w14:paraId="0AD9F2B3" w14:textId="77777777" w:rsidR="00BB6F87" w:rsidRDefault="00CC28E8" w:rsidP="00CC28E8">
      <w:pPr>
        <w:spacing w:after="0" w:line="240" w:lineRule="auto"/>
        <w:jc w:val="both"/>
        <w:rPr>
          <w:rFonts w:ascii="Inter" w:hAnsi="Inter" w:cs="Arial"/>
          <w:b/>
          <w:sz w:val="18"/>
          <w:szCs w:val="18"/>
          <w:lang w:val="pt-BR"/>
        </w:rPr>
      </w:pPr>
      <w:r w:rsidRPr="00EB7BED">
        <w:rPr>
          <w:rFonts w:ascii="Inter" w:hAnsi="Inter" w:cs="Arial"/>
          <w:b/>
          <w:sz w:val="18"/>
          <w:szCs w:val="18"/>
          <w:lang w:val="pt-BR"/>
        </w:rPr>
        <w:t>Numele actionarului</w:t>
      </w:r>
      <w:r w:rsidR="0039556E" w:rsidRPr="00EB7BED">
        <w:rPr>
          <w:rFonts w:ascii="Inter" w:hAnsi="Inter" w:cs="Arial"/>
          <w:b/>
          <w:sz w:val="18"/>
          <w:szCs w:val="18"/>
          <w:lang w:val="pt-BR"/>
        </w:rPr>
        <w:t xml:space="preserve"> :..................................................</w:t>
      </w:r>
    </w:p>
    <w:p w14:paraId="144F111E" w14:textId="76C551A4" w:rsidR="00CC28E8" w:rsidRPr="00EB7BED" w:rsidRDefault="00CC28E8" w:rsidP="00CC28E8">
      <w:pPr>
        <w:spacing w:after="0" w:line="240" w:lineRule="auto"/>
        <w:jc w:val="both"/>
        <w:rPr>
          <w:rFonts w:ascii="Inter" w:hAnsi="Inter" w:cs="Arial"/>
          <w:b/>
          <w:sz w:val="18"/>
          <w:szCs w:val="18"/>
        </w:rPr>
      </w:pPr>
      <w:r w:rsidRPr="00EB7BED">
        <w:rPr>
          <w:rFonts w:ascii="Inter" w:hAnsi="Inter" w:cs="Arial"/>
          <w:b/>
          <w:sz w:val="18"/>
          <w:szCs w:val="18"/>
        </w:rPr>
        <w:tab/>
      </w:r>
    </w:p>
    <w:p w14:paraId="61FEFAB4" w14:textId="284D2104" w:rsidR="00CC28E8" w:rsidRPr="00EB7BED" w:rsidRDefault="00CC28E8" w:rsidP="00CC28E8">
      <w:pPr>
        <w:jc w:val="both"/>
        <w:rPr>
          <w:rFonts w:ascii="Inter" w:hAnsi="Inter" w:cs="Arial"/>
          <w:b/>
          <w:sz w:val="18"/>
          <w:szCs w:val="18"/>
          <w:lang w:val="pt-BR"/>
        </w:rPr>
      </w:pPr>
      <w:r w:rsidRPr="00EB7BED">
        <w:rPr>
          <w:rFonts w:ascii="Inter" w:hAnsi="Inter" w:cs="Arial"/>
          <w:b/>
          <w:sz w:val="18"/>
          <w:szCs w:val="18"/>
          <w:lang w:val="pt-BR"/>
        </w:rPr>
        <w:t>Numarul de actiuni detinute de actionar la data de referinta 0</w:t>
      </w:r>
      <w:r w:rsidR="00407123" w:rsidRPr="00EB7BED">
        <w:rPr>
          <w:rFonts w:ascii="Inter" w:hAnsi="Inter" w:cs="Arial"/>
          <w:b/>
          <w:sz w:val="18"/>
          <w:szCs w:val="18"/>
          <w:lang w:val="pt-BR"/>
        </w:rPr>
        <w:t>2</w:t>
      </w:r>
      <w:r w:rsidRPr="00EB7BED">
        <w:rPr>
          <w:rFonts w:ascii="Inter" w:hAnsi="Inter" w:cs="Arial"/>
          <w:b/>
          <w:sz w:val="18"/>
          <w:szCs w:val="18"/>
          <w:lang w:val="pt-BR"/>
        </w:rPr>
        <w:t>.0</w:t>
      </w:r>
      <w:r w:rsidR="00D84A15" w:rsidRPr="00EB7BED">
        <w:rPr>
          <w:rFonts w:ascii="Inter" w:hAnsi="Inter" w:cs="Arial"/>
          <w:b/>
          <w:sz w:val="18"/>
          <w:szCs w:val="18"/>
          <w:lang w:val="pt-BR"/>
        </w:rPr>
        <w:t>4</w:t>
      </w:r>
      <w:r w:rsidRPr="00EB7BED">
        <w:rPr>
          <w:rFonts w:ascii="Inter" w:hAnsi="Inter" w:cs="Arial"/>
          <w:b/>
          <w:sz w:val="18"/>
          <w:szCs w:val="18"/>
          <w:lang w:val="pt-BR"/>
        </w:rPr>
        <w:t>.202</w:t>
      </w:r>
      <w:r w:rsidR="0003702F" w:rsidRPr="00EB7BED">
        <w:rPr>
          <w:rFonts w:ascii="Inter" w:hAnsi="Inter" w:cs="Arial"/>
          <w:b/>
          <w:sz w:val="18"/>
          <w:szCs w:val="18"/>
          <w:lang w:val="pt-BR"/>
        </w:rPr>
        <w:t>3</w:t>
      </w:r>
      <w:r w:rsidRPr="00EB7BED">
        <w:rPr>
          <w:rFonts w:ascii="Inter" w:hAnsi="Inter" w:cs="Arial"/>
          <w:b/>
          <w:sz w:val="18"/>
          <w:szCs w:val="18"/>
          <w:lang w:val="pt-BR"/>
        </w:rPr>
        <w:t>: ____________________</w:t>
      </w:r>
    </w:p>
    <w:p w14:paraId="2E02E579" w14:textId="1A8AE981" w:rsidR="00CC28E8" w:rsidRPr="00EB7BED" w:rsidRDefault="00CC28E8" w:rsidP="00BB6F87">
      <w:pPr>
        <w:jc w:val="both"/>
        <w:rPr>
          <w:rFonts w:ascii="Inter" w:hAnsi="Inter" w:cs="Arial"/>
          <w:sz w:val="18"/>
          <w:szCs w:val="18"/>
          <w:lang w:val="pt-BR"/>
        </w:rPr>
      </w:pPr>
      <w:r w:rsidRPr="00EB7BED">
        <w:rPr>
          <w:rFonts w:ascii="Inter" w:hAnsi="Inter" w:cs="Arial"/>
          <w:sz w:val="18"/>
          <w:szCs w:val="18"/>
          <w:lang w:val="pt-BR"/>
        </w:rPr>
        <w:t xml:space="preserve">Vă transmit votul cu privire la documentele/propunerile prezentate spre aprobare </w:t>
      </w:r>
      <w:r w:rsidR="00CF191F" w:rsidRPr="00EB7BED">
        <w:rPr>
          <w:rFonts w:ascii="Inter" w:hAnsi="Inter" w:cs="Arial"/>
          <w:sz w:val="18"/>
          <w:szCs w:val="18"/>
          <w:lang w:val="pt-BR"/>
        </w:rPr>
        <w:t>AGOA</w:t>
      </w:r>
      <w:r w:rsidRPr="00EB7BED">
        <w:rPr>
          <w:rFonts w:ascii="Inter" w:hAnsi="Inter" w:cs="Arial"/>
          <w:sz w:val="18"/>
          <w:szCs w:val="18"/>
          <w:lang w:val="pt-BR"/>
        </w:rPr>
        <w:t>, astfel: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075"/>
        <w:gridCol w:w="5873"/>
        <w:gridCol w:w="900"/>
        <w:gridCol w:w="1170"/>
        <w:gridCol w:w="1170"/>
      </w:tblGrid>
      <w:tr w:rsidR="00CC28E8" w:rsidRPr="00233B98" w14:paraId="4A173AAE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43174BAB" w:rsidR="00CC28E8" w:rsidRPr="00233B98" w:rsidRDefault="00CC28E8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Nr pct</w:t>
            </w:r>
            <w:r w:rsidR="00847BED" w:rsidRPr="00233B98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47BED"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ordine</w:t>
            </w:r>
            <w:proofErr w:type="spellEnd"/>
            <w:r w:rsidR="00847BED" w:rsidRPr="00233B98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de zi</w:t>
            </w:r>
            <w:r w:rsidR="003F6C01" w:rsidRPr="00233B98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03705F5A" w:rsidR="00CC28E8" w:rsidRPr="00233B98" w:rsidRDefault="00CC28E8">
            <w:pPr>
              <w:spacing w:before="120"/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Denumirea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materialului</w:t>
            </w:r>
            <w:proofErr w:type="spellEnd"/>
            <w:r w:rsidR="003F6C01" w:rsidRPr="00233B98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444C6D33" w:rsidR="00CC28E8" w:rsidRPr="00233B98" w:rsidRDefault="00CC28E8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Pentru</w:t>
            </w:r>
            <w:proofErr w:type="spellEnd"/>
            <w:r w:rsidR="003F6C01" w:rsidRPr="00233B98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4407D83B" w:rsidR="00CC28E8" w:rsidRPr="00233B98" w:rsidRDefault="00CC28E8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Împotrivă</w:t>
            </w:r>
            <w:proofErr w:type="spellEnd"/>
            <w:r w:rsidR="003F6C01" w:rsidRPr="00233B98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2A18824A" w:rsidR="00CC28E8" w:rsidRPr="00233B98" w:rsidRDefault="00CC28E8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Abţinere</w:t>
            </w:r>
            <w:proofErr w:type="spellEnd"/>
            <w:r w:rsidR="003F6C01" w:rsidRPr="00233B98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C28E8" w:rsidRPr="00233B98" w14:paraId="4D102D65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F27" w14:textId="77777777" w:rsidR="00CC28E8" w:rsidRPr="00233B98" w:rsidRDefault="00CC28E8" w:rsidP="00847BED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600" w14:textId="77777777" w:rsidR="0003702F" w:rsidRPr="00233B98" w:rsidRDefault="0003702F" w:rsidP="0003702F">
            <w:pPr>
              <w:tabs>
                <w:tab w:val="left" w:pos="1260"/>
              </w:tabs>
              <w:autoSpaceDE w:val="0"/>
              <w:autoSpaceDN w:val="0"/>
              <w:ind w:left="48"/>
              <w:jc w:val="both"/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Aprobarea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situatiilor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financiare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pentru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anul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2022,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individuale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pentru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BCR si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consolidate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pentru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Grupul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BCR,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pregatite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conformitate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cu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Standardele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Financiare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Internationale de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Raportare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auditate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insotite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urmatoarele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rapoarte</w:t>
            </w:r>
            <w:proofErr w:type="spellEnd"/>
            <w:r w:rsidRPr="00233B98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:</w:t>
            </w:r>
            <w:proofErr w:type="gramEnd"/>
          </w:p>
          <w:p w14:paraId="6A71BA0F" w14:textId="77777777" w:rsidR="0003702F" w:rsidRPr="00233B98" w:rsidRDefault="0003702F" w:rsidP="0003702F">
            <w:pPr>
              <w:autoSpaceDE w:val="0"/>
              <w:autoSpaceDN w:val="0"/>
              <w:ind w:left="48" w:firstLine="540"/>
              <w:jc w:val="both"/>
              <w:rPr>
                <w:rFonts w:ascii="Inter" w:hAnsi="Inter" w:cs="Arial"/>
                <w:sz w:val="16"/>
                <w:szCs w:val="16"/>
                <w:lang w:val="fr-FR"/>
              </w:rPr>
            </w:pPr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a)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Raportul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individual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consolidat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al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Administratorilor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pentru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anul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2022,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intocmit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conformitate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cu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Ordinul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BNR 27/2010 cu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modificarile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completarile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ulterioare</w:t>
            </w:r>
            <w:proofErr w:type="spellEnd"/>
          </w:p>
          <w:p w14:paraId="27FBAF4C" w14:textId="77777777" w:rsidR="0003702F" w:rsidRPr="00233B98" w:rsidRDefault="0003702F" w:rsidP="0003702F">
            <w:pPr>
              <w:autoSpaceDE w:val="0"/>
              <w:autoSpaceDN w:val="0"/>
              <w:ind w:left="48" w:hanging="90"/>
              <w:jc w:val="both"/>
              <w:rPr>
                <w:rFonts w:ascii="Inter" w:hAnsi="Inter" w:cs="Arial"/>
                <w:sz w:val="16"/>
                <w:szCs w:val="16"/>
                <w:lang w:val="fr-FR"/>
              </w:rPr>
            </w:pPr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          b)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Raportul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auditorului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independent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privind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situatiile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financiare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anuale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individuale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ale BCR si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respectiv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situatiile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financiare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consolidate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ale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Grupului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BCR,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intocmite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conformitate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cu IFRS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pentru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anul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2022;</w:t>
            </w:r>
            <w:proofErr w:type="gramEnd"/>
          </w:p>
          <w:p w14:paraId="6A2E25FC" w14:textId="523EFC4F" w:rsidR="00CC28E8" w:rsidRPr="00233B98" w:rsidRDefault="0003702F" w:rsidP="0003702F">
            <w:pPr>
              <w:autoSpaceDE w:val="0"/>
              <w:autoSpaceDN w:val="0"/>
              <w:ind w:left="48" w:hanging="48"/>
              <w:jc w:val="both"/>
              <w:rPr>
                <w:rFonts w:ascii="Inter" w:hAnsi="Inter" w:cs="Arial"/>
                <w:sz w:val="16"/>
                <w:szCs w:val="16"/>
              </w:rPr>
            </w:pPr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         c)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Raportul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anual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intocmit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conformitate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cu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Anexa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15 la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Regulamentul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ASF nr. 5/2018, cu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modificarile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completarile</w:t>
            </w:r>
            <w:proofErr w:type="spellEnd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sz w:val="16"/>
                <w:szCs w:val="16"/>
                <w:lang w:val="fr-FR"/>
              </w:rPr>
              <w:t>ulterioare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AE7" w14:textId="77777777" w:rsidR="00CC28E8" w:rsidRPr="00233B98" w:rsidRDefault="00CC28E8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CC28E8" w:rsidRPr="00233B98" w:rsidRDefault="00CC28E8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CC28E8" w:rsidRPr="00233B98" w:rsidRDefault="00CC28E8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581BD6" w:rsidRPr="00233B98" w14:paraId="33024D4C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41B" w14:textId="7CB66847" w:rsidR="00581BD6" w:rsidRPr="00233B98" w:rsidRDefault="00581BD6" w:rsidP="00847BED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39D" w14:textId="670C1DA4" w:rsidR="00581BD6" w:rsidRPr="00233B98" w:rsidRDefault="00581BD6">
            <w:pPr>
              <w:jc w:val="both"/>
              <w:rPr>
                <w:rFonts w:ascii="Inter" w:hAnsi="Inter" w:cs="Arial"/>
                <w:sz w:val="16"/>
                <w:szCs w:val="16"/>
                <w:lang w:val="ro-RO"/>
              </w:rPr>
            </w:pPr>
            <w:r w:rsidRPr="00233B98">
              <w:rPr>
                <w:rFonts w:ascii="Inter" w:hAnsi="Inter" w:cs="Arial"/>
                <w:b/>
                <w:sz w:val="16"/>
                <w:szCs w:val="16"/>
                <w:lang w:val="ro-RO"/>
              </w:rPr>
              <w:t>Aprobarea distribuirii profitului aferent anului 20</w:t>
            </w:r>
            <w:r w:rsidR="004C187D" w:rsidRPr="00233B98">
              <w:rPr>
                <w:rFonts w:ascii="Inter" w:hAnsi="Inter" w:cs="Arial"/>
                <w:b/>
                <w:sz w:val="16"/>
                <w:szCs w:val="16"/>
                <w:lang w:val="ro-RO"/>
              </w:rPr>
              <w:t>2</w:t>
            </w:r>
            <w:r w:rsidR="0003702F" w:rsidRPr="00233B98">
              <w:rPr>
                <w:rFonts w:ascii="Inter" w:hAnsi="Inter" w:cs="Arial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DF6CF" w14:textId="77777777" w:rsidR="00581BD6" w:rsidRPr="00233B98" w:rsidRDefault="00581BD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581BD6" w:rsidRPr="00233B98" w14:paraId="4C9C7D1B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683" w14:textId="5E2CC311" w:rsidR="00581BD6" w:rsidRPr="00233B98" w:rsidRDefault="00581BD6" w:rsidP="00847BED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ECA" w14:textId="76444EC5" w:rsidR="00581BD6" w:rsidRPr="00233B98" w:rsidRDefault="00581BD6" w:rsidP="0039556E">
            <w:pPr>
              <w:autoSpaceDE w:val="0"/>
              <w:autoSpaceDN w:val="0"/>
              <w:rPr>
                <w:rFonts w:ascii="Inter" w:hAnsi="Inter" w:cs="Arial"/>
                <w:b/>
                <w:sz w:val="16"/>
                <w:szCs w:val="16"/>
                <w:lang w:val="ro-RO"/>
              </w:rPr>
            </w:pPr>
            <w:r w:rsidRPr="00233B98">
              <w:rPr>
                <w:rFonts w:ascii="Inter" w:hAnsi="Inter" w:cs="Arial"/>
                <w:b/>
                <w:sz w:val="16"/>
                <w:szCs w:val="16"/>
                <w:lang w:val="ro-RO"/>
              </w:rPr>
              <w:t xml:space="preserve">Distribuirea profitului </w:t>
            </w:r>
            <w:r w:rsidR="00487274">
              <w:rPr>
                <w:rFonts w:ascii="Inter" w:hAnsi="Inter" w:cs="Arial"/>
                <w:b/>
                <w:sz w:val="16"/>
                <w:szCs w:val="16"/>
                <w:lang w:val="ro-RO"/>
              </w:rPr>
              <w:t xml:space="preserve">net </w:t>
            </w:r>
            <w:r w:rsidRPr="00233B98">
              <w:rPr>
                <w:rFonts w:ascii="Inter" w:hAnsi="Inter" w:cs="Arial"/>
                <w:b/>
                <w:sz w:val="16"/>
                <w:szCs w:val="16"/>
                <w:lang w:val="ro-RO"/>
              </w:rPr>
              <w:t>pentru anul 20</w:t>
            </w:r>
            <w:r w:rsidR="00DF03E1" w:rsidRPr="00233B98">
              <w:rPr>
                <w:rFonts w:ascii="Inter" w:hAnsi="Inter" w:cs="Arial"/>
                <w:b/>
                <w:sz w:val="16"/>
                <w:szCs w:val="16"/>
                <w:lang w:val="ro-RO"/>
              </w:rPr>
              <w:t>2</w:t>
            </w:r>
            <w:r w:rsidR="0003702F" w:rsidRPr="00233B98">
              <w:rPr>
                <w:rFonts w:ascii="Inter" w:hAnsi="Inter" w:cs="Arial"/>
                <w:b/>
                <w:sz w:val="16"/>
                <w:szCs w:val="16"/>
                <w:lang w:val="ro-RO"/>
              </w:rPr>
              <w:t>2</w:t>
            </w:r>
            <w:r w:rsidRPr="00233B98">
              <w:rPr>
                <w:rFonts w:ascii="Inter" w:hAnsi="Inter" w:cs="Arial"/>
                <w:b/>
                <w:sz w:val="16"/>
                <w:szCs w:val="16"/>
                <w:lang w:val="ro-RO"/>
              </w:rPr>
              <w:t xml:space="preserve"> in suma de </w:t>
            </w:r>
            <w:r w:rsidR="00407123" w:rsidRPr="00233B98">
              <w:rPr>
                <w:rFonts w:ascii="Inter" w:hAnsi="Inter" w:cs="Arial"/>
                <w:b/>
                <w:sz w:val="16"/>
                <w:szCs w:val="16"/>
                <w:lang w:val="ro-RO"/>
              </w:rPr>
              <w:t>1.</w:t>
            </w:r>
            <w:r w:rsidR="009E334A" w:rsidRPr="00233B98">
              <w:rPr>
                <w:rFonts w:ascii="Inter" w:hAnsi="Inter" w:cs="Arial"/>
                <w:b/>
                <w:sz w:val="16"/>
                <w:szCs w:val="16"/>
                <w:lang w:val="ro-RO"/>
              </w:rPr>
              <w:t>830.015.908</w:t>
            </w:r>
            <w:r w:rsidR="00407123" w:rsidRPr="00233B98">
              <w:rPr>
                <w:rFonts w:ascii="Inter" w:hAnsi="Inter" w:cs="Arial"/>
                <w:b/>
                <w:sz w:val="16"/>
                <w:szCs w:val="16"/>
                <w:lang w:val="ro-RO"/>
              </w:rPr>
              <w:t xml:space="preserve"> </w:t>
            </w: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RON,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dupa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cum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urmeaza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DF4" w14:textId="77777777" w:rsidR="00581BD6" w:rsidRPr="00233B98" w:rsidRDefault="00581BD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9556E" w:rsidRPr="00233B98" w14:paraId="27598485" w14:textId="77777777" w:rsidTr="004A645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05C" w14:textId="358ED57A" w:rsidR="0039556E" w:rsidRPr="00233B98" w:rsidRDefault="0039556E" w:rsidP="0004713F">
            <w:pPr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2.1 a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E9E" w14:textId="2B09BF3E" w:rsidR="0039556E" w:rsidRPr="00233B98" w:rsidRDefault="0039556E" w:rsidP="0039556E">
            <w:pPr>
              <w:jc w:val="both"/>
              <w:rPr>
                <w:rFonts w:ascii="Inter" w:hAnsi="Inter" w:cs="Arial"/>
                <w:b/>
                <w:sz w:val="16"/>
                <w:szCs w:val="16"/>
                <w:lang w:val="ro-RO"/>
              </w:rPr>
            </w:pP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Alte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</w:t>
            </w:r>
            <w:r w:rsidR="00762DA3"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z</w:t>
            </w: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erve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– </w:t>
            </w:r>
            <w:r w:rsidR="00DC386D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                  </w:t>
            </w:r>
            <w:r w:rsidR="009E334A"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73.547.564 </w:t>
            </w: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B08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AE42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757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9556E" w:rsidRPr="00233B98" w14:paraId="39E42D31" w14:textId="77777777" w:rsidTr="004A645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0AC" w14:textId="43A0712D" w:rsidR="0039556E" w:rsidRPr="00233B98" w:rsidRDefault="0039556E" w:rsidP="0004713F">
            <w:pPr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2.1 b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ABF" w14:textId="092D0811" w:rsidR="0039556E" w:rsidRPr="00233B98" w:rsidRDefault="0039556E" w:rsidP="0039556E">
            <w:pPr>
              <w:jc w:val="both"/>
              <w:rPr>
                <w:rFonts w:ascii="Inter" w:hAnsi="Inter" w:cs="Arial"/>
                <w:b/>
                <w:sz w:val="16"/>
                <w:szCs w:val="16"/>
                <w:lang w:val="ro-RO"/>
              </w:rPr>
            </w:pP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Distribuire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dividend</w:t>
            </w:r>
            <w:r w:rsidR="00487274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e</w:t>
            </w:r>
            <w:proofErr w:type="spellEnd"/>
            <w:r w:rsidR="00E065B1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–</w:t>
            </w:r>
            <w:proofErr w:type="gram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r w:rsidR="009E334A"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1.189.510.340 R</w:t>
            </w: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3E712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47488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75AD2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9E334A" w:rsidRPr="00233B98" w14:paraId="0EFD79FC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18E" w14:textId="7D22AC9A" w:rsidR="009E334A" w:rsidRPr="00233B98" w:rsidRDefault="009E334A" w:rsidP="0004713F">
            <w:pPr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2.1</w:t>
            </w:r>
            <w:r w:rsidR="0079467C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D3B" w14:textId="5E0B488C" w:rsidR="009E334A" w:rsidRPr="00233B98" w:rsidRDefault="009E334A" w:rsidP="0039556E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Dividende </w:t>
            </w:r>
            <w:proofErr w:type="spellStart"/>
            <w:proofErr w:type="gram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ordinare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r w:rsidR="00E065B1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–</w:t>
            </w:r>
            <w:proofErr w:type="gram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r w:rsidR="00487274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1.145.561.239 RON</w:t>
            </w:r>
            <w:r w:rsidR="00E065B1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68F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BF9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1D9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9E334A" w:rsidRPr="00233B98" w14:paraId="5145D2CF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98B" w14:textId="3644874F" w:rsidR="009E334A" w:rsidRPr="00233B98" w:rsidRDefault="009E334A" w:rsidP="0004713F">
            <w:pPr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2.1</w:t>
            </w:r>
            <w:r w:rsidR="0079467C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AD4" w14:textId="0B0890E6" w:rsidR="009E334A" w:rsidRPr="00233B98" w:rsidRDefault="009E334A" w:rsidP="0039556E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Dividende AT1 </w:t>
            </w:r>
            <w:r w:rsidR="00E065B1" w:rsidRPr="00C556B2">
              <w:rPr>
                <w:rFonts w:ascii="Inter" w:eastAsia="Times New Roman" w:hAnsi="Inter" w:cs="Arial"/>
                <w:sz w:val="16"/>
                <w:szCs w:val="16"/>
              </w:rPr>
              <w:t>(</w:t>
            </w:r>
            <w:r w:rsidR="00C556B2" w:rsidRPr="00C556B2">
              <w:rPr>
                <w:rFonts w:ascii="Inter" w:eastAsia="Times New Roman" w:hAnsi="Inter" w:cs="Arial"/>
                <w:sz w:val="16"/>
                <w:szCs w:val="16"/>
              </w:rPr>
              <w:t xml:space="preserve">dividend </w:t>
            </w:r>
            <w:proofErr w:type="spellStart"/>
            <w:r w:rsidR="00C556B2" w:rsidRPr="00C556B2">
              <w:rPr>
                <w:rFonts w:ascii="Inter" w:eastAsia="Times New Roman" w:hAnsi="Inter" w:cs="Arial"/>
                <w:sz w:val="16"/>
                <w:szCs w:val="16"/>
              </w:rPr>
              <w:t>obligatiuni</w:t>
            </w:r>
            <w:proofErr w:type="spellEnd"/>
            <w:r w:rsidR="00C556B2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/</w:t>
            </w:r>
            <w:r w:rsidR="00E065B1" w:rsidRPr="00E065B1">
              <w:rPr>
                <w:rFonts w:ascii="Inter" w:hAnsi="Inter" w:cs="Arial"/>
                <w:sz w:val="16"/>
                <w:szCs w:val="16"/>
                <w:lang w:val="fr-FR"/>
              </w:rPr>
              <w:t xml:space="preserve">instrumente </w:t>
            </w:r>
            <w:proofErr w:type="spellStart"/>
            <w:r w:rsidR="00E065B1" w:rsidRPr="00E065B1">
              <w:rPr>
                <w:rFonts w:ascii="Inter" w:hAnsi="Inter" w:cs="Arial"/>
                <w:sz w:val="16"/>
                <w:szCs w:val="16"/>
                <w:lang w:val="fr-FR"/>
              </w:rPr>
              <w:t>fonduri</w:t>
            </w:r>
            <w:proofErr w:type="spellEnd"/>
            <w:r w:rsidR="00E065B1" w:rsidRPr="00E065B1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065B1" w:rsidRPr="00E065B1">
              <w:rPr>
                <w:rFonts w:ascii="Inter" w:hAnsi="Inter" w:cs="Arial"/>
                <w:sz w:val="16"/>
                <w:szCs w:val="16"/>
                <w:lang w:val="fr-FR"/>
              </w:rPr>
              <w:t>propri</w:t>
            </w:r>
            <w:r w:rsidR="00E065B1">
              <w:rPr>
                <w:rFonts w:ascii="Inter" w:hAnsi="Inter" w:cs="Arial"/>
                <w:sz w:val="16"/>
                <w:szCs w:val="16"/>
                <w:lang w:val="fr-FR"/>
              </w:rPr>
              <w:t>i</w:t>
            </w:r>
            <w:proofErr w:type="spellEnd"/>
            <w:r w:rsidR="00E065B1" w:rsidRPr="00E065B1">
              <w:rPr>
                <w:rFonts w:ascii="Inter" w:hAnsi="Inter" w:cs="Arial"/>
                <w:sz w:val="16"/>
                <w:szCs w:val="16"/>
                <w:lang w:val="fr-FR"/>
              </w:rPr>
              <w:t xml:space="preserve"> de </w:t>
            </w:r>
            <w:proofErr w:type="spellStart"/>
            <w:r w:rsidR="00E065B1" w:rsidRPr="00E065B1">
              <w:rPr>
                <w:rFonts w:ascii="Inter" w:hAnsi="Inter" w:cs="Arial"/>
                <w:sz w:val="16"/>
                <w:szCs w:val="16"/>
                <w:lang w:val="fr-FR"/>
              </w:rPr>
              <w:t>nivel</w:t>
            </w:r>
            <w:proofErr w:type="spellEnd"/>
            <w:r w:rsidR="00E065B1" w:rsidRPr="00E065B1">
              <w:rPr>
                <w:rFonts w:ascii="Inter" w:hAnsi="Inter" w:cs="Arial"/>
                <w:sz w:val="16"/>
                <w:szCs w:val="16"/>
                <w:lang w:val="fr-FR"/>
              </w:rPr>
              <w:t xml:space="preserve"> 1)</w:t>
            </w:r>
            <w:r w:rsidR="00E065B1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r w:rsidRPr="00E065B1">
              <w:rPr>
                <w:rFonts w:ascii="Inter" w:hAnsi="Inter" w:cs="Arial"/>
                <w:sz w:val="16"/>
                <w:szCs w:val="16"/>
                <w:lang w:val="fr-FR"/>
              </w:rPr>
              <w:t>–</w:t>
            </w: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43.949.102 RON</w:t>
            </w:r>
            <w:r w:rsidR="00E065B1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EFC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9676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08F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9556E" w:rsidRPr="00233B98" w14:paraId="5017A80D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BF0" w14:textId="7E07A2CF" w:rsidR="0039556E" w:rsidRPr="00233B98" w:rsidRDefault="0039556E" w:rsidP="0004713F">
            <w:pPr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2.1</w:t>
            </w:r>
            <w:r w:rsidR="003F6C01" w:rsidRPr="00233B98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35D" w14:textId="1089B6D4" w:rsidR="0039556E" w:rsidRPr="00233B98" w:rsidRDefault="0039556E" w:rsidP="0039556E">
            <w:pPr>
              <w:jc w:val="both"/>
              <w:rPr>
                <w:rFonts w:ascii="Inter" w:hAnsi="Inter" w:cs="Arial"/>
                <w:b/>
                <w:sz w:val="16"/>
                <w:szCs w:val="16"/>
                <w:lang w:val="ro-RO"/>
              </w:rPr>
            </w:pP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Rezultat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reportat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– </w:t>
            </w:r>
            <w:r w:rsidR="009E334A"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566.958.004 </w:t>
            </w: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412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5D9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179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9556E" w:rsidRPr="00233B98" w14:paraId="109C8AE9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983" w14:textId="0A9820F1" w:rsidR="0039556E" w:rsidRPr="00233B98" w:rsidRDefault="0039556E" w:rsidP="0079467C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E7C" w14:textId="05FDD97C" w:rsidR="0039556E" w:rsidRPr="00233B98" w:rsidRDefault="0039556E" w:rsidP="0039556E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Plata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dividendelor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conformitate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cu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prevederile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Codului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Fiscal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referitoare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la </w:t>
            </w:r>
            <w:proofErr w:type="spellStart"/>
            <w:r w:rsidR="003F6C01"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retinerea</w:t>
            </w:r>
            <w:proofErr w:type="spellEnd"/>
            <w:r w:rsidR="003F6C01"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F6C01"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impozitului</w:t>
            </w:r>
            <w:proofErr w:type="spellEnd"/>
            <w:r w:rsidR="003F6C01"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la </w:t>
            </w:r>
            <w:proofErr w:type="spellStart"/>
            <w:r w:rsidR="003F6C01"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sursa</w:t>
            </w:r>
            <w:proofErr w:type="spellEnd"/>
            <w:r w:rsidR="009E334A"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: </w:t>
            </w:r>
            <w:r w:rsidR="003F6C01"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FF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815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87B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9E334A" w:rsidRPr="00233B98" w14:paraId="23013271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8C2" w14:textId="75D781B8" w:rsidR="009E334A" w:rsidRPr="00233B98" w:rsidRDefault="009E334A" w:rsidP="0004713F">
            <w:pPr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2.2</w:t>
            </w:r>
            <w:r w:rsidR="0079467C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DBA7" w14:textId="4585EF80" w:rsidR="009E334A" w:rsidRPr="00233B98" w:rsidRDefault="009E334A" w:rsidP="0039556E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Dividende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aferente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instrumentelor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AT1 – </w:t>
            </w:r>
            <w:r w:rsidRPr="0004713F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platite la data de 29.05.2023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534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626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6381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9E334A" w:rsidRPr="00233B98" w14:paraId="3E40E5C0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149" w14:textId="679879A3" w:rsidR="009E334A" w:rsidRPr="00233B98" w:rsidRDefault="009E334A" w:rsidP="0004713F">
            <w:pPr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2.2</w:t>
            </w:r>
            <w:r w:rsidR="0079467C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</w:t>
            </w: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48C" w14:textId="768D2E4E" w:rsidR="009E334A" w:rsidRPr="00233B98" w:rsidRDefault="009E334A" w:rsidP="0039556E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Dividende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ordinare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274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- </w:t>
            </w: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platite</w:t>
            </w:r>
            <w:proofErr w:type="spellEnd"/>
            <w:proofErr w:type="gram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pana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cel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tarziu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la data de 31.05.2023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F55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CDD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416" w14:textId="77777777" w:rsidR="009E334A" w:rsidRPr="00233B98" w:rsidRDefault="009E334A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9556E" w:rsidRPr="00233B98" w14:paraId="42E2F373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7CB" w14:textId="3B87CF39" w:rsidR="0039556E" w:rsidRPr="00233B98" w:rsidRDefault="0039556E" w:rsidP="0079467C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B01" w14:textId="21365262" w:rsidR="0039556E" w:rsidRPr="00233B98" w:rsidRDefault="00407123" w:rsidP="00BB6F87">
            <w:pPr>
              <w:tabs>
                <w:tab w:val="left" w:pos="620"/>
              </w:tabs>
              <w:spacing w:before="7"/>
              <w:ind w:right="61"/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</w:pP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Mentinerea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includerii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fondurile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proprii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nivel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1 de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baza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rezultatului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reportat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altor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elemente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ale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rezultatului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global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acumulate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altor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rezerve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si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fondurilor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pentru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riscuri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bancare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generale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cu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respectarea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prevederilor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Regulamentului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575/2013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pana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la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eventuale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alte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dispozitii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ale AGA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A30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F73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AB7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9556E" w:rsidRPr="00233B98" w14:paraId="527BE53C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B35" w14:textId="4070035A" w:rsidR="0039556E" w:rsidRPr="00233B98" w:rsidRDefault="0039556E" w:rsidP="0039556E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2.</w:t>
            </w:r>
            <w:r w:rsidR="00407123"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B748" w14:textId="5D739988" w:rsidR="0039556E" w:rsidRPr="00233B98" w:rsidRDefault="00407123" w:rsidP="00BB6F87">
            <w:pPr>
              <w:tabs>
                <w:tab w:val="left" w:pos="620"/>
              </w:tabs>
              <w:spacing w:before="7"/>
              <w:ind w:right="61"/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</w:pP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Continuarea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accesarii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facilitatii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fiscale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privind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profitul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reinvestit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si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04713F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anul</w:t>
            </w:r>
            <w:proofErr w:type="spellEnd"/>
            <w:r w:rsidRPr="0004713F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202</w:t>
            </w:r>
            <w:r w:rsidR="0004713F" w:rsidRPr="0004713F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3</w:t>
            </w:r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, cu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consecinta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ca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valoarea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aferenta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investitiilor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din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profitul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net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va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trebui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repartizata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in mod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obligatoriu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catre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categoria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“Alte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rezerve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” din total </w:t>
            </w:r>
            <w:proofErr w:type="spellStart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capitaluri</w:t>
            </w:r>
            <w:proofErr w:type="spellEnd"/>
            <w:r w:rsidRPr="00233B98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banca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15A2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E7A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1C2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9556E" w:rsidRPr="00233B98" w14:paraId="181DF531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608" w14:textId="7CCB61CD" w:rsidR="0039556E" w:rsidRPr="00233B98" w:rsidRDefault="0039556E" w:rsidP="0039556E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AC67" w14:textId="36D5DD82" w:rsidR="0039556E" w:rsidRPr="00233B98" w:rsidRDefault="00D1606D" w:rsidP="00BB6F87">
            <w:pPr>
              <w:pStyle w:val="BCRListRO"/>
              <w:numPr>
                <w:ilvl w:val="0"/>
                <w:numId w:val="0"/>
              </w:numPr>
              <w:jc w:val="both"/>
              <w:rPr>
                <w:rFonts w:ascii="Inter" w:hAnsi="Inter" w:cs="Arial"/>
                <w:b w:val="0"/>
                <w:sz w:val="16"/>
                <w:szCs w:val="16"/>
                <w:lang w:val="ro-RO"/>
              </w:rPr>
            </w:pP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Aprobarea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descărcarii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gestiune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membrilor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Consiliului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Supraveghere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şi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membrilor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Comitetului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Executiv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pentru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exerciţiul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financiar</w:t>
            </w:r>
            <w:proofErr w:type="spellEnd"/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202</w:t>
            </w:r>
            <w:r w:rsidR="0003702F"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>2</w:t>
            </w:r>
            <w:r w:rsidRPr="00233B98">
              <w:rPr>
                <w:rFonts w:ascii="Inter" w:hAnsi="Inter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76F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A1F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736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9556E" w:rsidRPr="00233B98" w14:paraId="1C70E6A3" w14:textId="77777777" w:rsidTr="00CD164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D33" w14:textId="01DFF362" w:rsidR="0039556E" w:rsidRPr="00233B98" w:rsidRDefault="0003702F" w:rsidP="00D84A15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5</w:t>
            </w:r>
            <w:r w:rsidR="0039556E" w:rsidRPr="00233B98">
              <w:rPr>
                <w:rFonts w:ascii="Inter" w:hAnsi="Inter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041" w14:textId="1723C7FD" w:rsidR="0039556E" w:rsidRPr="00233B98" w:rsidRDefault="0039556E" w:rsidP="00BB6F87">
            <w:pPr>
              <w:pStyle w:val="BCRListRO"/>
              <w:numPr>
                <w:ilvl w:val="0"/>
                <w:numId w:val="0"/>
              </w:numPr>
              <w:jc w:val="both"/>
              <w:rPr>
                <w:rFonts w:ascii="Inter" w:hAnsi="Inter" w:cs="Arial"/>
                <w:b w:val="0"/>
                <w:sz w:val="16"/>
                <w:szCs w:val="16"/>
                <w:lang w:val="ro-RO"/>
              </w:rPr>
            </w:pPr>
            <w:r w:rsidRPr="00233B98">
              <w:rPr>
                <w:rFonts w:ascii="Inter" w:eastAsiaTheme="minorHAnsi" w:hAnsi="Inter" w:cs="Arial"/>
                <w:sz w:val="16"/>
                <w:szCs w:val="16"/>
                <w:lang w:val="ro-RO"/>
              </w:rPr>
              <w:t>Aprobarea structurii de remunerare a membrilor Consiliului de Supraveghere al BCR pentru anul 202</w:t>
            </w:r>
            <w:r w:rsidR="0003702F" w:rsidRPr="00233B98">
              <w:rPr>
                <w:rFonts w:ascii="Inter" w:eastAsiaTheme="minorHAnsi" w:hAnsi="Inter" w:cs="Arial"/>
                <w:sz w:val="16"/>
                <w:szCs w:val="16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61C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685D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99C" w14:textId="77777777" w:rsidR="0039556E" w:rsidRPr="00233B98" w:rsidRDefault="0039556E" w:rsidP="0039556E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</w:tbl>
    <w:p w14:paraId="03ADC5DB" w14:textId="77777777" w:rsidR="001E2CDD" w:rsidRPr="00233B98" w:rsidRDefault="001E2CDD" w:rsidP="001E2CDD">
      <w:pPr>
        <w:spacing w:after="0" w:line="240" w:lineRule="auto"/>
        <w:rPr>
          <w:rFonts w:ascii="Inter" w:hAnsi="Inter" w:cs="Arial"/>
          <w:color w:val="000000" w:themeColor="text1"/>
          <w:sz w:val="16"/>
          <w:szCs w:val="16"/>
        </w:rPr>
      </w:pPr>
      <w:proofErr w:type="spellStart"/>
      <w:r w:rsidRPr="00BB6F87">
        <w:rPr>
          <w:rFonts w:ascii="Inter" w:hAnsi="Inter" w:cs="Arial"/>
          <w:b/>
          <w:bCs/>
          <w:color w:val="000000" w:themeColor="text1"/>
          <w:sz w:val="16"/>
          <w:szCs w:val="16"/>
        </w:rPr>
        <w:t>Nota</w:t>
      </w:r>
      <w:proofErr w:type="spellEnd"/>
      <w:r w:rsidRPr="00BB6F87">
        <w:rPr>
          <w:rFonts w:ascii="Inter" w:hAnsi="Inter" w:cs="Arial"/>
          <w:b/>
          <w:bCs/>
          <w:color w:val="000000" w:themeColor="text1"/>
          <w:sz w:val="16"/>
          <w:szCs w:val="16"/>
        </w:rPr>
        <w:t>:</w:t>
      </w:r>
      <w:r w:rsidRPr="00233B98">
        <w:rPr>
          <w:rFonts w:ascii="Inter" w:hAnsi="Inter" w:cs="Arial"/>
          <w:color w:val="000000" w:themeColor="text1"/>
          <w:sz w:val="16"/>
          <w:szCs w:val="16"/>
        </w:rPr>
        <w:t xml:space="preserve"> Se </w:t>
      </w:r>
      <w:proofErr w:type="spellStart"/>
      <w:r w:rsidRPr="00233B98">
        <w:rPr>
          <w:rFonts w:ascii="Inter" w:hAnsi="Inter" w:cs="Arial"/>
          <w:color w:val="000000" w:themeColor="text1"/>
          <w:sz w:val="16"/>
          <w:szCs w:val="16"/>
        </w:rPr>
        <w:t>va</w:t>
      </w:r>
      <w:proofErr w:type="spellEnd"/>
      <w:r w:rsidRPr="00233B98">
        <w:rPr>
          <w:rFonts w:ascii="Inter" w:hAnsi="Inter" w:cs="Arial"/>
          <w:color w:val="000000" w:themeColor="text1"/>
          <w:sz w:val="16"/>
          <w:szCs w:val="16"/>
        </w:rPr>
        <w:t xml:space="preserve"> </w:t>
      </w:r>
      <w:proofErr w:type="spellStart"/>
      <w:r w:rsidRPr="00233B98">
        <w:rPr>
          <w:rFonts w:ascii="Inter" w:hAnsi="Inter" w:cs="Arial"/>
          <w:color w:val="000000" w:themeColor="text1"/>
          <w:sz w:val="16"/>
          <w:szCs w:val="16"/>
        </w:rPr>
        <w:t>bifa</w:t>
      </w:r>
      <w:proofErr w:type="spellEnd"/>
      <w:r w:rsidRPr="00233B98">
        <w:rPr>
          <w:rFonts w:ascii="Inter" w:hAnsi="Inter" w:cs="Arial"/>
          <w:color w:val="000000" w:themeColor="text1"/>
          <w:sz w:val="16"/>
          <w:szCs w:val="16"/>
        </w:rPr>
        <w:t xml:space="preserve"> </w:t>
      </w:r>
      <w:proofErr w:type="spellStart"/>
      <w:r w:rsidRPr="00233B98">
        <w:rPr>
          <w:rFonts w:ascii="Inter" w:hAnsi="Inter" w:cs="Arial"/>
          <w:color w:val="000000" w:themeColor="text1"/>
          <w:sz w:val="16"/>
          <w:szCs w:val="16"/>
        </w:rPr>
        <w:t>casuta</w:t>
      </w:r>
      <w:proofErr w:type="spellEnd"/>
      <w:r w:rsidRPr="00233B98">
        <w:rPr>
          <w:rFonts w:ascii="Inter" w:hAnsi="Inter" w:cs="Arial"/>
          <w:color w:val="000000" w:themeColor="text1"/>
          <w:sz w:val="16"/>
          <w:szCs w:val="16"/>
        </w:rPr>
        <w:t xml:space="preserve"> </w:t>
      </w:r>
      <w:proofErr w:type="spellStart"/>
      <w:r w:rsidRPr="00233B98">
        <w:rPr>
          <w:rFonts w:ascii="Inter" w:hAnsi="Inter" w:cs="Arial"/>
          <w:color w:val="000000" w:themeColor="text1"/>
          <w:sz w:val="16"/>
          <w:szCs w:val="16"/>
        </w:rPr>
        <w:t>corespunzatoare</w:t>
      </w:r>
      <w:proofErr w:type="spellEnd"/>
      <w:r w:rsidRPr="00233B98">
        <w:rPr>
          <w:rFonts w:ascii="Inter" w:hAnsi="Inter" w:cs="Arial"/>
          <w:color w:val="000000" w:themeColor="text1"/>
          <w:sz w:val="16"/>
          <w:szCs w:val="16"/>
        </w:rPr>
        <w:t xml:space="preserve"> </w:t>
      </w:r>
      <w:proofErr w:type="spellStart"/>
      <w:r w:rsidRPr="00233B98">
        <w:rPr>
          <w:rFonts w:ascii="Inter" w:hAnsi="Inter" w:cs="Arial"/>
          <w:color w:val="000000" w:themeColor="text1"/>
          <w:sz w:val="16"/>
          <w:szCs w:val="16"/>
        </w:rPr>
        <w:t>votului</w:t>
      </w:r>
      <w:proofErr w:type="spellEnd"/>
      <w:r w:rsidRPr="00233B98">
        <w:rPr>
          <w:rFonts w:ascii="Inter" w:hAnsi="Inter" w:cs="Arial"/>
          <w:color w:val="000000" w:themeColor="text1"/>
          <w:sz w:val="16"/>
          <w:szCs w:val="16"/>
        </w:rPr>
        <w:t xml:space="preserve">. </w:t>
      </w:r>
      <w:proofErr w:type="spellStart"/>
      <w:r w:rsidRPr="00233B98">
        <w:rPr>
          <w:rFonts w:ascii="Inter" w:hAnsi="Inter" w:cs="Arial"/>
          <w:color w:val="000000" w:themeColor="text1"/>
          <w:sz w:val="16"/>
          <w:szCs w:val="16"/>
        </w:rPr>
        <w:t>Casutele</w:t>
      </w:r>
      <w:proofErr w:type="spellEnd"/>
      <w:r w:rsidRPr="00233B98">
        <w:rPr>
          <w:rFonts w:ascii="Inter" w:hAnsi="Inter" w:cs="Arial"/>
          <w:color w:val="000000" w:themeColor="text1"/>
          <w:sz w:val="16"/>
          <w:szCs w:val="16"/>
        </w:rPr>
        <w:t xml:space="preserve"> </w:t>
      </w:r>
      <w:proofErr w:type="spellStart"/>
      <w:r w:rsidRPr="00233B98">
        <w:rPr>
          <w:rFonts w:ascii="Inter" w:hAnsi="Inter" w:cs="Arial"/>
          <w:color w:val="000000" w:themeColor="text1"/>
          <w:sz w:val="16"/>
          <w:szCs w:val="16"/>
        </w:rPr>
        <w:t>celelalte</w:t>
      </w:r>
      <w:proofErr w:type="spellEnd"/>
      <w:r w:rsidRPr="00233B98">
        <w:rPr>
          <w:rFonts w:ascii="Inter" w:hAnsi="Inter" w:cs="Arial"/>
          <w:color w:val="000000" w:themeColor="text1"/>
          <w:sz w:val="16"/>
          <w:szCs w:val="16"/>
        </w:rPr>
        <w:t xml:space="preserve"> nu se </w:t>
      </w:r>
      <w:proofErr w:type="spellStart"/>
      <w:r w:rsidRPr="00233B98">
        <w:rPr>
          <w:rFonts w:ascii="Inter" w:hAnsi="Inter" w:cs="Arial"/>
          <w:color w:val="000000" w:themeColor="text1"/>
          <w:sz w:val="16"/>
          <w:szCs w:val="16"/>
        </w:rPr>
        <w:t>vor</w:t>
      </w:r>
      <w:proofErr w:type="spellEnd"/>
      <w:r w:rsidRPr="00233B98">
        <w:rPr>
          <w:rFonts w:ascii="Inter" w:hAnsi="Inter" w:cs="Arial"/>
          <w:color w:val="000000" w:themeColor="text1"/>
          <w:sz w:val="16"/>
          <w:szCs w:val="16"/>
        </w:rPr>
        <w:t xml:space="preserve"> </w:t>
      </w:r>
      <w:proofErr w:type="spellStart"/>
      <w:r w:rsidRPr="00233B98">
        <w:rPr>
          <w:rFonts w:ascii="Inter" w:hAnsi="Inter" w:cs="Arial"/>
          <w:color w:val="000000" w:themeColor="text1"/>
          <w:sz w:val="16"/>
          <w:szCs w:val="16"/>
        </w:rPr>
        <w:t>completa</w:t>
      </w:r>
      <w:proofErr w:type="spellEnd"/>
      <w:r w:rsidRPr="00233B98">
        <w:rPr>
          <w:rFonts w:ascii="Inter" w:hAnsi="Inter" w:cs="Arial"/>
          <w:color w:val="000000" w:themeColor="text1"/>
          <w:sz w:val="16"/>
          <w:szCs w:val="16"/>
        </w:rPr>
        <w:t xml:space="preserve"> cu </w:t>
      </w:r>
      <w:proofErr w:type="spellStart"/>
      <w:r w:rsidRPr="00233B98">
        <w:rPr>
          <w:rFonts w:ascii="Inter" w:hAnsi="Inter" w:cs="Arial"/>
          <w:color w:val="000000" w:themeColor="text1"/>
          <w:sz w:val="16"/>
          <w:szCs w:val="16"/>
        </w:rPr>
        <w:t>nici</w:t>
      </w:r>
      <w:proofErr w:type="spellEnd"/>
      <w:r w:rsidRPr="00233B98">
        <w:rPr>
          <w:rFonts w:ascii="Inter" w:hAnsi="Inter" w:cs="Arial"/>
          <w:color w:val="000000" w:themeColor="text1"/>
          <w:sz w:val="16"/>
          <w:szCs w:val="16"/>
        </w:rPr>
        <w:t xml:space="preserve"> un </w:t>
      </w:r>
      <w:proofErr w:type="spellStart"/>
      <w:r w:rsidRPr="00233B98">
        <w:rPr>
          <w:rFonts w:ascii="Inter" w:hAnsi="Inter" w:cs="Arial"/>
          <w:color w:val="000000" w:themeColor="text1"/>
          <w:sz w:val="16"/>
          <w:szCs w:val="16"/>
        </w:rPr>
        <w:t>semn</w:t>
      </w:r>
      <w:proofErr w:type="spellEnd"/>
      <w:r w:rsidRPr="00233B98">
        <w:rPr>
          <w:rFonts w:ascii="Inter" w:hAnsi="Inter" w:cs="Arial"/>
          <w:color w:val="000000" w:themeColor="text1"/>
          <w:sz w:val="16"/>
          <w:szCs w:val="16"/>
        </w:rPr>
        <w:t>.</w:t>
      </w:r>
    </w:p>
    <w:p w14:paraId="638587AF" w14:textId="77777777" w:rsidR="00CC28E8" w:rsidRPr="00233B98" w:rsidRDefault="00CC28E8" w:rsidP="00CC28E8">
      <w:pPr>
        <w:jc w:val="both"/>
        <w:rPr>
          <w:rFonts w:ascii="Inter" w:hAnsi="Inter" w:cs="Arial"/>
          <w:b/>
          <w:sz w:val="16"/>
          <w:szCs w:val="16"/>
        </w:rPr>
      </w:pPr>
    </w:p>
    <w:p w14:paraId="20AD16D6" w14:textId="0464AD4A" w:rsidR="00831905" w:rsidRPr="00233B98" w:rsidRDefault="00CC28E8" w:rsidP="00831905">
      <w:pPr>
        <w:jc w:val="both"/>
        <w:rPr>
          <w:rFonts w:ascii="Inter" w:hAnsi="Inter" w:cs="Arial"/>
          <w:b/>
          <w:sz w:val="16"/>
          <w:szCs w:val="16"/>
          <w:lang w:val="pt-BR"/>
        </w:rPr>
      </w:pPr>
      <w:r w:rsidRPr="00233B98">
        <w:rPr>
          <w:rFonts w:ascii="Inter" w:hAnsi="Inter" w:cs="Arial"/>
          <w:b/>
          <w:sz w:val="16"/>
          <w:szCs w:val="16"/>
        </w:rPr>
        <w:tab/>
      </w:r>
      <w:r w:rsidR="00831905" w:rsidRPr="00233B98">
        <w:rPr>
          <w:rFonts w:ascii="Inter" w:hAnsi="Inter" w:cs="Arial"/>
          <w:b/>
          <w:sz w:val="16"/>
          <w:szCs w:val="16"/>
          <w:lang w:val="pt-BR"/>
        </w:rPr>
        <w:t>Semnătura</w:t>
      </w:r>
      <w:r w:rsidR="00831905" w:rsidRPr="00233B98">
        <w:rPr>
          <w:rFonts w:ascii="Inter" w:hAnsi="Inter" w:cs="Arial"/>
          <w:b/>
          <w:sz w:val="16"/>
          <w:szCs w:val="16"/>
          <w:lang w:val="pt-BR"/>
        </w:rPr>
        <w:tab/>
      </w:r>
      <w:r w:rsidR="00831905" w:rsidRPr="00233B98">
        <w:rPr>
          <w:rFonts w:ascii="Inter" w:hAnsi="Inter" w:cs="Arial"/>
          <w:b/>
          <w:sz w:val="16"/>
          <w:szCs w:val="16"/>
          <w:lang w:val="pt-BR"/>
        </w:rPr>
        <w:tab/>
        <w:t xml:space="preserve"> . . . . . . . . . . . . </w:t>
      </w:r>
    </w:p>
    <w:p w14:paraId="5CF5E36E" w14:textId="57C71FE4" w:rsidR="00774809" w:rsidRPr="00233B98" w:rsidRDefault="00831905" w:rsidP="00AA1753">
      <w:pPr>
        <w:jc w:val="both"/>
        <w:rPr>
          <w:rFonts w:ascii="Inter" w:hAnsi="Inter" w:cs="Arial"/>
          <w:sz w:val="16"/>
          <w:szCs w:val="16"/>
        </w:rPr>
      </w:pPr>
      <w:r w:rsidRPr="00233B98">
        <w:rPr>
          <w:rFonts w:ascii="Inter" w:hAnsi="Inter" w:cs="Arial"/>
          <w:b/>
          <w:sz w:val="16"/>
          <w:szCs w:val="16"/>
          <w:lang w:val="pt-BR"/>
        </w:rPr>
        <w:tab/>
        <w:t>Data</w:t>
      </w:r>
      <w:r w:rsidRPr="00233B98">
        <w:rPr>
          <w:rFonts w:ascii="Inter" w:hAnsi="Inter" w:cs="Arial"/>
          <w:b/>
          <w:sz w:val="16"/>
          <w:szCs w:val="16"/>
          <w:lang w:val="pt-BR"/>
        </w:rPr>
        <w:tab/>
      </w:r>
      <w:r w:rsidRPr="00233B98">
        <w:rPr>
          <w:rFonts w:ascii="Inter" w:hAnsi="Inter" w:cs="Arial"/>
          <w:b/>
          <w:sz w:val="16"/>
          <w:szCs w:val="16"/>
          <w:lang w:val="pt-BR"/>
        </w:rPr>
        <w:tab/>
        <w:t xml:space="preserve">  . . . . . . . . . . .</w:t>
      </w:r>
      <w:r w:rsidR="00233B98">
        <w:rPr>
          <w:rFonts w:ascii="Inter" w:hAnsi="Inter" w:cs="Arial"/>
          <w:b/>
          <w:sz w:val="16"/>
          <w:szCs w:val="16"/>
          <w:lang w:val="pt-BR"/>
        </w:rPr>
        <w:t>.</w:t>
      </w:r>
    </w:p>
    <w:sectPr w:rsidR="00774809" w:rsidRPr="00233B98" w:rsidSect="00B46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F09E" w14:textId="77777777" w:rsidR="00DE51F3" w:rsidRDefault="00DE51F3" w:rsidP="00CE576A">
      <w:pPr>
        <w:spacing w:after="0" w:line="240" w:lineRule="auto"/>
      </w:pPr>
      <w:r>
        <w:separator/>
      </w:r>
    </w:p>
  </w:endnote>
  <w:endnote w:type="continuationSeparator" w:id="0">
    <w:p w14:paraId="4019C82C" w14:textId="77777777" w:rsidR="00DE51F3" w:rsidRDefault="00DE51F3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FBD0" w14:textId="77777777" w:rsidR="00751C3C" w:rsidRDefault="00751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FEE2" w14:textId="77777777" w:rsidR="00751C3C" w:rsidRDefault="00751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3199" w14:textId="77777777" w:rsidR="00DE51F3" w:rsidRDefault="00DE51F3" w:rsidP="00CE576A">
      <w:pPr>
        <w:spacing w:after="0" w:line="240" w:lineRule="auto"/>
      </w:pPr>
      <w:r>
        <w:separator/>
      </w:r>
    </w:p>
  </w:footnote>
  <w:footnote w:type="continuationSeparator" w:id="0">
    <w:p w14:paraId="56070E6B" w14:textId="77777777" w:rsidR="00DE51F3" w:rsidRDefault="00DE51F3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7A2F" w14:textId="32B29D98" w:rsidR="005126D9" w:rsidRDefault="00D84A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A19E6F" wp14:editId="356304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920" cy="3425825"/>
              <wp:effectExtent l="0" t="1247775" r="0" b="71755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920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1018A" w14:textId="77777777" w:rsidR="00D84A15" w:rsidRDefault="00D84A15" w:rsidP="00D84A1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19E6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49.6pt;height:269.7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Nw9AEAAMUDAAAOAAAAZHJzL2Uyb0RvYy54bWysU8Fy0zAQvTPDP2h0J3YMgcQTpxNayqVA&#10;Z5pOz4okxwZLK1ZK7Px9V4qbMHDr4IPGXklv33v7vLwaTMcOGn0LtuLTSc6ZthJUa3cVf9zcvptz&#10;5oOwSnRgdcWP2vOr1ds3y96VuoAGOqWREYj1Ze8q3oTgyizzstFG+Ak4bWmzBjQi0CfuMoWiJ3TT&#10;ZUWef8x6QOUQpPaeqjenTb5K+HWtZfhR114H1lWcuIW0Ylq3cc1WS1HuULimlSMN8QoWRrSWmp6h&#10;bkQQbI/tP1CmlQge6jCRYDKo61bqpIHUTPO/1Dw0wumkhczx7myT/3+w8vvhwd0jC8NnGGiASYR3&#10;dyB/eWbhuhF2p9eI0DdaKGo85edyorc5Ohprqm70EL6oljyeRl+z3vlyxI/z8KWPnbb9N1B0RewD&#10;pG5DjYYhxGvzRR6fVCZvGDGioR3Pg6IGTFJx9ilfLArakrT3/kMxmxez1FKUES0OwqEPXzUYFl8q&#10;jpSEBCsOdz5EdpcjI9XI7sQzDNuBjkTKW1BHIt1TQiruf+8FajJgb66BAkWqawTzRBFcY5L90nkz&#10;PAl0Y+9AtO+7l4QkAikqillhohPqJwGZjoJ3EB2bJQtOFMfDI9kTarzr3Zrsu22TkgvPUQllJQkc&#10;cx3D+Od3OnX5+1bPAAAA//8DAFBLAwQUAAYACAAAACEApgCEANwAAAAFAQAADwAAAGRycy9kb3du&#10;cmV2LnhtbEyPwU7DMBBE70j8g7VI3KhDq6ImxKkQEYce2yLObrxN0trrEDtNytezcIHLSqMZzbzN&#10;15Oz4oJ9aD0peJwlIJAqb1qqFbzv3x5WIELUZLT1hAquGGBd3N7kOjN+pC1edrEWXEIh0wqaGLtM&#10;ylA16HSY+Q6JvaPvnY4s+1qaXo9c7qycJ8mTdLolXmh0h68NVufd4BSYr+O1W4zjfrPZlsOnbcsS&#10;P05K3d9NL88gIk7xLww/+IwOBTMd/EAmCKuAH4m/l71Vms5BHBQsF+kSZJHL//TFNwAAAP//AwBQ&#10;SwECLQAUAAYACAAAACEAtoM4kv4AAADhAQAAEwAAAAAAAAAAAAAAAAAAAAAAW0NvbnRlbnRfVHlw&#10;ZXNdLnhtbFBLAQItABQABgAIAAAAIQA4/SH/1gAAAJQBAAALAAAAAAAAAAAAAAAAAC8BAABfcmVs&#10;cy8ucmVsc1BLAQItABQABgAIAAAAIQCzD+Nw9AEAAMUDAAAOAAAAAAAAAAAAAAAAAC4CAABkcnMv&#10;ZTJvRG9jLnhtbFBLAQItABQABgAIAAAAIQCmAIQA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781018A" w14:textId="77777777" w:rsidR="00D84A15" w:rsidRDefault="00D84A15" w:rsidP="00D84A1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E6BD" w14:textId="77777777" w:rsidR="00751C3C" w:rsidRDefault="00751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6" w:type="dxa"/>
      <w:tblCellSpacing w:w="11" w:type="dxa"/>
      <w:tblInd w:w="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00"/>
      <w:gridCol w:w="2489"/>
      <w:gridCol w:w="2488"/>
      <w:gridCol w:w="2499"/>
    </w:tblGrid>
    <w:tr w:rsidR="0003702F" w:rsidRPr="00693955" w14:paraId="15769201" w14:textId="77777777" w:rsidTr="00E85F00">
      <w:trPr>
        <w:tblCellSpacing w:w="11" w:type="dxa"/>
      </w:trPr>
      <w:tc>
        <w:tcPr>
          <w:tcW w:w="2467" w:type="dxa"/>
          <w:shd w:val="clear" w:color="auto" w:fill="auto"/>
        </w:tcPr>
        <w:p w14:paraId="1692C9C5" w14:textId="14BAD6B8" w:rsidR="0003702F" w:rsidRPr="00207BD5" w:rsidRDefault="0003702F" w:rsidP="0003702F">
          <w:pPr>
            <w:pStyle w:val="Header"/>
            <w:spacing w:line="160" w:lineRule="exact"/>
            <w:rPr>
              <w:b/>
              <w:sz w:val="14"/>
              <w:szCs w:val="14"/>
            </w:rPr>
          </w:pPr>
          <w:bookmarkStart w:id="0" w:name="_Hlk130547031"/>
          <w:r>
            <w:rPr>
              <w:noProof/>
            </w:rPr>
            <w:drawing>
              <wp:anchor distT="0" distB="0" distL="114300" distR="114300" simplePos="0" relativeHeight="251659776" behindDoc="0" locked="1" layoutInCell="1" allowOverlap="1" wp14:anchorId="6CC9D8E5" wp14:editId="1E328F94">
                <wp:simplePos x="0" y="0"/>
                <wp:positionH relativeFrom="page">
                  <wp:posOffset>-1270</wp:posOffset>
                </wp:positionH>
                <wp:positionV relativeFrom="page">
                  <wp:posOffset>1270</wp:posOffset>
                </wp:positionV>
                <wp:extent cx="706120" cy="27432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7" w:type="dxa"/>
          <w:shd w:val="clear" w:color="auto" w:fill="auto"/>
        </w:tcPr>
        <w:p w14:paraId="6BB2A736" w14:textId="77777777" w:rsidR="0003702F" w:rsidRDefault="0003702F" w:rsidP="0003702F">
          <w:pPr>
            <w:pStyle w:val="Header"/>
            <w:spacing w:line="160" w:lineRule="exact"/>
            <w:rPr>
              <w:sz w:val="14"/>
              <w:szCs w:val="14"/>
            </w:rPr>
          </w:pPr>
        </w:p>
        <w:p w14:paraId="1E62DFF9" w14:textId="77777777" w:rsidR="00751C3C" w:rsidRDefault="00751C3C" w:rsidP="00751C3C">
          <w:pPr>
            <w:rPr>
              <w:rFonts w:ascii="Calibri" w:eastAsia="Calibri" w:hAnsi="Calibri" w:cs="Times New Roman"/>
              <w:sz w:val="14"/>
              <w:szCs w:val="14"/>
            </w:rPr>
          </w:pPr>
        </w:p>
        <w:p w14:paraId="185358B8" w14:textId="3FC5B2A3" w:rsidR="00751C3C" w:rsidRPr="00751C3C" w:rsidRDefault="00751C3C" w:rsidP="00751C3C"/>
      </w:tc>
      <w:tc>
        <w:tcPr>
          <w:tcW w:w="2466" w:type="dxa"/>
          <w:shd w:val="clear" w:color="auto" w:fill="auto"/>
        </w:tcPr>
        <w:p w14:paraId="507F4FA1" w14:textId="77777777" w:rsidR="0003702F" w:rsidRPr="00207BD5" w:rsidRDefault="0003702F" w:rsidP="0003702F">
          <w:pPr>
            <w:pStyle w:val="Header"/>
            <w:spacing w:line="160" w:lineRule="exact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5F75EBDB" w14:textId="77777777" w:rsidR="0003702F" w:rsidRPr="00986151" w:rsidRDefault="0003702F" w:rsidP="0003702F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Banca Comercială Română S.A.</w:t>
          </w:r>
        </w:p>
        <w:p w14:paraId="49E60B72" w14:textId="77777777" w:rsidR="0003702F" w:rsidRPr="00986151" w:rsidRDefault="0003702F" w:rsidP="0003702F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Societate administrată în sistem dualist</w:t>
          </w:r>
        </w:p>
        <w:p w14:paraId="1951FAEB" w14:textId="77777777" w:rsidR="0003702F" w:rsidRPr="00986151" w:rsidRDefault="0003702F" w:rsidP="0003702F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www.bcr.ro </w:t>
          </w:r>
        </w:p>
        <w:p w14:paraId="7913CF6D" w14:textId="77777777" w:rsidR="0003702F" w:rsidRPr="00986151" w:rsidRDefault="0003702F" w:rsidP="0003702F">
          <w:pPr>
            <w:pStyle w:val="Info"/>
            <w:rPr>
              <w:lang w:val="ro-RO"/>
            </w:rPr>
          </w:pPr>
        </w:p>
        <w:p w14:paraId="0809826F" w14:textId="77777777" w:rsidR="0003702F" w:rsidRPr="00986151" w:rsidRDefault="0003702F" w:rsidP="0003702F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Calea Plevnei nr. 159, Business Garden Bucharest, Clădirea A, </w:t>
          </w:r>
          <w:r w:rsidRPr="00986151">
            <w:rPr>
              <w:spacing w:val="-4"/>
              <w:lang w:val="ro-RO"/>
            </w:rPr>
            <w:t>Etaj 6, sector 6, București, cod poștal 060013</w:t>
          </w:r>
        </w:p>
        <w:p w14:paraId="6FDD9D49" w14:textId="77777777" w:rsidR="0003702F" w:rsidRPr="00986151" w:rsidRDefault="0003702F" w:rsidP="0003702F">
          <w:pPr>
            <w:pStyle w:val="Info"/>
            <w:rPr>
              <w:lang w:val="ro-RO"/>
            </w:rPr>
          </w:pPr>
        </w:p>
        <w:p w14:paraId="23E7E5DE" w14:textId="77777777" w:rsidR="0003702F" w:rsidRPr="00986151" w:rsidRDefault="0003702F" w:rsidP="0003702F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Înmatriculată la Registrul Comerţului: J40/90/1991</w:t>
          </w:r>
        </w:p>
        <w:p w14:paraId="126A424E" w14:textId="77777777" w:rsidR="0003702F" w:rsidRPr="00986151" w:rsidRDefault="0003702F" w:rsidP="0003702F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Înmatriculată la Registrul</w:t>
          </w:r>
        </w:p>
        <w:p w14:paraId="117E56D9" w14:textId="77777777" w:rsidR="0003702F" w:rsidRPr="00986151" w:rsidRDefault="0003702F" w:rsidP="0003702F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Instituțiilor de Credit: </w:t>
          </w:r>
        </w:p>
        <w:p w14:paraId="36D67243" w14:textId="77777777" w:rsidR="0003702F" w:rsidRPr="00986151" w:rsidRDefault="0003702F" w:rsidP="0003702F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Nr. RB-PJR-40-008/18.02.1999</w:t>
          </w:r>
        </w:p>
        <w:p w14:paraId="5BEA4D5A" w14:textId="77777777" w:rsidR="0003702F" w:rsidRPr="00986151" w:rsidRDefault="0003702F" w:rsidP="0003702F">
          <w:pPr>
            <w:pStyle w:val="Info"/>
            <w:rPr>
              <w:lang w:val="ro-RO"/>
            </w:rPr>
          </w:pPr>
        </w:p>
        <w:p w14:paraId="46A66DCE" w14:textId="77777777" w:rsidR="0003702F" w:rsidRPr="00986151" w:rsidRDefault="0003702F" w:rsidP="0003702F">
          <w:pPr>
            <w:pStyle w:val="Info"/>
            <w:rPr>
              <w:spacing w:val="-6"/>
              <w:lang w:val="ro-RO"/>
            </w:rPr>
          </w:pPr>
          <w:r w:rsidRPr="00986151">
            <w:rPr>
              <w:spacing w:val="-6"/>
              <w:lang w:val="ro-RO"/>
            </w:rPr>
            <w:t>Cod Unic de Înregistrare: RO 361757</w:t>
          </w:r>
        </w:p>
        <w:p w14:paraId="79CF5831" w14:textId="77777777" w:rsidR="0003702F" w:rsidRPr="00986151" w:rsidRDefault="0003702F" w:rsidP="0003702F">
          <w:pPr>
            <w:pStyle w:val="Info"/>
            <w:rPr>
              <w:spacing w:val="-4"/>
              <w:lang w:val="ro-RO"/>
            </w:rPr>
          </w:pPr>
          <w:r w:rsidRPr="00986151">
            <w:rPr>
              <w:spacing w:val="-4"/>
              <w:lang w:val="ro-RO"/>
            </w:rPr>
            <w:t>Capital Social: 1.625.341.625,40 lei</w:t>
          </w:r>
        </w:p>
        <w:p w14:paraId="22774045" w14:textId="77777777" w:rsidR="0003702F" w:rsidRPr="00986151" w:rsidRDefault="0003702F" w:rsidP="0003702F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SWIFT: RNCB RO BU</w:t>
          </w:r>
        </w:p>
        <w:p w14:paraId="3F1EA396" w14:textId="77777777" w:rsidR="0003702F" w:rsidRPr="00207BD5" w:rsidRDefault="0003702F" w:rsidP="0003702F">
          <w:pPr>
            <w:pStyle w:val="Header"/>
            <w:spacing w:line="160" w:lineRule="exact"/>
            <w:rPr>
              <w:sz w:val="14"/>
              <w:szCs w:val="14"/>
            </w:rPr>
          </w:pPr>
        </w:p>
      </w:tc>
    </w:tr>
  </w:tbl>
  <w:bookmarkEnd w:id="0"/>
  <w:p w14:paraId="04F73838" w14:textId="4796CF88" w:rsidR="00310A12" w:rsidRDefault="0003702F">
    <w:pPr>
      <w:pStyle w:val="Header"/>
    </w:pPr>
    <w:r>
      <w:tab/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03EEA"/>
    <w:multiLevelType w:val="hybridMultilevel"/>
    <w:tmpl w:val="9C6EA082"/>
    <w:lvl w:ilvl="0" w:tplc="18086884">
      <w:start w:val="1"/>
      <w:numFmt w:val="decimal"/>
      <w:lvlText w:val="%1."/>
      <w:lvlJc w:val="left"/>
      <w:pPr>
        <w:ind w:left="1353" w:hanging="64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D1"/>
    <w:rsid w:val="00001FF2"/>
    <w:rsid w:val="000025B3"/>
    <w:rsid w:val="0003702F"/>
    <w:rsid w:val="000422AA"/>
    <w:rsid w:val="0004713F"/>
    <w:rsid w:val="000D6FC7"/>
    <w:rsid w:val="00101ABC"/>
    <w:rsid w:val="00127BDA"/>
    <w:rsid w:val="00131834"/>
    <w:rsid w:val="001468FA"/>
    <w:rsid w:val="001717E9"/>
    <w:rsid w:val="001814D1"/>
    <w:rsid w:val="00196BC7"/>
    <w:rsid w:val="001A7566"/>
    <w:rsid w:val="001B43B4"/>
    <w:rsid w:val="001B7093"/>
    <w:rsid w:val="001C4BCF"/>
    <w:rsid w:val="001C71A3"/>
    <w:rsid w:val="001E2CDD"/>
    <w:rsid w:val="001E7953"/>
    <w:rsid w:val="001F380D"/>
    <w:rsid w:val="00233B98"/>
    <w:rsid w:val="00235151"/>
    <w:rsid w:val="00236978"/>
    <w:rsid w:val="00236C19"/>
    <w:rsid w:val="00251A0D"/>
    <w:rsid w:val="002B1749"/>
    <w:rsid w:val="002B69AF"/>
    <w:rsid w:val="002C46AF"/>
    <w:rsid w:val="002E6704"/>
    <w:rsid w:val="00302A44"/>
    <w:rsid w:val="00310A12"/>
    <w:rsid w:val="003209CA"/>
    <w:rsid w:val="0032360C"/>
    <w:rsid w:val="0035566B"/>
    <w:rsid w:val="00363FB3"/>
    <w:rsid w:val="00371BC4"/>
    <w:rsid w:val="00374169"/>
    <w:rsid w:val="00375CC8"/>
    <w:rsid w:val="0039556E"/>
    <w:rsid w:val="003F6C01"/>
    <w:rsid w:val="00407123"/>
    <w:rsid w:val="004469C0"/>
    <w:rsid w:val="0045535F"/>
    <w:rsid w:val="00477C5F"/>
    <w:rsid w:val="00487274"/>
    <w:rsid w:val="004A6450"/>
    <w:rsid w:val="004C187D"/>
    <w:rsid w:val="004C6C03"/>
    <w:rsid w:val="00502511"/>
    <w:rsid w:val="005126D9"/>
    <w:rsid w:val="00540425"/>
    <w:rsid w:val="00561C71"/>
    <w:rsid w:val="005662EB"/>
    <w:rsid w:val="0058024C"/>
    <w:rsid w:val="00581BD6"/>
    <w:rsid w:val="005B2411"/>
    <w:rsid w:val="005C4369"/>
    <w:rsid w:val="005E627E"/>
    <w:rsid w:val="00647748"/>
    <w:rsid w:val="00674D0E"/>
    <w:rsid w:val="00677D0B"/>
    <w:rsid w:val="00697C2A"/>
    <w:rsid w:val="006A7FB9"/>
    <w:rsid w:val="006C2974"/>
    <w:rsid w:val="00702736"/>
    <w:rsid w:val="007044F3"/>
    <w:rsid w:val="00716C9A"/>
    <w:rsid w:val="00751C3C"/>
    <w:rsid w:val="00754F89"/>
    <w:rsid w:val="00762DA3"/>
    <w:rsid w:val="00774809"/>
    <w:rsid w:val="00781612"/>
    <w:rsid w:val="0079467C"/>
    <w:rsid w:val="007A3636"/>
    <w:rsid w:val="007C3A08"/>
    <w:rsid w:val="007F27D1"/>
    <w:rsid w:val="0083180F"/>
    <w:rsid w:val="00831905"/>
    <w:rsid w:val="0084443E"/>
    <w:rsid w:val="00847BED"/>
    <w:rsid w:val="00867B96"/>
    <w:rsid w:val="008E36E5"/>
    <w:rsid w:val="008F5A6C"/>
    <w:rsid w:val="00900C19"/>
    <w:rsid w:val="00994330"/>
    <w:rsid w:val="009D064E"/>
    <w:rsid w:val="009D3C9A"/>
    <w:rsid w:val="009E334A"/>
    <w:rsid w:val="00A14E62"/>
    <w:rsid w:val="00A35A4F"/>
    <w:rsid w:val="00A55132"/>
    <w:rsid w:val="00A646DF"/>
    <w:rsid w:val="00A75331"/>
    <w:rsid w:val="00A82DA1"/>
    <w:rsid w:val="00A84F27"/>
    <w:rsid w:val="00AA1753"/>
    <w:rsid w:val="00AB1FC6"/>
    <w:rsid w:val="00AB324B"/>
    <w:rsid w:val="00AC739B"/>
    <w:rsid w:val="00AE427F"/>
    <w:rsid w:val="00AE5D12"/>
    <w:rsid w:val="00AE6180"/>
    <w:rsid w:val="00B03334"/>
    <w:rsid w:val="00B22E91"/>
    <w:rsid w:val="00B36633"/>
    <w:rsid w:val="00B41605"/>
    <w:rsid w:val="00B42094"/>
    <w:rsid w:val="00B46B0B"/>
    <w:rsid w:val="00B50506"/>
    <w:rsid w:val="00B95DD2"/>
    <w:rsid w:val="00BA257C"/>
    <w:rsid w:val="00BB6F87"/>
    <w:rsid w:val="00BC608E"/>
    <w:rsid w:val="00BD77F6"/>
    <w:rsid w:val="00BF23C6"/>
    <w:rsid w:val="00BF65A5"/>
    <w:rsid w:val="00C443D1"/>
    <w:rsid w:val="00C556B2"/>
    <w:rsid w:val="00C77558"/>
    <w:rsid w:val="00C9131E"/>
    <w:rsid w:val="00CA096A"/>
    <w:rsid w:val="00CB4239"/>
    <w:rsid w:val="00CC28E8"/>
    <w:rsid w:val="00CD164A"/>
    <w:rsid w:val="00CE576A"/>
    <w:rsid w:val="00CF191F"/>
    <w:rsid w:val="00CF5609"/>
    <w:rsid w:val="00D0078A"/>
    <w:rsid w:val="00D04ACE"/>
    <w:rsid w:val="00D1606D"/>
    <w:rsid w:val="00D45651"/>
    <w:rsid w:val="00D458FB"/>
    <w:rsid w:val="00D5618E"/>
    <w:rsid w:val="00D84A15"/>
    <w:rsid w:val="00DB05BC"/>
    <w:rsid w:val="00DC13DF"/>
    <w:rsid w:val="00DC386D"/>
    <w:rsid w:val="00DD2388"/>
    <w:rsid w:val="00DE3D00"/>
    <w:rsid w:val="00DE51F3"/>
    <w:rsid w:val="00DE5222"/>
    <w:rsid w:val="00DF03E1"/>
    <w:rsid w:val="00E05D3E"/>
    <w:rsid w:val="00E065B1"/>
    <w:rsid w:val="00E4257C"/>
    <w:rsid w:val="00E75100"/>
    <w:rsid w:val="00EB7BED"/>
    <w:rsid w:val="00EC5AD5"/>
    <w:rsid w:val="00ED7DE8"/>
    <w:rsid w:val="00EE5E72"/>
    <w:rsid w:val="00F072CD"/>
    <w:rsid w:val="00F07F73"/>
    <w:rsid w:val="00F33FF2"/>
    <w:rsid w:val="00F6587D"/>
    <w:rsid w:val="00F86DF5"/>
    <w:rsid w:val="00F969AB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Info">
    <w:name w:val="Info"/>
    <w:basedOn w:val="Normal"/>
    <w:uiPriority w:val="11"/>
    <w:qFormat/>
    <w:rsid w:val="0003702F"/>
    <w:pPr>
      <w:spacing w:after="0" w:line="160" w:lineRule="exact"/>
    </w:pPr>
    <w:rPr>
      <w:rFonts w:ascii="Inter" w:eastAsia="Inter" w:hAnsi="Inter" w:cs="Times New Roman"/>
      <w:color w:val="303030"/>
      <w:sz w:val="1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2B87-0C4A-4EF0-A3E1-3024EC79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28</cp:revision>
  <cp:lastPrinted>2019-10-15T05:46:00Z</cp:lastPrinted>
  <dcterms:created xsi:type="dcterms:W3CDTF">2021-04-13T11:26:00Z</dcterms:created>
  <dcterms:modified xsi:type="dcterms:W3CDTF">2023-04-07T08:19:00Z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DocumentId">
    <vt:lpwstr>d8f81f11-42f5-48b5-b62a-997456d324ec</vt:lpwstr>
  </property>
  <property fmtid="{D5CDD505-2E9C-101B-9397-08002B2CF9AE}" pid="12" name="DocumentFN">
    <vt:lpwstr>C:\Users\danai\AppData\Local\Microsoft\Windows\INetCache\Content.Outlook\FSDG3M9S\Buletin de vot corespondenta AGOA 24.04.2023.docx</vt:lpwstr>
  </property>
</Properties>
</file>