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DE8D" w14:textId="345EA9DA" w:rsidR="004874DD" w:rsidRPr="00DF6369" w:rsidRDefault="00D80EE0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  <w:t xml:space="preserve">Šta </w:t>
      </w:r>
      <w:r w:rsidR="004874DD" w:rsidRPr="00DF6369"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  <w:t>je EURIBOR?</w:t>
      </w:r>
    </w:p>
    <w:p w14:paraId="7BB0CF97" w14:textId="357794F5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EURIBOR (eng. Euro Interbank Offered Rate) je referentna kamatna stopa koja se utvrđuje na e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v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ropskom međubankarskom tržištu za valutu euro (EUR). Utvrđuje se dnevno kao prosječna stopa po kojoj prvoklasne banke jedna drugoj u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urozoni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pozajmljuju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neosigurana sredstva u EUR.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omenute banke moraju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da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zadovolj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određene kriterij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ume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kako bi EURIBOR bio reprezentativan i odražavao stvarnu situaciju na tržištu novca. Više informacija o EURIBOR-u dostupno je na: </w:t>
      </w:r>
      <w:hyperlink r:id="rId6" w:history="1">
        <w:r w:rsidRPr="00DF6369">
          <w:rPr>
            <w:rFonts w:ascii="Arial" w:eastAsia="Times New Roman" w:hAnsi="Arial" w:cs="Arial"/>
            <w:color w:val="1F3864" w:themeColor="accent5" w:themeShade="80"/>
            <w:sz w:val="24"/>
            <w:szCs w:val="24"/>
            <w:u w:val="single"/>
          </w:rPr>
          <w:t>www.euribor-ebf.eu</w:t>
        </w:r>
      </w:hyperlink>
    </w:p>
    <w:p w14:paraId="4918C42C" w14:textId="35DD4DEE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Visina EURIBOR-a određena je u značajnoj mjeri referentnom kamatnom stopom E</w:t>
      </w:r>
      <w:r w:rsidR="006A07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v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ropske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c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entralne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b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anke (ECB), odnosno monetarnom politikom ECB-a i drugim faktorima kao npr. sentiment i očekivanja finan</w:t>
      </w:r>
      <w:r w:rsidR="006A07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s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ijskih tržišta. Smjer monetarne politike ECB-a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je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pod ut</w:t>
      </w:r>
      <w:r w:rsidR="006D40E4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cajem ekonomskog ciklusa, prije svega inflatornih kretanja i očekivanja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kao 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dinamike rasta realnog sektora i zaposlenosti. </w:t>
      </w:r>
      <w:r w:rsidR="006A07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Shodno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tome ECB spušta ili podiže referentnu kamatnu stopu, a to onda posl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j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edično ima </w:t>
      </w:r>
      <w:r w:rsidR="006A07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uticaj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na visinu EURIBOR-a.</w:t>
      </w:r>
    </w:p>
    <w:p w14:paraId="562AB09D" w14:textId="0EDC87B0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Erste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Bank AD Podgorica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(</w:t>
      </w:r>
      <w:r w:rsidR="007B2F66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BANKA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) ne </w:t>
      </w:r>
      <w:r w:rsidR="006A07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utiče 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na visinu EURIBOR-a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ne može predvidjeti buduća kretanja EURIBOR-a, a s tim u vezi ni eventualne posl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j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edice koje mogu nastati usl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j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ed promjene EURIBOR-a.</w:t>
      </w:r>
    </w:p>
    <w:p w14:paraId="3EC64EB4" w14:textId="77777777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 </w:t>
      </w:r>
    </w:p>
    <w:p w14:paraId="58C616CC" w14:textId="77777777" w:rsidR="004874DD" w:rsidRPr="00DF6369" w:rsidRDefault="004874DD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  <w:t>Kako se određuje kamatna stopa po kreditu?</w:t>
      </w:r>
    </w:p>
    <w:p w14:paraId="21B6CD97" w14:textId="7A8D0F2B" w:rsidR="008966FE" w:rsidRPr="00DF6369" w:rsidRDefault="008966FE" w:rsidP="00F81DCF">
      <w:pPr>
        <w:ind w:left="27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</w:p>
    <w:p w14:paraId="15257EE0" w14:textId="7C0AF67B" w:rsidR="00E7787A" w:rsidRPr="00DF6369" w:rsidRDefault="00E12859" w:rsidP="00CD21DC">
      <w:pPr>
        <w:ind w:left="27"/>
        <w:jc w:val="both"/>
        <w:rPr>
          <w:rFonts w:ascii="Arial" w:hAnsi="Arial" w:cs="Arial"/>
          <w:iCs/>
          <w:color w:val="1F3864" w:themeColor="accent5" w:themeShade="80"/>
          <w:sz w:val="24"/>
          <w:szCs w:val="24"/>
        </w:rPr>
      </w:pP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Nominalna kamatna stop</w:t>
      </w:r>
      <w:r w:rsidR="008966FE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a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predstavlja </w:t>
      </w:r>
      <w:r w:rsidR="008966FE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zbir fiksnog ugovorenog broja p</w:t>
      </w:r>
      <w:r w:rsid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rocentnih poena</w:t>
      </w:r>
      <w:r w:rsidR="008966FE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godišnje i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6-mjesečn</w:t>
      </w:r>
      <w:r w:rsidR="008966FE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og EURIBOR-a (referentna stopa)</w:t>
      </w:r>
    </w:p>
    <w:p w14:paraId="5C784CEF" w14:textId="4B9ED9EC" w:rsidR="00E12859" w:rsidRPr="00DF6369" w:rsidRDefault="00E7787A" w:rsidP="00CD21DC">
      <w:pPr>
        <w:ind w:left="27"/>
        <w:jc w:val="both"/>
        <w:rPr>
          <w:rFonts w:ascii="Arial" w:hAnsi="Arial" w:cs="Arial"/>
          <w:iCs/>
          <w:color w:val="1F3864" w:themeColor="accent5" w:themeShade="80"/>
          <w:sz w:val="24"/>
          <w:szCs w:val="24"/>
        </w:rPr>
      </w:pP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B</w:t>
      </w:r>
      <w:r w:rsidR="00270783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ANKA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sa </w:t>
      </w:r>
      <w:r w:rsidR="00270783"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klijentom ugovara </w:t>
      </w:r>
      <w:r w:rsidR="00E12859"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donju granicu promjenljivog dijela kamatne stope (tzv. Floor) i to na iznos od 0,00%, tako da će se promjenljivi dio kamatne stope </w:t>
      </w:r>
      <w:r w:rsidR="00E12859"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lastRenderedPageBreak/>
        <w:t>kretati u skladu sa referentnom kamatnom stopom, ali uzimajući u obzir ograničenje utvrđeno donjom granicom promjenljivog dijela kamatne stope.</w:t>
      </w:r>
    </w:p>
    <w:p w14:paraId="4836BA18" w14:textId="5AFDB01E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Početna vrijednost </w:t>
      </w:r>
      <w:r w:rsidR="006A07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6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M EURIBOR-a </w:t>
      </w:r>
      <w:r w:rsidR="00A611C2" w:rsidRPr="00A611C2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za naredni obračunski period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je vrijednost utvrđena i objavljena od strane ovlaš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ć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enog </w:t>
      </w:r>
      <w:r w:rsidR="00270783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informacionog sistema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/administratora (u ovom trenutku THOMSON REUTERS) nakon 12:00 sati po srednjee</w:t>
      </w:r>
      <w:r w:rsidR="00270783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v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ropskom vremenu dva relevantna dana prije </w:t>
      </w:r>
      <w:r w:rsid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početka tog kamatnog razdoblja.</w:t>
      </w:r>
    </w:p>
    <w:p w14:paraId="768E0FDE" w14:textId="217CF701" w:rsidR="004874DD" w:rsidRPr="00DF6369" w:rsidRDefault="00270783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6M 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EURIBOR se utvrđuje za svako </w:t>
      </w:r>
      <w:r w:rsidR="00D1651F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naredno 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kamatno razdoblje u visini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6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mjesečnog (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š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estomjesečnog)  EURIBOR-a utvrđenog i objavljenog od strane ovlaš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ć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enog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informacionog sistema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/administratora (u ovom trenutku THOMSON REUTERS) nakon 12:00 sati po srednjee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v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ropskom vremenu dva relevantna dana prije njegov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og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početka.</w:t>
      </w:r>
    </w:p>
    <w:p w14:paraId="1B1C34A8" w14:textId="77777777" w:rsidR="007D25D5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Relevantnim danima </w:t>
      </w:r>
      <w:r w:rsidR="00E7787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će se smatrati oni dani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za koje je objavljena vrijednost EURIBOR-a uz </w:t>
      </w:r>
      <w:r w:rsidR="00E7787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uslov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da je za svaki od ta dva dana objavljena vrijednost EURIBOR-a.</w:t>
      </w:r>
    </w:p>
    <w:p w14:paraId="604E5170" w14:textId="5B6D51CD" w:rsidR="00D1651F" w:rsidRPr="00DF6369" w:rsidRDefault="00E7787A" w:rsidP="005F5AAE">
      <w:pPr>
        <w:spacing w:after="100" w:afterAutospacing="1" w:line="240" w:lineRule="auto"/>
        <w:jc w:val="both"/>
        <w:rPr>
          <w:rFonts w:ascii="Arial" w:hAnsi="Arial" w:cs="Arial"/>
          <w:i/>
          <w:iCs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K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amatn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a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razdoblj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a 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traj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 6 </w:t>
      </w:r>
      <w:r w:rsidR="004874DD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mjeseci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  <w:r w:rsidR="00270783" w:rsidRPr="00DF6369">
        <w:rPr>
          <w:rFonts w:ascii="Arial" w:hAnsi="Arial" w:cs="Arial"/>
          <w:i/>
          <w:iCs/>
          <w:color w:val="1F3864" w:themeColor="accent5" w:themeShade="80"/>
          <w:sz w:val="24"/>
          <w:szCs w:val="24"/>
        </w:rPr>
        <w:t xml:space="preserve"> </w:t>
      </w:r>
    </w:p>
    <w:p w14:paraId="26A1030F" w14:textId="0BE804EF" w:rsidR="006A07D8" w:rsidRPr="00DF6369" w:rsidRDefault="00315F38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Za kredite</w:t>
      </w:r>
      <w:r w:rsidR="005377F7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ugovorene 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nakon 01.01.2018.godine tj.</w:t>
      </w:r>
      <w:r w:rsid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od implementacije IFRS 9 standarda,</w:t>
      </w:r>
      <w:r w:rsidR="007D25D5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p</w:t>
      </w:r>
      <w:r w:rsidR="00270783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rvo kamatno razdoblje počinje prvog dana u mjesecu u toku kojeg je </w:t>
      </w:r>
      <w:r w:rsidR="005377F7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u</w:t>
      </w:r>
      <w:r w:rsidR="00270783"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govor zaključen i završava se istekom 6 (šest) mjeseci računajući od tog dana. Svako sljedeće kamatno razdoblje traje 6 (šest) mjeseci </w:t>
      </w:r>
    </w:p>
    <w:p w14:paraId="3D4A333F" w14:textId="5F120809" w:rsidR="00315F38" w:rsidRPr="00DF6369" w:rsidRDefault="00315F38" w:rsidP="005F5AAE">
      <w:pPr>
        <w:spacing w:after="100" w:afterAutospacing="1" w:line="240" w:lineRule="auto"/>
        <w:jc w:val="both"/>
        <w:rPr>
          <w:rFonts w:ascii="Arial" w:hAnsi="Arial" w:cs="Arial"/>
          <w:i/>
          <w:iCs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Za </w:t>
      </w:r>
      <w:bookmarkStart w:id="0" w:name="_GoBack"/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kred</w:t>
      </w:r>
      <w:bookmarkEnd w:id="0"/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ite ugovorene prije 01.01.2018.godine, kamatna razdoblja </w:t>
      </w:r>
      <w:r w:rsidR="005377F7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ne zavise od mjeseca zaključenja ugovora, već se usklađivanje kamatne stope sa promjenjama </w:t>
      </w:r>
      <w:r w:rsidR="00163570" w:rsidRPr="00DF6369">
        <w:rPr>
          <w:rFonts w:ascii="Arial" w:hAnsi="Arial" w:cs="Arial"/>
          <w:color w:val="1F3864" w:themeColor="accent5" w:themeShade="80"/>
          <w:sz w:val="24"/>
          <w:szCs w:val="24"/>
        </w:rPr>
        <w:t xml:space="preserve">EURIBOR-a sprovode 01.01.i </w:t>
      </w:r>
      <w:r w:rsidR="005377F7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01.07.</w:t>
      </w:r>
      <w:r w:rsidR="007B2F66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</w:t>
      </w:r>
      <w:r w:rsidR="002D7FD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uzimajući u obzir prilikom zaključenja ugovora o kreditu vrijednost </w:t>
      </w:r>
      <w:r w:rsidR="002D7FDC" w:rsidRPr="00DF6369">
        <w:rPr>
          <w:rFonts w:ascii="Arial" w:hAnsi="Arial" w:cs="Arial"/>
          <w:color w:val="1F3864" w:themeColor="accent5" w:themeShade="80"/>
          <w:sz w:val="24"/>
          <w:szCs w:val="24"/>
        </w:rPr>
        <w:t xml:space="preserve">EURIBOR-a </w:t>
      </w:r>
      <w:r w:rsidR="003908DA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sa</w:t>
      </w:r>
      <w:r w:rsidR="002D7FD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</w:t>
      </w:r>
      <w:r w:rsidR="00E92B6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bližeg </w:t>
      </w:r>
      <w:r w:rsidR="002D7FD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datuma koji </w:t>
      </w:r>
      <w:r w:rsidR="00E92B6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je </w:t>
      </w:r>
      <w:r w:rsidR="002D7FD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prethodi</w:t>
      </w:r>
      <w:r w:rsidR="00E92B6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o</w:t>
      </w:r>
      <w:r w:rsidR="002D7FD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zaključenju ugovora o kreditu</w:t>
      </w:r>
      <w:r w:rsidR="007B2F66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</w:t>
      </w:r>
    </w:p>
    <w:p w14:paraId="5BAFFC45" w14:textId="51CB187C" w:rsidR="006A07D8" w:rsidRPr="00DF6369" w:rsidRDefault="006A07D8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U slučaju promjene ovlašćenog informacionog sistema/administratora, kao i vremena i pravila utvrđivanja i objavljivanja referentne kamatne stope, koristiće </w:t>
      </w:r>
      <w:r w:rsidRP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lastRenderedPageBreak/>
        <w:t xml:space="preserve">se ovlašćeni informacioni sistemi/administratori, o čemu će BANKA blagovremeno obavijestiti </w:t>
      </w:r>
      <w:r w:rsidR="00DB68D1">
        <w:rPr>
          <w:rFonts w:ascii="Arial" w:hAnsi="Arial" w:cs="Arial"/>
          <w:iCs/>
          <w:color w:val="1F3864" w:themeColor="accent5" w:themeShade="80"/>
          <w:sz w:val="24"/>
          <w:szCs w:val="24"/>
        </w:rPr>
        <w:t>klijenta.</w:t>
      </w:r>
    </w:p>
    <w:p w14:paraId="096DCB5F" w14:textId="20629DC2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</w:p>
    <w:p w14:paraId="541FA8FE" w14:textId="150CFE96" w:rsidR="004874DD" w:rsidRPr="00DF6369" w:rsidRDefault="004874DD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  <w:t>Primjer:</w:t>
      </w:r>
    </w:p>
    <w:p w14:paraId="5DA2FBED" w14:textId="31E19008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Kredit ugovarate 15.4.20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</w:p>
    <w:p w14:paraId="50A7A344" w14:textId="50F7AC33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Prvo utvrđivanje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 kamatne stope = vrijednost 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6M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EURIBOR-a za dan 1.4.20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 objavljena dva relevantna  dana prije  (npr. 0,6%) + fiksni ugovoreni broj p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rocentnih poena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(npr. 5,4 p.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.) što ukupno iznosi 6% i v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až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 za prvo kamatno razdoblje koje traje od 1.4.20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 do 30.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9</w:t>
      </w:r>
      <w:r w:rsidR="00851721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2022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</w:p>
    <w:p w14:paraId="1176A8BB" w14:textId="3DE64BFC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Drugo utvrđivanje 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kamatne stope: vrijednost 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6M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EURIBOR-a za dan 1.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10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.20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 objavljena dva relevantna dana prije + fiksni ugovoreni broj p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rocentnih poena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(npr. 5,4 p.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.) </w:t>
      </w: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 </w:t>
      </w:r>
    </w:p>
    <w:p w14:paraId="1033D8B7" w14:textId="4A7B8BEC" w:rsidR="004874DD" w:rsidRPr="00DF6369" w:rsidRDefault="004874DD" w:rsidP="005F5AAE">
      <w:pPr>
        <w:numPr>
          <w:ilvl w:val="0"/>
          <w:numId w:val="12"/>
        </w:numPr>
        <w:spacing w:before="100" w:beforeAutospacing="1" w:after="100" w:afterAutospacing="1" w:line="240" w:lineRule="auto"/>
        <w:ind w:left="2220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Ukoliko se vrijednost 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6M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EURIBOR-a poveća za 0,5 p.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., i sada iznosi 1,1%, ukupna kamatna stopa će se povećati za 0,5 p.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 odnosno iznosiće 6,5%</w:t>
      </w: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 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za drugo kamatno razdoblje.</w:t>
      </w:r>
    </w:p>
    <w:p w14:paraId="16239150" w14:textId="00B3BD05" w:rsidR="004874DD" w:rsidRPr="00DF6369" w:rsidRDefault="004874DD" w:rsidP="005F5AAE">
      <w:pPr>
        <w:numPr>
          <w:ilvl w:val="0"/>
          <w:numId w:val="12"/>
        </w:numPr>
        <w:spacing w:before="100" w:beforeAutospacing="1" w:after="100" w:afterAutospacing="1" w:line="240" w:lineRule="auto"/>
        <w:ind w:left="2220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Drugo kamatno razdoblje traje od 1.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10.2022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 do 3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1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  <w:r w:rsidR="0022694A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3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  <w:r w:rsidR="00983F4E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2022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</w:p>
    <w:p w14:paraId="6793A8A8" w14:textId="0A672BF5" w:rsidR="00163570" w:rsidRPr="00DF6369" w:rsidRDefault="004874DD" w:rsidP="00163570">
      <w:pPr>
        <w:spacing w:after="100" w:afterAutospacing="1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Svako sl</w:t>
      </w:r>
      <w:r w:rsid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j</w:t>
      </w: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edeće utvrđivanje 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kamatne stope</w:t>
      </w:r>
      <w:r w:rsidR="00163570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: vrijednost 6M EURIBOR-a za 01.u mjesecu kada počinje sl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j</w:t>
      </w:r>
      <w:r w:rsidR="00163570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edeće kamatno razdoblje+fiksni dio kamatne stope (npr.5,4 p.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p.</w:t>
      </w:r>
      <w:r w:rsidR="00163570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)</w:t>
      </w:r>
    </w:p>
    <w:p w14:paraId="2059CD81" w14:textId="330DFFE4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Iz navedenog primjera</w:t>
      </w:r>
      <w:r w:rsidR="00163570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se jasno vidi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da promjena vrijednosti EURIBOR-a ut</w:t>
      </w:r>
      <w:r w:rsidR="00163570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iče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na visinu ugovorne kamatne stope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, a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time i na visinu iznosa </w:t>
      </w:r>
      <w:r w:rsidR="00163570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anuiteta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</w:p>
    <w:p w14:paraId="302D8217" w14:textId="77777777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</w:rPr>
        <w:t> </w:t>
      </w:r>
    </w:p>
    <w:p w14:paraId="5CE476FC" w14:textId="19ABD9EC" w:rsidR="004874DD" w:rsidRPr="00DF6369" w:rsidRDefault="004874DD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  <w:t>Gdje možete pratiti vrijednosti EURIBOR-a?</w:t>
      </w:r>
    </w:p>
    <w:p w14:paraId="43B57817" w14:textId="5A4CE74D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lastRenderedPageBreak/>
        <w:t>Vrijednosti EURIBOR-a mogu se pratiti na web stranicama Erste banke: www.erstebank.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me  </w:t>
      </w:r>
      <w:r w:rsidR="00DF6369" w:rsidRP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a</w:t>
      </w:r>
      <w:r w:rsidRP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mogu </w:t>
      </w:r>
      <w:r w:rsidR="00DF6369" w:rsidRP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se </w:t>
      </w:r>
      <w:r w:rsidRP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dobiti i u </w:t>
      </w:r>
      <w:r w:rsidR="00DF6369" w:rsidRP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filijalama E</w:t>
      </w:r>
      <w:r w:rsidRPr="00346A51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rste banke.</w:t>
      </w:r>
    </w:p>
    <w:p w14:paraId="23CCDC54" w14:textId="3A23F39C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Uz navedenu stranicu, vrijednosti se mogu pratiti i 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preko  informacioni</w:t>
      </w:r>
      <w:r w:rsidR="008D7074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h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 sistema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Thomson Reuters i Bloomberg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, kao 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na internet stranicama:</w:t>
      </w:r>
    </w:p>
    <w:p w14:paraId="052D516B" w14:textId="77777777" w:rsidR="004874DD" w:rsidRPr="00DF6369" w:rsidRDefault="008D7074" w:rsidP="005F5AAE">
      <w:pPr>
        <w:numPr>
          <w:ilvl w:val="0"/>
          <w:numId w:val="14"/>
        </w:numPr>
        <w:spacing w:before="100" w:beforeAutospacing="1" w:after="100" w:afterAutospacing="1" w:line="240" w:lineRule="auto"/>
        <w:ind w:left="2220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hyperlink r:id="rId7" w:tgtFrame="_blank" w:history="1">
        <w:r w:rsidR="004874DD" w:rsidRPr="00DF6369">
          <w:rPr>
            <w:rFonts w:ascii="Arial" w:eastAsia="Times New Roman" w:hAnsi="Arial" w:cs="Arial"/>
            <w:color w:val="1F3864" w:themeColor="accent5" w:themeShade="80"/>
            <w:sz w:val="24"/>
            <w:szCs w:val="24"/>
            <w:u w:val="single"/>
          </w:rPr>
          <w:t>www.euribor-ebf.eu</w:t>
        </w:r>
      </w:hyperlink>
    </w:p>
    <w:p w14:paraId="3699339D" w14:textId="77777777" w:rsidR="004874DD" w:rsidRPr="00DF6369" w:rsidRDefault="008D7074" w:rsidP="005F5AAE">
      <w:pPr>
        <w:numPr>
          <w:ilvl w:val="0"/>
          <w:numId w:val="14"/>
        </w:numPr>
        <w:spacing w:before="100" w:beforeAutospacing="1" w:after="100" w:afterAutospacing="1" w:line="240" w:lineRule="auto"/>
        <w:ind w:left="2220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hyperlink r:id="rId8" w:history="1">
        <w:r w:rsidR="004874DD" w:rsidRPr="00DF6369">
          <w:rPr>
            <w:rFonts w:ascii="Arial" w:eastAsia="Times New Roman" w:hAnsi="Arial" w:cs="Arial"/>
            <w:color w:val="1F3864" w:themeColor="accent5" w:themeShade="80"/>
            <w:sz w:val="24"/>
            <w:szCs w:val="24"/>
            <w:u w:val="single"/>
          </w:rPr>
          <w:t>www.global-rates.com</w:t>
        </w:r>
      </w:hyperlink>
    </w:p>
    <w:p w14:paraId="2E5DDB4A" w14:textId="77777777" w:rsidR="004874DD" w:rsidRPr="00DF6369" w:rsidRDefault="008D7074" w:rsidP="005F5AAE">
      <w:pPr>
        <w:numPr>
          <w:ilvl w:val="0"/>
          <w:numId w:val="14"/>
        </w:numPr>
        <w:spacing w:before="100" w:beforeAutospacing="1" w:after="100" w:afterAutospacing="1" w:line="240" w:lineRule="auto"/>
        <w:ind w:left="2220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hyperlink r:id="rId9" w:history="1">
        <w:r w:rsidR="004874DD" w:rsidRPr="00DF6369">
          <w:rPr>
            <w:rFonts w:ascii="Arial" w:eastAsia="Times New Roman" w:hAnsi="Arial" w:cs="Arial"/>
            <w:color w:val="1F3864" w:themeColor="accent5" w:themeShade="80"/>
            <w:sz w:val="24"/>
            <w:szCs w:val="24"/>
            <w:u w:val="single"/>
          </w:rPr>
          <w:t>www.euribor-rates.eu</w:t>
        </w:r>
      </w:hyperlink>
    </w:p>
    <w:p w14:paraId="13AA7E1F" w14:textId="77777777" w:rsidR="004842D8" w:rsidRPr="00DF6369" w:rsidRDefault="004842D8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color w:val="1F3864" w:themeColor="accent5" w:themeShade="80"/>
          <w:sz w:val="36"/>
          <w:szCs w:val="36"/>
        </w:rPr>
      </w:pPr>
      <w:r w:rsidRPr="00DF6369">
        <w:rPr>
          <w:rFonts w:ascii="Arial" w:hAnsi="Arial" w:cs="Arial"/>
          <w:color w:val="1F3864" w:themeColor="accent5" w:themeShade="80"/>
          <w:sz w:val="36"/>
          <w:szCs w:val="36"/>
        </w:rPr>
        <w:t xml:space="preserve">Rizik promjenljive kamatne stope </w:t>
      </w:r>
    </w:p>
    <w:p w14:paraId="6751A52E" w14:textId="4A47EDCF" w:rsidR="007D25D5" w:rsidRPr="00346A51" w:rsidRDefault="004842D8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iCs/>
          <w:color w:val="1F3864" w:themeColor="accent5" w:themeShade="80"/>
          <w:sz w:val="24"/>
          <w:szCs w:val="24"/>
        </w:rPr>
      </w:pP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Ugovaranje promjenjive kamatne stope izlaže </w:t>
      </w:r>
      <w:r w:rsidR="00DB68D1">
        <w:rPr>
          <w:rFonts w:ascii="Arial" w:hAnsi="Arial" w:cs="Arial"/>
          <w:iCs/>
          <w:color w:val="1F3864" w:themeColor="accent5" w:themeShade="80"/>
          <w:sz w:val="24"/>
          <w:szCs w:val="24"/>
        </w:rPr>
        <w:t>klijenta</w:t>
      </w:r>
      <w:r w:rsidR="00DB68D1"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>riziku promjene kamatne stope, što može uticati na izmjenu ukupnog iznosa koji se plaća po kreditu (njegovo povećanje ili smanjenje). Npr. rast referentne kamatne stope (EURIBOR-a) uz koju je vezana kamatna stopa po kreditu</w:t>
      </w:r>
      <w:r w:rsid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,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može uticati na rast mjesečnog iznosa anuiteta i uticati na finansijski položaj </w:t>
      </w:r>
      <w:r w:rsidR="002D7FDC">
        <w:rPr>
          <w:rFonts w:ascii="Arial" w:hAnsi="Arial" w:cs="Arial"/>
          <w:iCs/>
          <w:color w:val="1F3864" w:themeColor="accent5" w:themeShade="80"/>
          <w:sz w:val="24"/>
          <w:szCs w:val="24"/>
        </w:rPr>
        <w:t>klijenta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i sposobnost otplate kredita, ali i obrnuto (njenim smanjenjem smanjiće se iznos anuiteta). </w:t>
      </w:r>
    </w:p>
    <w:p w14:paraId="0EB520EA" w14:textId="42D44BDC" w:rsidR="004842D8" w:rsidRPr="00346A51" w:rsidRDefault="004842D8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iCs/>
          <w:color w:val="1F3864" w:themeColor="accent5" w:themeShade="80"/>
          <w:sz w:val="24"/>
          <w:szCs w:val="24"/>
        </w:rPr>
      </w:pP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Vjerovatnoća promjene kamatne stope je veća što je duži </w:t>
      </w:r>
      <w:r w:rsidR="002D7FDC">
        <w:rPr>
          <w:rFonts w:ascii="Arial" w:hAnsi="Arial" w:cs="Arial"/>
          <w:iCs/>
          <w:color w:val="1F3864" w:themeColor="accent5" w:themeShade="80"/>
          <w:sz w:val="24"/>
          <w:szCs w:val="24"/>
        </w:rPr>
        <w:t>r</w:t>
      </w:r>
      <w:r w:rsidR="002D7FDC"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ok 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>otplate</w:t>
      </w:r>
      <w:r w:rsidR="002D7FDC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kredita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>. Važno  je  razumjeti  da  nije  moguće  izvjesno  i  sigurno  predvidjeti  događaje  koji  ut</w:t>
      </w:r>
      <w:r w:rsid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ič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u  na  promjenu takvih kamatnih stopa, </w:t>
      </w:r>
      <w:r w:rsid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pa</w:t>
      </w:r>
      <w:r w:rsidRPr="00346A51">
        <w:rPr>
          <w:rFonts w:ascii="Arial" w:hAnsi="Arial" w:cs="Arial"/>
          <w:iCs/>
          <w:color w:val="1F3864" w:themeColor="accent5" w:themeShade="80"/>
          <w:sz w:val="24"/>
          <w:szCs w:val="24"/>
        </w:rPr>
        <w:t xml:space="preserve"> je na svakoj ugovornoj strani odgovornost da procijeni svoj interes i prihvatljivost takvog rizika</w:t>
      </w:r>
      <w:r w:rsidR="00DF6369">
        <w:rPr>
          <w:rFonts w:ascii="Arial" w:hAnsi="Arial" w:cs="Arial"/>
          <w:iCs/>
          <w:color w:val="1F3864" w:themeColor="accent5" w:themeShade="80"/>
          <w:sz w:val="24"/>
          <w:szCs w:val="24"/>
        </w:rPr>
        <w:t>.</w:t>
      </w:r>
    </w:p>
    <w:p w14:paraId="55BC6695" w14:textId="77777777" w:rsidR="004842D8" w:rsidRPr="00346A51" w:rsidRDefault="004842D8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i/>
          <w:iCs/>
          <w:color w:val="1F3864" w:themeColor="accent5" w:themeShade="80"/>
          <w:sz w:val="20"/>
          <w:szCs w:val="20"/>
        </w:rPr>
      </w:pPr>
    </w:p>
    <w:p w14:paraId="37B83719" w14:textId="77777777" w:rsidR="004874DD" w:rsidRPr="00DF6369" w:rsidRDefault="004874DD" w:rsidP="005F5AA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</w:pPr>
      <w:r w:rsidRPr="00DF6369">
        <w:rPr>
          <w:rFonts w:ascii="Arial" w:eastAsia="Times New Roman" w:hAnsi="Arial" w:cs="Arial"/>
          <w:b/>
          <w:bCs/>
          <w:color w:val="1F3864" w:themeColor="accent5" w:themeShade="80"/>
          <w:sz w:val="36"/>
          <w:szCs w:val="36"/>
        </w:rPr>
        <w:t>Savjet:</w:t>
      </w:r>
    </w:p>
    <w:p w14:paraId="3126932C" w14:textId="70D19B49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Prije odluke o potpisu ugovora  o kreditu sa ugovornom kamatnom stopom vezanom uz EURIBOR, 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informišite 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se o značenju i promjenjivosti EURIBOR-a, njegovim 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istorijskim 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kretanjima </w:t>
      </w:r>
      <w:r w:rsid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kao 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o potencijalnom riziku promjene EURIBOR-a</w:t>
      </w:r>
      <w:r w:rsidR="002D7FDC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,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konsultujući i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odgovarajuće izvore 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nezavisne 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o</w:t>
      </w:r>
      <w:r w:rsidR="004842D8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d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 </w:t>
      </w:r>
      <w:r w:rsidR="002D7FDC"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BANKE</w:t>
      </w: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.</w:t>
      </w:r>
    </w:p>
    <w:p w14:paraId="2FE8D7B3" w14:textId="77777777" w:rsidR="004874DD" w:rsidRPr="00DF6369" w:rsidRDefault="004874DD" w:rsidP="005F5AAE">
      <w:pPr>
        <w:spacing w:after="100" w:afterAutospacing="1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> </w:t>
      </w:r>
    </w:p>
    <w:p w14:paraId="12A7CA44" w14:textId="77777777" w:rsidR="004874DD" w:rsidRPr="00DF6369" w:rsidRDefault="004874DD" w:rsidP="005F5AAE">
      <w:pPr>
        <w:spacing w:after="0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DF6369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lastRenderedPageBreak/>
        <w:t> </w:t>
      </w:r>
    </w:p>
    <w:p w14:paraId="4A075D2E" w14:textId="343F31A3" w:rsidR="004874DD" w:rsidRPr="00DF6369" w:rsidRDefault="004874DD" w:rsidP="005F5AAE">
      <w:pPr>
        <w:spacing w:after="0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</w:rPr>
      </w:pPr>
      <w:r w:rsidRPr="00503433">
        <w:rPr>
          <w:rFonts w:ascii="Arial" w:eastAsia="Times New Roman" w:hAnsi="Arial" w:cs="Arial"/>
          <w:noProof/>
          <w:color w:val="1F3864" w:themeColor="accent5" w:themeShade="80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B93B8BF" wp14:editId="1D236289">
                <wp:extent cx="302260" cy="302260"/>
                <wp:effectExtent l="0" t="0" r="0" b="0"/>
                <wp:docPr id="1" name="Rectangle 1" descr="https://cdn0.erstegroup.com/gemlip/v1/dam/2zej5PqzcnLRpe4bTUfgf3T1WTG5/hr/ebc/www_erstebank_hr/gradani/multimedia/krediti/w950_0_0_0_0_0_m_1475436520540.Euribor_manj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5DA31" id="Rectangle 1" o:spid="_x0000_s1026" alt="https://cdn0.erstegroup.com/gemlip/v1/dam/2zej5PqzcnLRpe4bTUfgf3T1WTG5/hr/ebc/www_erstebank_hr/gradani/multimedia/krediti/w950_0_0_0_0_0_m_1475436520540.Euribor_manja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CcQSxz&#10;MgMAAGoGAAAOAAAAAAAAAAAAAAAAAC4CAABkcnMvZTJvRG9jLnhtbFBLAQItABQABgAIAAAAIQAC&#10;nVV4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14:paraId="551D996C" w14:textId="77777777" w:rsidR="00C72F76" w:rsidRPr="00DF6369" w:rsidRDefault="00C72F76" w:rsidP="00F81DCF">
      <w:pPr>
        <w:rPr>
          <w:color w:val="1F3864" w:themeColor="accent5" w:themeShade="80"/>
        </w:rPr>
      </w:pPr>
    </w:p>
    <w:sectPr w:rsidR="00C72F76" w:rsidRPr="00DF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F3"/>
    <w:multiLevelType w:val="multilevel"/>
    <w:tmpl w:val="C09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64BF"/>
    <w:multiLevelType w:val="multilevel"/>
    <w:tmpl w:val="6FB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5E1D"/>
    <w:multiLevelType w:val="multilevel"/>
    <w:tmpl w:val="A03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059F"/>
    <w:multiLevelType w:val="multilevel"/>
    <w:tmpl w:val="C5F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E4C13"/>
    <w:multiLevelType w:val="multilevel"/>
    <w:tmpl w:val="8702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56738"/>
    <w:multiLevelType w:val="multilevel"/>
    <w:tmpl w:val="3E2E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508DB"/>
    <w:multiLevelType w:val="multilevel"/>
    <w:tmpl w:val="C86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06282"/>
    <w:multiLevelType w:val="multilevel"/>
    <w:tmpl w:val="C79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B426D"/>
    <w:multiLevelType w:val="multilevel"/>
    <w:tmpl w:val="150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B4777"/>
    <w:multiLevelType w:val="multilevel"/>
    <w:tmpl w:val="B0A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B757F"/>
    <w:multiLevelType w:val="multilevel"/>
    <w:tmpl w:val="AAF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C31D9"/>
    <w:multiLevelType w:val="multilevel"/>
    <w:tmpl w:val="28C6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B691F"/>
    <w:multiLevelType w:val="multilevel"/>
    <w:tmpl w:val="255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F3DB2"/>
    <w:multiLevelType w:val="multilevel"/>
    <w:tmpl w:val="46F2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DD"/>
    <w:rsid w:val="0016214B"/>
    <w:rsid w:val="00163570"/>
    <w:rsid w:val="00217F55"/>
    <w:rsid w:val="0022694A"/>
    <w:rsid w:val="00270783"/>
    <w:rsid w:val="002B1F15"/>
    <w:rsid w:val="002D7FDC"/>
    <w:rsid w:val="00315F38"/>
    <w:rsid w:val="00346A51"/>
    <w:rsid w:val="00351C3A"/>
    <w:rsid w:val="003908DA"/>
    <w:rsid w:val="004842D8"/>
    <w:rsid w:val="004874DD"/>
    <w:rsid w:val="00503433"/>
    <w:rsid w:val="005377F7"/>
    <w:rsid w:val="005F5AAE"/>
    <w:rsid w:val="00644C39"/>
    <w:rsid w:val="006A07D8"/>
    <w:rsid w:val="006D40E4"/>
    <w:rsid w:val="006E3A71"/>
    <w:rsid w:val="007B2F66"/>
    <w:rsid w:val="007D25D5"/>
    <w:rsid w:val="00851721"/>
    <w:rsid w:val="008966FE"/>
    <w:rsid w:val="008D7074"/>
    <w:rsid w:val="00941714"/>
    <w:rsid w:val="00965E52"/>
    <w:rsid w:val="009805C2"/>
    <w:rsid w:val="00983F4E"/>
    <w:rsid w:val="009D5DA7"/>
    <w:rsid w:val="009E695D"/>
    <w:rsid w:val="00A611C2"/>
    <w:rsid w:val="00A83F75"/>
    <w:rsid w:val="00C72F76"/>
    <w:rsid w:val="00CD21DC"/>
    <w:rsid w:val="00D1651F"/>
    <w:rsid w:val="00D80EE0"/>
    <w:rsid w:val="00DB68D1"/>
    <w:rsid w:val="00DF6369"/>
    <w:rsid w:val="00E12859"/>
    <w:rsid w:val="00E7787A"/>
    <w:rsid w:val="00E92B6C"/>
    <w:rsid w:val="00EF0930"/>
    <w:rsid w:val="00F715E3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15B4"/>
  <w15:chartTrackingRefBased/>
  <w15:docId w15:val="{1B96E754-35B5-4E97-8A79-661D765D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link w:val="Heading1Char"/>
    <w:uiPriority w:val="9"/>
    <w:qFormat/>
    <w:rsid w:val="0048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7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87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7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874D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74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4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7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4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74DD"/>
    <w:rPr>
      <w:rFonts w:ascii="Arial" w:eastAsia="Times New Roman" w:hAnsi="Arial" w:cs="Arial"/>
      <w:vanish/>
      <w:sz w:val="16"/>
      <w:szCs w:val="16"/>
    </w:rPr>
  </w:style>
  <w:style w:type="paragraph" w:customStyle="1" w:styleId="link-container">
    <w:name w:val="link-container"/>
    <w:basedOn w:val="Normal"/>
    <w:rsid w:val="004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elementcontent">
    <w:name w:val="link-element__content"/>
    <w:basedOn w:val="DefaultParagraphFont"/>
    <w:rsid w:val="004874DD"/>
  </w:style>
  <w:style w:type="character" w:customStyle="1" w:styleId="site-dropdownlink-label">
    <w:name w:val="site-dropdown__link-label"/>
    <w:basedOn w:val="DefaultParagraphFont"/>
    <w:rsid w:val="004874DD"/>
  </w:style>
  <w:style w:type="character" w:customStyle="1" w:styleId="visuallyhidden">
    <w:name w:val="visuallyhidden"/>
    <w:basedOn w:val="DefaultParagraphFont"/>
    <w:rsid w:val="004874DD"/>
  </w:style>
  <w:style w:type="character" w:customStyle="1" w:styleId="copyrightowner">
    <w:name w:val="copyright__owner"/>
    <w:basedOn w:val="DefaultParagraphFont"/>
    <w:rsid w:val="004874DD"/>
  </w:style>
  <w:style w:type="character" w:customStyle="1" w:styleId="sidebar-buttonstitle">
    <w:name w:val="sidebar-buttons__title"/>
    <w:basedOn w:val="DefaultParagraphFont"/>
    <w:rsid w:val="004874DD"/>
  </w:style>
  <w:style w:type="paragraph" w:customStyle="1" w:styleId="p-0">
    <w:name w:val="p-0"/>
    <w:basedOn w:val="Normal"/>
    <w:rsid w:val="004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5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98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5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5668">
                                      <w:marLeft w:val="-30"/>
                                      <w:marRight w:val="-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0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4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9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3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6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409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0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72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2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5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57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9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7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15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1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5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4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35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20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7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2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848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224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7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2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0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2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1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2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676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1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-rate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ibor-ebf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ibor-ebf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ribor-rate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3963-EEEF-4047-9F34-1466D5B3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Golubovic</dc:creator>
  <cp:keywords/>
  <dc:description/>
  <cp:lastModifiedBy>Biljana Papovic</cp:lastModifiedBy>
  <cp:revision>2</cp:revision>
  <dcterms:created xsi:type="dcterms:W3CDTF">2022-06-20T06:31:00Z</dcterms:created>
  <dcterms:modified xsi:type="dcterms:W3CDTF">2022-06-20T06:31:00Z</dcterms:modified>
</cp:coreProperties>
</file>