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2D" w:rsidRPr="00E26505" w:rsidRDefault="007E152D" w:rsidP="007E152D">
      <w:pPr>
        <w:pStyle w:val="Heading2"/>
        <w:numPr>
          <w:ilvl w:val="0"/>
          <w:numId w:val="0"/>
        </w:numPr>
        <w:spacing w:before="40" w:after="40"/>
        <w:rPr>
          <w:rFonts w:ascii="Arial" w:hAnsi="Arial"/>
          <w:b w:val="0"/>
          <w:sz w:val="22"/>
          <w:szCs w:val="22"/>
          <w:u w:val="single"/>
        </w:rPr>
      </w:pPr>
      <w:r w:rsidRPr="00E26505">
        <w:rPr>
          <w:rFonts w:ascii="Arial" w:hAnsi="Arial"/>
          <w:sz w:val="22"/>
          <w:szCs w:val="22"/>
          <w:u w:val="single"/>
        </w:rPr>
        <w:t>Chestionar privind cunoaşterea clientelei, prevenirea si combaterea spălării banilor şi finanţării terorismului– bancă corespondentă locală</w:t>
      </w:r>
    </w:p>
    <w:p w:rsidR="007E152D" w:rsidRDefault="007E152D" w:rsidP="007E152D">
      <w:pPr>
        <w:spacing w:before="40" w:after="40"/>
        <w:ind w:left="-270"/>
        <w:rPr>
          <w:rFonts w:ascii="Arial" w:hAnsi="Arial" w:cs="Arial"/>
          <w:sz w:val="20"/>
          <w:szCs w:val="20"/>
          <w:lang w:val="ro-RO"/>
        </w:rPr>
      </w:pPr>
    </w:p>
    <w:p w:rsidR="007E152D" w:rsidRDefault="007E152D" w:rsidP="007E152D">
      <w:pPr>
        <w:spacing w:before="40" w:after="40"/>
        <w:ind w:left="-270"/>
        <w:rPr>
          <w:rFonts w:ascii="Arial" w:hAnsi="Arial" w:cs="Arial"/>
          <w:sz w:val="20"/>
          <w:szCs w:val="20"/>
          <w:lang w:val="ro-RO"/>
        </w:rPr>
      </w:pPr>
    </w:p>
    <w:p w:rsidR="007E152D" w:rsidRPr="00E26505" w:rsidRDefault="007E152D" w:rsidP="007E152D">
      <w:pPr>
        <w:spacing w:before="40" w:after="40"/>
        <w:ind w:left="-270"/>
        <w:rPr>
          <w:rFonts w:ascii="Arial" w:hAnsi="Arial" w:cs="Arial"/>
          <w:b/>
          <w:i/>
          <w:sz w:val="20"/>
          <w:szCs w:val="20"/>
          <w:lang w:val="ro-RO"/>
        </w:rPr>
      </w:pPr>
      <w:bookmarkStart w:id="0" w:name="_GoBack"/>
      <w:bookmarkEnd w:id="0"/>
      <w:r w:rsidRPr="00E26505">
        <w:rPr>
          <w:rFonts w:ascii="Arial" w:hAnsi="Arial" w:cs="Arial"/>
          <w:b/>
          <w:i/>
          <w:sz w:val="20"/>
          <w:szCs w:val="20"/>
          <w:lang w:val="ro-RO"/>
        </w:rPr>
        <w:t xml:space="preserve">Partea 1. Informaţie generală </w:t>
      </w:r>
    </w:p>
    <w:tbl>
      <w:tblPr>
        <w:tblW w:w="10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4"/>
        <w:gridCol w:w="4825"/>
      </w:tblGrid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tabs>
                <w:tab w:val="left" w:pos="318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Denumirea deplină a instituției financiar-bancare </w:t>
            </w:r>
          </w:p>
        </w:tc>
        <w:bookmarkStart w:id="1" w:name="Text3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"/>
          </w:p>
        </w:tc>
      </w:tr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tabs>
                <w:tab w:val="left" w:pos="318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Forma organizatorico-juridică</w:t>
            </w:r>
          </w:p>
        </w:tc>
        <w:bookmarkStart w:id="2" w:name="Text2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2"/>
          </w:p>
        </w:tc>
      </w:tr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Codul fiscal</w:t>
            </w:r>
          </w:p>
        </w:tc>
        <w:bookmarkStart w:id="3" w:name="Text4"/>
        <w:tc>
          <w:tcPr>
            <w:tcW w:w="4825" w:type="dxa"/>
          </w:tcPr>
          <w:p w:rsidR="007E152D" w:rsidRPr="00E26505" w:rsidRDefault="007E152D" w:rsidP="003C6CD4">
            <w:pPr>
              <w:keepNext/>
              <w:spacing w:before="40" w:after="4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fldChar w:fldCharType="end"/>
            </w:r>
            <w:bookmarkEnd w:id="3"/>
          </w:p>
        </w:tc>
      </w:tr>
      <w:tr w:rsidR="007E152D" w:rsidRPr="00E26505" w:rsidTr="003C6CD4">
        <w:trPr>
          <w:trHeight w:val="1080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Înregistrare:</w:t>
            </w:r>
          </w:p>
          <w:p w:rsidR="007E152D" w:rsidRPr="00E26505" w:rsidRDefault="007E152D" w:rsidP="003C6CD4">
            <w:pPr>
              <w:numPr>
                <w:ilvl w:val="0"/>
                <w:numId w:val="1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Număr</w:t>
            </w:r>
          </w:p>
          <w:p w:rsidR="007E152D" w:rsidRPr="00E26505" w:rsidRDefault="007E152D" w:rsidP="003C6CD4">
            <w:pPr>
              <w:numPr>
                <w:ilvl w:val="0"/>
                <w:numId w:val="1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Data</w:t>
            </w:r>
          </w:p>
          <w:p w:rsidR="007E152D" w:rsidRPr="00E26505" w:rsidRDefault="007E152D" w:rsidP="003C6CD4">
            <w:pPr>
              <w:numPr>
                <w:ilvl w:val="0"/>
                <w:numId w:val="1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Adresa</w:t>
            </w:r>
          </w:p>
        </w:tc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bookmarkStart w:id="4" w:name="Text5"/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4"/>
          </w:p>
          <w:bookmarkStart w:id="5" w:name="Text6"/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5"/>
          </w:p>
          <w:bookmarkStart w:id="6" w:name="Text7"/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6"/>
          </w:p>
        </w:tc>
      </w:tr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Licenţa:</w:t>
            </w:r>
          </w:p>
          <w:p w:rsidR="007E152D" w:rsidRPr="00E26505" w:rsidRDefault="007E152D" w:rsidP="003C6CD4">
            <w:pPr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Numărul</w:t>
            </w:r>
          </w:p>
          <w:p w:rsidR="007E152D" w:rsidRPr="00E26505" w:rsidRDefault="007E152D" w:rsidP="003C6CD4">
            <w:pPr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Data eliberării</w:t>
            </w:r>
          </w:p>
          <w:p w:rsidR="007E152D" w:rsidRPr="00E26505" w:rsidRDefault="007E152D" w:rsidP="003C6CD4">
            <w:pPr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Operațiunile acordate conform licenței</w:t>
            </w:r>
          </w:p>
        </w:tc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bookmarkStart w:id="7" w:name="Text8"/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7"/>
          </w:p>
          <w:bookmarkStart w:id="8" w:name="Text9"/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8"/>
          </w:p>
          <w:bookmarkStart w:id="9" w:name="Text10"/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9"/>
          </w:p>
        </w:tc>
      </w:tr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Adresa:</w:t>
            </w:r>
          </w:p>
          <w:p w:rsidR="007E152D" w:rsidRPr="00E26505" w:rsidRDefault="007E152D" w:rsidP="003C6CD4">
            <w:pPr>
              <w:numPr>
                <w:ilvl w:val="0"/>
                <w:numId w:val="17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juridică </w:t>
            </w:r>
          </w:p>
          <w:p w:rsidR="007E152D" w:rsidRPr="00E26505" w:rsidRDefault="007E152D" w:rsidP="003C6CD4">
            <w:pPr>
              <w:numPr>
                <w:ilvl w:val="0"/>
                <w:numId w:val="17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Adresa poștală</w:t>
            </w:r>
          </w:p>
          <w:p w:rsidR="007E152D" w:rsidRPr="00E26505" w:rsidRDefault="007E152D" w:rsidP="003C6CD4">
            <w:pPr>
              <w:numPr>
                <w:ilvl w:val="0"/>
                <w:numId w:val="17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Amplasarea sediului central</w:t>
            </w:r>
          </w:p>
        </w:tc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bookmarkStart w:id="10" w:name="Text11"/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0"/>
          </w:p>
          <w:bookmarkStart w:id="11" w:name="Text12"/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1"/>
          </w:p>
          <w:bookmarkStart w:id="12" w:name="Text13"/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2"/>
          </w:p>
        </w:tc>
      </w:tr>
      <w:tr w:rsidR="007E152D" w:rsidRPr="00E26505" w:rsidTr="003C6CD4">
        <w:trPr>
          <w:trHeight w:val="267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Codul S.W.I.F.T. </w:t>
            </w:r>
          </w:p>
        </w:tc>
        <w:bookmarkStart w:id="13" w:name="Text14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3"/>
          </w:p>
        </w:tc>
      </w:tr>
      <w:tr w:rsidR="007E152D" w:rsidRPr="00E26505" w:rsidTr="003C6CD4">
        <w:trPr>
          <w:trHeight w:val="267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E-mail, adresă web</w:t>
            </w:r>
          </w:p>
        </w:tc>
        <w:bookmarkStart w:id="14" w:name="Text16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4"/>
          </w:p>
        </w:tc>
      </w:tr>
      <w:tr w:rsidR="007E152D" w:rsidRPr="00E26505" w:rsidTr="003C6CD4">
        <w:trPr>
          <w:trHeight w:val="267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Codul global de identificare în cadrul FATCA (GIIN)</w:t>
            </w:r>
          </w:p>
        </w:tc>
        <w:bookmarkStart w:id="15" w:name="Text17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5"/>
          </w:p>
        </w:tc>
      </w:tr>
      <w:tr w:rsidR="007E152D" w:rsidRPr="00E26505" w:rsidTr="003C6CD4">
        <w:trPr>
          <w:trHeight w:val="267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Numărul de filiale / reprezentanțe în țara de înregistrare </w:t>
            </w:r>
          </w:p>
        </w:tc>
        <w:bookmarkStart w:id="16" w:name="Text18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6"/>
          </w:p>
        </w:tc>
      </w:tr>
      <w:tr w:rsidR="007E152D" w:rsidRPr="00E26505" w:rsidTr="003C6CD4">
        <w:trPr>
          <w:trHeight w:val="267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Motivația/scopul principal al relației de afaceri</w:t>
            </w:r>
          </w:p>
        </w:tc>
        <w:bookmarkStart w:id="17" w:name="Text19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7"/>
          </w:p>
        </w:tc>
      </w:tr>
      <w:tr w:rsidR="007E152D" w:rsidRPr="00E26505" w:rsidTr="003C6CD4">
        <w:trPr>
          <w:trHeight w:val="267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Denumirea, adresa și pagina internet a instituției/lor de supraveghere a activității instituției financiar-bancare </w:t>
            </w:r>
          </w:p>
        </w:tc>
        <w:bookmarkStart w:id="18" w:name="Text20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8"/>
          </w:p>
        </w:tc>
      </w:tr>
    </w:tbl>
    <w:p w:rsidR="007E152D" w:rsidRPr="00E26505" w:rsidRDefault="007E152D" w:rsidP="007E152D">
      <w:pPr>
        <w:spacing w:before="40" w:after="40"/>
        <w:ind w:left="-27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E26505">
        <w:rPr>
          <w:rFonts w:ascii="Arial" w:hAnsi="Arial" w:cs="Arial"/>
          <w:b/>
          <w:i/>
          <w:sz w:val="20"/>
          <w:szCs w:val="20"/>
          <w:lang w:val="ro-RO"/>
        </w:rPr>
        <w:t xml:space="preserve">Partea 2 . Informație privind acționarii, structura conducerii, activitatea de afaceri </w:t>
      </w:r>
    </w:p>
    <w:tbl>
      <w:tblPr>
        <w:tblW w:w="10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4"/>
        <w:gridCol w:w="4825"/>
      </w:tblGrid>
      <w:tr w:rsidR="007E152D" w:rsidRPr="00E26505" w:rsidTr="003C6CD4">
        <w:trPr>
          <w:trHeight w:val="848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Acționarii băncii:</w:t>
            </w:r>
          </w:p>
          <w:p w:rsidR="007E152D" w:rsidRPr="00E26505" w:rsidRDefault="007E152D" w:rsidP="003C6CD4">
            <w:pPr>
              <w:widowControl w:val="0"/>
              <w:numPr>
                <w:ilvl w:val="0"/>
                <w:numId w:val="2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Numărul</w:t>
            </w:r>
          </w:p>
          <w:p w:rsidR="007E152D" w:rsidRPr="00E26505" w:rsidRDefault="007E152D" w:rsidP="003C6CD4">
            <w:pPr>
              <w:widowControl w:val="0"/>
              <w:numPr>
                <w:ilvl w:val="0"/>
                <w:numId w:val="2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Lista persoanelor fizice și juridice care dețin și controlează mai mult de 5% din acțiuni, cu cota procentuală indicată pentru fiecare acționar (în cazul în care cota este mai mică rugăm să indicați 5 cei mai mari acționari și cota pe care o dețin)</w:t>
            </w:r>
          </w:p>
        </w:tc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bookmarkStart w:id="19" w:name="Text21"/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9"/>
          </w:p>
        </w:tc>
      </w:tr>
      <w:tr w:rsidR="007E152D" w:rsidRPr="00E26505" w:rsidTr="003C6CD4">
        <w:trPr>
          <w:trHeight w:val="420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Acţionarii băncii sunt persoane expuse politic?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Dacă DA, oferiţi detalii</w:t>
            </w:r>
          </w:p>
        </w:tc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</w:tc>
      </w:tr>
      <w:tr w:rsidR="007E152D" w:rsidRPr="00E26505" w:rsidTr="003C6CD4">
        <w:trPr>
          <w:trHeight w:val="420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Au fost operate schimbări semnificative (&gt; 25%) în structura de proprietate în ultimii 2 ani?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Dacă DA, oferiți detalii</w:t>
            </w:r>
          </w:p>
        </w:tc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</w:tc>
      </w:tr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Denumirea societății mamă, și afilierea cu orice companie, holding, grup etc. </w:t>
            </w:r>
          </w:p>
        </w:tc>
        <w:bookmarkStart w:id="20" w:name="Text22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20"/>
          </w:p>
        </w:tc>
      </w:tr>
      <w:tr w:rsidR="007E152D" w:rsidRPr="00E26505" w:rsidTr="003C6CD4">
        <w:trPr>
          <w:trHeight w:val="360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Numele, prenumele și resedința beneficiarilor efectivi ai băncii conform definiției art. 3 al Legii nr. 308 din 22.12.2017</w:t>
            </w:r>
          </w:p>
        </w:tc>
        <w:bookmarkStart w:id="21" w:name="Text23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21"/>
          </w:p>
        </w:tc>
      </w:tr>
      <w:tr w:rsidR="007E152D" w:rsidRPr="00E26505" w:rsidTr="003C6CD4">
        <w:trPr>
          <w:trHeight w:val="360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Este vreunul din beneficiari efectivi persoană expusă politic?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Dacă DA, oferiți detalii</w:t>
            </w:r>
          </w:p>
        </w:tc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</w:tc>
      </w:tr>
      <w:tr w:rsidR="007E152D" w:rsidRPr="00E26505" w:rsidTr="003C6CD4">
        <w:trPr>
          <w:trHeight w:val="360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Este vreunul din beneficiari efectivi rezidenți fiscali ai SUA?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trike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Dacă DA, oferiți detalii</w:t>
            </w:r>
          </w:p>
        </w:tc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</w:tc>
      </w:tr>
      <w:tr w:rsidR="007E152D" w:rsidRPr="00E26505" w:rsidTr="003C6CD4">
        <w:trPr>
          <w:trHeight w:val="480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Membrii organului de conducere al băncii sunt persoane afiliate și/sau asociate persoanelor expuse politic?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Dacă DA, oferiți detalii</w:t>
            </w:r>
          </w:p>
        </w:tc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bookmarkStart w:id="22" w:name="Check7"/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22"/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</w:tc>
      </w:tr>
      <w:tr w:rsidR="007E152D" w:rsidRPr="00E26505" w:rsidTr="003C6CD4">
        <w:trPr>
          <w:trHeight w:val="360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Lista membrilor organului executiv </w:t>
            </w:r>
          </w:p>
        </w:tc>
        <w:bookmarkStart w:id="23" w:name="Text24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23"/>
          </w:p>
        </w:tc>
      </w:tr>
      <w:tr w:rsidR="007E152D" w:rsidRPr="00E26505" w:rsidTr="003C6CD4">
        <w:trPr>
          <w:trHeight w:val="360"/>
        </w:trPr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Lista membrilor consiliului </w:t>
            </w:r>
          </w:p>
        </w:tc>
        <w:bookmarkStart w:id="24" w:name="Text25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24"/>
          </w:p>
        </w:tc>
      </w:tr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Informaţie privind capitalul acţionar</w:t>
            </w:r>
          </w:p>
        </w:tc>
        <w:bookmarkStart w:id="25" w:name="Text26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25"/>
          </w:p>
        </w:tc>
      </w:tr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Lista unităților teritoriale (filiale şi agenţii)</w:t>
            </w:r>
          </w:p>
        </w:tc>
        <w:bookmarkStart w:id="26" w:name="Text27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26"/>
          </w:p>
        </w:tc>
      </w:tr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Lista băncilor corespondente / respondente, conturile NOSTRO și LORO, (denumirea băncilor la care sunt deschise conturi, locația acestora, valuta contului)</w:t>
            </w:r>
          </w:p>
        </w:tc>
        <w:bookmarkStart w:id="27" w:name="Text28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27"/>
          </w:p>
        </w:tc>
      </w:tr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Istorie, reputaţie, segmentul de piaţă, concurenţa</w:t>
            </w:r>
          </w:p>
        </w:tc>
        <w:bookmarkStart w:id="28" w:name="Text29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28"/>
          </w:p>
        </w:tc>
      </w:tr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Este banca listată la o bursă de valori?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Dacă DA, enumerați bursele unde sunteți cotați și codurile de tranzacție</w:t>
            </w:r>
          </w:p>
        </w:tc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</w:tc>
      </w:tr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Denumirea auditorului extern</w:t>
            </w:r>
          </w:p>
        </w:tc>
        <w:bookmarkStart w:id="29" w:name="Text30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29"/>
          </w:p>
        </w:tc>
      </w:tr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Ratingul internațional al băncii (data atribuirii ratingului și denumirea agenției de rating)</w:t>
            </w:r>
          </w:p>
        </w:tc>
        <w:bookmarkStart w:id="30" w:name="Text31"/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30"/>
          </w:p>
        </w:tc>
      </w:tr>
      <w:tr w:rsidR="007E152D" w:rsidRPr="00E26505" w:rsidTr="003C6CD4">
        <w:tc>
          <w:tcPr>
            <w:tcW w:w="559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Participarea la sistemul de asigurare a depozitelor (după caz)</w:t>
            </w:r>
          </w:p>
        </w:tc>
        <w:tc>
          <w:tcPr>
            <w:tcW w:w="4825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</w:tc>
      </w:tr>
    </w:tbl>
    <w:p w:rsidR="007E152D" w:rsidRPr="00E26505" w:rsidRDefault="007E152D" w:rsidP="007E152D">
      <w:pPr>
        <w:tabs>
          <w:tab w:val="left" w:pos="-270"/>
        </w:tabs>
        <w:spacing w:before="40" w:after="40"/>
        <w:ind w:left="-27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E26505">
        <w:rPr>
          <w:rFonts w:ascii="Arial" w:hAnsi="Arial" w:cs="Arial"/>
          <w:b/>
          <w:i/>
          <w:sz w:val="20"/>
          <w:szCs w:val="20"/>
          <w:lang w:val="ro-RO"/>
        </w:rPr>
        <w:t>Partea 3. Informație privind cunoaşterea clientelei, prevenirea şi combaterea spălării banilor şi finanţării terorismului (KYC/AML/CFT)</w:t>
      </w:r>
    </w:p>
    <w:p w:rsidR="007E152D" w:rsidRPr="00E26505" w:rsidRDefault="007E152D" w:rsidP="007E152D">
      <w:pPr>
        <w:spacing w:before="40" w:after="40"/>
        <w:ind w:left="-270"/>
        <w:jc w:val="both"/>
        <w:rPr>
          <w:rFonts w:ascii="Arial" w:hAnsi="Arial" w:cs="Arial"/>
          <w:sz w:val="20"/>
          <w:szCs w:val="20"/>
          <w:lang w:val="ro-RO"/>
        </w:rPr>
      </w:pPr>
      <w:r w:rsidRPr="00E26505">
        <w:rPr>
          <w:rFonts w:ascii="Arial" w:hAnsi="Arial" w:cs="Arial"/>
          <w:sz w:val="20"/>
          <w:szCs w:val="20"/>
          <w:lang w:val="ro-RO"/>
        </w:rPr>
        <w:t xml:space="preserve">Vă rugăm completaţi chestionarul de mai jos selectând boxele Da sau Nu. </w:t>
      </w:r>
    </w:p>
    <w:p w:rsidR="007E152D" w:rsidRPr="00E26505" w:rsidRDefault="007E152D" w:rsidP="007E152D">
      <w:pPr>
        <w:spacing w:before="40" w:after="40"/>
        <w:ind w:left="-270"/>
        <w:jc w:val="both"/>
        <w:rPr>
          <w:rFonts w:ascii="Arial" w:hAnsi="Arial" w:cs="Arial"/>
          <w:sz w:val="20"/>
          <w:szCs w:val="20"/>
          <w:lang w:val="ro-RO"/>
        </w:rPr>
      </w:pPr>
      <w:r w:rsidRPr="00E26505">
        <w:rPr>
          <w:rFonts w:ascii="Arial" w:hAnsi="Arial" w:cs="Arial"/>
          <w:sz w:val="20"/>
          <w:szCs w:val="20"/>
          <w:lang w:val="ro-RO"/>
        </w:rPr>
        <w:t xml:space="preserve">În chestionar veţi găsi referinţă la </w:t>
      </w:r>
      <w:r w:rsidRPr="00E26505">
        <w:rPr>
          <w:rFonts w:ascii="Arial" w:hAnsi="Arial" w:cs="Arial"/>
          <w:b/>
          <w:sz w:val="20"/>
          <w:szCs w:val="20"/>
          <w:lang w:val="ro-RO"/>
        </w:rPr>
        <w:t>IFB</w:t>
      </w:r>
      <w:r w:rsidRPr="00E26505">
        <w:rPr>
          <w:rFonts w:ascii="Arial" w:hAnsi="Arial" w:cs="Arial"/>
          <w:sz w:val="20"/>
          <w:szCs w:val="20"/>
          <w:lang w:val="ro-RO"/>
        </w:rPr>
        <w:t xml:space="preserve"> drept instituţie financiar-bancară. </w:t>
      </w:r>
    </w:p>
    <w:tbl>
      <w:tblPr>
        <w:tblW w:w="10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886"/>
      </w:tblGrid>
      <w:tr w:rsidR="007E152D" w:rsidRPr="00E26505" w:rsidTr="003C6CD4">
        <w:trPr>
          <w:trHeight w:val="284"/>
        </w:trPr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Politici, Proceduri şi Practici privind prevenirea şi combaterea spălării banilor şi finanţării terorismului</w:t>
            </w:r>
            <w:r w:rsidRPr="00E26505">
              <w:rPr>
                <w:rFonts w:ascii="Arial" w:hAnsi="Arial" w:cs="Arial"/>
                <w:b/>
                <w:sz w:val="20"/>
                <w:szCs w:val="20"/>
                <w:lang w:val="ro-RO"/>
              </w:rPr>
              <w:t>:</w:t>
            </w:r>
          </w:p>
        </w:tc>
      </w:tr>
      <w:tr w:rsidR="007E152D" w:rsidRPr="00E26505" w:rsidTr="003C6CD4">
        <w:trPr>
          <w:trHeight w:val="284"/>
        </w:trPr>
        <w:tc>
          <w:tcPr>
            <w:tcW w:w="568" w:type="dxa"/>
          </w:tcPr>
          <w:p w:rsidR="007E152D" w:rsidRPr="00E26505" w:rsidRDefault="007E152D" w:rsidP="003C6CD4">
            <w:pPr>
              <w:pStyle w:val="ListParagraph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IFB a implementat un program de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prevenire şi combatere a spălării banilor şi finanţării terorismului în conformitate cu standardele internaționale și legislația națională aplicabilă în domeniu?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</w:tc>
      </w:tr>
      <w:tr w:rsidR="007E152D" w:rsidRPr="00E26505" w:rsidTr="003C6CD4">
        <w:trPr>
          <w:trHeight w:val="160"/>
        </w:trPr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Este programul IFB privind prevenirea şi combaterea spălării banilor şi finanţării terorismului aprobat de către membrii consiliului instituţiei sau a altui organ de conducere superior?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</w:tc>
      </w:tr>
      <w:tr w:rsidR="007E152D" w:rsidRPr="00E26505" w:rsidTr="003C6CD4">
        <w:trPr>
          <w:trHeight w:val="160"/>
        </w:trPr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Conţine programul prevederi privind existenţa în cadrul instituţiei a unei persoane responsabile în domeniul AML/CFT/KYC, precum şi responsabilităţile acestuia aferent asigurării supravegherii şi întreprinderea măsurilor de implementare a programului menţionat?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Dacă DA, indicați coordonatele persoanei responsabile de asigurarea conformării programelor AML/CFT/KYC (numele, prenumele și date de contact):</w:t>
            </w:r>
          </w:p>
          <w:bookmarkStart w:id="31" w:name="Text32"/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31"/>
          </w:p>
        </w:tc>
      </w:tr>
      <w:tr w:rsidR="007E152D" w:rsidRPr="00E26505" w:rsidTr="003C6CD4">
        <w:trPr>
          <w:trHeight w:val="160"/>
        </w:trPr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Conţine programul, cerinţe scrise ce documentează procesele necesare pentru prevenirea, detectarea şi raportarea tranzacţiilor suspecte?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rPr>
          <w:trHeight w:val="160"/>
        </w:trPr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4.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Are IFB stabilită o funcţie de audit internă sau o persoană terţă independentă pentru a evalua sistematic politicile, procedurile şi practicile privind prevenirea şi combaterea spălării banilor şi finanţării terorismului?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rPr>
          <w:trHeight w:val="160"/>
        </w:trPr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Politicile AML/CFT/KYC ale IFB interzic utilizarea conturilor/relațiilor cu băncile Shell (instituții financiar-bancare care nu au prezență fizică, nu efectuează conducere și gestiune reală şi care nu sunt afiliate unui grup financiar reglementat)?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rPr>
          <w:trHeight w:val="160"/>
        </w:trPr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Conțin politicile AML/CFT/KYC ale IFB cerințe privind interdicția de a deschide conturi anonime?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rPr>
          <w:trHeight w:val="160"/>
        </w:trPr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Politicile AML/CFT/KYC cuprind relațiile cu persoanele expuse politic, membrii lor de familie și persoanele apropiate asociate, în conformitate cu legislația in vigoare?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rPr>
          <w:trHeight w:val="160"/>
        </w:trPr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7.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Dispune IFB de proceduri adecvate privind păstrarea înregistrărilor și informațiilor în conformitate cu legislația în vigoare?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Dacă “Da”, indicaţi termenul de păstrare a acestora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_</w:t>
            </w:r>
            <w:bookmarkStart w:id="32" w:name="Text33"/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32"/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__________________________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rPr>
          <w:trHeight w:val="160"/>
        </w:trPr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Sunt politicile, procedurile şi practicile IFB în domeniul prevenirii şi combaterii spălării banilor şi finanţării terorismului aplicate tuturor filialelor şi subdiviziunilor ei atât în ţară cât şi peste hotare?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9.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IFB deține politici scrise pentru conformarea cu cerințele impuse de către reglementările în domeniul AML/CFT/KYC?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10.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Există un control centralizat asupra aplicării efective a politicilor şi practicilor AML/CFT/KYC?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11.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Pe parcursul ultimilor 3 ani au fost aplicate băncii sancţiuni din partea organelor de supraveghere, alte autorități sau intentate procese penale aferente încălcării legislaţiei privind prevenirea şi combaterea spălării banilor şi finanţării terorismului?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Dacă Da, explicaţi</w:t>
            </w:r>
          </w:p>
          <w:bookmarkStart w:id="33" w:name="Text34"/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33"/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Evaluarea riscului </w:t>
            </w: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12.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IFB practică o evaluare bazată pe risc asupra clienţilor şi tranzacţiilor lor realizate?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13.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IFB determină nivelul adecvat de precauţie sporită necesară pentru acei clienţi şi tranzacţii care ar putea implica un risc sporit sau care sunt considerate cu riscuri sporite datorită activităților ilicite?</w:t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043832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ind w:left="3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În IFB evaluarea riscurilor de spălare de bani și finanțare a terorismului cuprinde următoarele componente:</w:t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Client                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Produse            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Canale de distribuție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Geografic          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IFB desfășoară o evaluare generală a riscului în domeniul PCSB/FT pe instituție 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Dacă Da, indicați periodicitatea acestei evaluări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Cunoaşterea clientelei </w:t>
            </w: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14.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IFB are implementate sisteme pentru identificarea clienţilor, inclusiv obţinerea de informaţii în cazul înregistrării tranzacţiilor, deschiderii conturilor etc. (ex. nume, prenume/ denumire, naţionalitate, sediu/reședința, adresă, număr telefon, ocupaţie/genul de activitate, data naşterii/data înregistrării , codul personal/ număr unic de identificare, denumirea statului care a eliberat actul </w:t>
            </w:r>
            <w:r w:rsidRPr="00E26505">
              <w:rPr>
                <w:rFonts w:ascii="Arial" w:hAnsi="Arial" w:cs="Arial"/>
                <w:strike/>
                <w:sz w:val="20"/>
                <w:szCs w:val="20"/>
                <w:lang w:val="ro-RO"/>
              </w:rPr>
              <w:t>ID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de identitate)?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15.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tabs>
                <w:tab w:val="left" w:pos="360"/>
                <w:tab w:val="left" w:pos="540"/>
              </w:tabs>
              <w:spacing w:before="40" w:after="40"/>
              <w:ind w:left="-32" w:firstLine="32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IFB colectează pe bază sistematică informația referitoare la activitatea de afaceri ale clienților săi?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Del="00B43D4E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16.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tabs>
                <w:tab w:val="left" w:pos="360"/>
                <w:tab w:val="left" w:pos="540"/>
              </w:tabs>
              <w:spacing w:before="40" w:after="40"/>
              <w:ind w:left="-32" w:firstLine="32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Aplică IFB măsurile de precauţie sporită faţă de clienţii săi sau tranzacţiile acestora cu grad de risc sporit?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tabs>
                <w:tab w:val="left" w:pos="360"/>
                <w:tab w:val="left" w:pos="540"/>
              </w:tabs>
              <w:spacing w:before="40" w:after="40"/>
              <w:ind w:left="-32" w:firstLine="32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17.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În IFB există un proces de revizuire/ actualizare a informației privind clienții săi?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Dacă Da, indicaţi periodicitatea</w:t>
            </w:r>
          </w:p>
          <w:bookmarkStart w:id="34" w:name="Text44"/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fldChar w:fldCharType="end"/>
            </w:r>
            <w:bookmarkEnd w:id="34"/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18.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IFB deține proceduri de înregistrare a informației pentru fiecare client menționând informația KYC colectată la deschiderea contului?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043832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19.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IFB are stabilite criterii pentru înțelegerea tranzacțiilor ordinare ale clientului în baza evaluării riscului acestora?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ind w:left="6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Raportarea tranzacţiilor, prevenirea şi detectarea tranzacţiilor suspecte</w:t>
            </w: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20.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IFB deține proceduri pentru identificarea și raportarea tranzacțiilor care sunt solicitate a fi raportate autorităților?</w:t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21.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IFB deține proceduri pentru identificarea tranzacțiilor structurate în scopul evitării cerințelor de raportare?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Del="00FE24D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22.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Verifică IFB tranzacţiile clienţilor săi care prezintă un risc sporit (cum ar fi, tranzacţiile cu persoane, entităţi sau ţări cu grad de risc sporit) până la efectuarea tranzacţiei?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IFB verifică clienții și tranzacțiile în corespundere cu listele persoanelor, entităților și țărilor emise de către:</w:t>
            </w:r>
          </w:p>
          <w:p w:rsidR="007E152D" w:rsidRPr="00E26505" w:rsidRDefault="007E152D" w:rsidP="003C6CD4">
            <w:pPr>
              <w:pStyle w:val="ListParagraph"/>
              <w:numPr>
                <w:ilvl w:val="0"/>
                <w:numId w:val="36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505">
              <w:rPr>
                <w:rFonts w:ascii="Arial" w:hAnsi="Arial" w:cs="Arial"/>
                <w:sz w:val="20"/>
                <w:szCs w:val="20"/>
              </w:rPr>
              <w:t xml:space="preserve">US (OFAC)  </w:t>
            </w:r>
            <w:r w:rsidRPr="00E265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</w:rPr>
              <w:t xml:space="preserve"> Nu</w:t>
            </w:r>
          </w:p>
          <w:p w:rsidR="007E152D" w:rsidRPr="00E26505" w:rsidRDefault="007E152D" w:rsidP="003C6CD4">
            <w:pPr>
              <w:pStyle w:val="ListParagraph"/>
              <w:numPr>
                <w:ilvl w:val="0"/>
                <w:numId w:val="36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505">
              <w:rPr>
                <w:rFonts w:ascii="Arial" w:hAnsi="Arial" w:cs="Arial"/>
                <w:sz w:val="20"/>
                <w:szCs w:val="20"/>
              </w:rPr>
              <w:t xml:space="preserve">EU               </w:t>
            </w:r>
            <w:r w:rsidRPr="00E265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</w:rPr>
              <w:t xml:space="preserve"> Nu</w:t>
            </w:r>
          </w:p>
          <w:p w:rsidR="007E152D" w:rsidRPr="00E26505" w:rsidRDefault="007E152D" w:rsidP="003C6CD4">
            <w:pPr>
              <w:pStyle w:val="ListParagraph"/>
              <w:numPr>
                <w:ilvl w:val="0"/>
                <w:numId w:val="36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505">
              <w:rPr>
                <w:rFonts w:ascii="Arial" w:hAnsi="Arial" w:cs="Arial"/>
                <w:sz w:val="20"/>
                <w:szCs w:val="20"/>
              </w:rPr>
              <w:t xml:space="preserve">UN               </w:t>
            </w:r>
            <w:r w:rsidRPr="00E265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</w:rPr>
              <w:t xml:space="preserve"> Nu</w:t>
            </w:r>
          </w:p>
          <w:p w:rsidR="007E152D" w:rsidRPr="00E26505" w:rsidRDefault="007E152D" w:rsidP="003C6CD4">
            <w:pPr>
              <w:pStyle w:val="ListParagraph"/>
              <w:numPr>
                <w:ilvl w:val="0"/>
                <w:numId w:val="36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505">
              <w:rPr>
                <w:rFonts w:ascii="Arial" w:hAnsi="Arial" w:cs="Arial"/>
                <w:sz w:val="20"/>
                <w:szCs w:val="20"/>
              </w:rPr>
              <w:t xml:space="preserve">Alte liste      </w:t>
            </w:r>
            <w:r w:rsidRPr="00E2650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26505">
              <w:rPr>
                <w:rFonts w:ascii="Arial" w:hAnsi="Arial" w:cs="Arial"/>
                <w:bCs/>
                <w:sz w:val="20"/>
                <w:szCs w:val="20"/>
              </w:rPr>
            </w:r>
            <w:r w:rsidRPr="00E265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2650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7E152D" w:rsidRPr="00E26505" w:rsidRDefault="007E152D" w:rsidP="003C6CD4">
            <w:pPr>
              <w:pStyle w:val="ListParagraph"/>
              <w:spacing w:before="40" w:after="40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Del="00FE24D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23.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Deţine IFB politici care să asigure că băncile sau persoanele juridice fictive ce prestează servicii de plată nu utilizează conturile, produsele şi serviciile sale pentru efectuarea tranzacţiilor?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24.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IFB deține proceduri pentru a asigura rezonabil că operează cu băncile corespondente care posedă licență de funcționare în țara de origine?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/>
                <w:sz w:val="20"/>
                <w:szCs w:val="20"/>
                <w:lang w:val="ro-RO"/>
              </w:rPr>
              <w:t>Monitorizarea tranzacțiilor</w:t>
            </w: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25.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trike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IFB deține un program de monitorizare pentru activitățile suspecte sau neobișnuite? </w:t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Del="00865E5E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26.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Prevede programul de monitorizare cerinţe privind acumularea documentelor justificative la efectuarea tranzacţiilor?</w:t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120" w:after="120"/>
              <w:ind w:left="29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/>
                <w:sz w:val="20"/>
                <w:szCs w:val="20"/>
                <w:lang w:val="ro-RO"/>
              </w:rPr>
              <w:t>Training AML/CFT</w:t>
            </w: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27.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IF oferă training AML/CFT angajaților relevanți care să includă: </w:t>
            </w:r>
          </w:p>
          <w:p w:rsidR="007E152D" w:rsidRPr="00E26505" w:rsidRDefault="007E152D" w:rsidP="003C6CD4">
            <w:pPr>
              <w:widowControl w:val="0"/>
              <w:numPr>
                <w:ilvl w:val="0"/>
                <w:numId w:val="19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Politicile interne de prevenire si combatere a spălării banilor si finanțării terorismului.</w:t>
            </w:r>
          </w:p>
          <w:p w:rsidR="007E152D" w:rsidRPr="00E26505" w:rsidRDefault="007E152D" w:rsidP="003C6CD4">
            <w:pPr>
              <w:widowControl w:val="0"/>
              <w:numPr>
                <w:ilvl w:val="0"/>
                <w:numId w:val="19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Identificarea și raportarea tranzacțiilor care trebuie să fie raportate autorităților statului;</w:t>
            </w:r>
          </w:p>
          <w:p w:rsidR="007E152D" w:rsidRPr="00E26505" w:rsidRDefault="007E152D" w:rsidP="003C6CD4">
            <w:pPr>
              <w:widowControl w:val="0"/>
              <w:numPr>
                <w:ilvl w:val="0"/>
                <w:numId w:val="19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Exemple de diferite forme de spălare de bani care să implice produse și servicii bancare;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Dacă Da, frecvenţa desfăşurării instruirilor</w:t>
            </w:r>
          </w:p>
          <w:bookmarkStart w:id="35" w:name="Text35"/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instrText xml:space="preserve"> FORMTEXT </w:instrTex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t> </w:t>
            </w:r>
            <w:r w:rsidRPr="00E26505">
              <w:rPr>
                <w:rFonts w:ascii="Arial" w:hAnsi="Arial" w:cs="Arial"/>
                <w:bCs/>
                <w:sz w:val="20"/>
                <w:szCs w:val="20"/>
                <w:lang w:val="ro-RO"/>
              </w:rPr>
              <w:fldChar w:fldCharType="end"/>
            </w:r>
            <w:bookmarkEnd w:id="35"/>
          </w:p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28.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IFB reține înregistrările ale sesiunilor de training inclusiv prezența și materialele de training relevante utilizate?</w:t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 </w:t>
            </w: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29.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Dispune IFB de politici menite să comunice personalului noile reglementari aferente domeniului prevenirii şi combaterii spălării banilor şi finanţării terorismului?</w:t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</w:tc>
      </w:tr>
      <w:tr w:rsidR="007E152D" w:rsidRPr="00E26505" w:rsidTr="003C6CD4">
        <w:tc>
          <w:tcPr>
            <w:tcW w:w="568" w:type="dxa"/>
          </w:tcPr>
          <w:p w:rsidR="007E152D" w:rsidRPr="00E26505" w:rsidRDefault="007E152D" w:rsidP="003C6CD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30.</w:t>
            </w:r>
          </w:p>
        </w:tc>
        <w:tc>
          <w:tcPr>
            <w:tcW w:w="9886" w:type="dxa"/>
          </w:tcPr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Contractează IFB serviciile unei părţi terţe pentru aplicarea oricăror măsuri aferente domeniului prevenirii şi combaterii spălării banilor şi finanţării terorismului?</w:t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Dacă da, sunt instruiţi personalul părţii terţe aferent domeniului dat?</w:t>
            </w:r>
          </w:p>
          <w:p w:rsidR="007E152D" w:rsidRPr="00E26505" w:rsidRDefault="007E152D" w:rsidP="003C6CD4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Da          </w:t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 xml:space="preserve"> Nu</w:t>
            </w:r>
          </w:p>
        </w:tc>
      </w:tr>
    </w:tbl>
    <w:p w:rsidR="007E152D" w:rsidRPr="00E26505" w:rsidRDefault="007E152D" w:rsidP="007E152D">
      <w:pPr>
        <w:spacing w:before="40" w:after="40"/>
        <w:ind w:left="-274"/>
        <w:jc w:val="both"/>
        <w:rPr>
          <w:rFonts w:ascii="Arial" w:hAnsi="Arial" w:cs="Arial"/>
          <w:sz w:val="20"/>
          <w:szCs w:val="20"/>
          <w:lang w:val="ro-RO"/>
        </w:rPr>
      </w:pPr>
      <w:r w:rsidRPr="00E26505">
        <w:rPr>
          <w:rFonts w:ascii="Arial" w:hAnsi="Arial" w:cs="Arial"/>
          <w:sz w:val="20"/>
          <w:szCs w:val="20"/>
          <w:lang w:val="ro-RO"/>
        </w:rPr>
        <w:t xml:space="preserve">Bazându-mă pe cele mai bune cunoștințe şi convingeri, confirm că răspunsurile oferite la întrebările menționate sunt în corespundere cu sistemul de control existent al instituției financiar-bancare şi oferă o reprezentare precisă a stării existente a instituţiei în domeniul AML/CFT/KYC. </w:t>
      </w: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682"/>
        <w:gridCol w:w="2702"/>
        <w:gridCol w:w="3384"/>
      </w:tblGrid>
      <w:tr w:rsidR="007E152D" w:rsidRPr="00E26505" w:rsidTr="003C6CD4">
        <w:trPr>
          <w:trHeight w:val="378"/>
        </w:trPr>
        <w:tc>
          <w:tcPr>
            <w:tcW w:w="1672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Completat de</w:t>
            </w:r>
          </w:p>
        </w:tc>
        <w:tc>
          <w:tcPr>
            <w:tcW w:w="2682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02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Avizat de</w:t>
            </w:r>
          </w:p>
        </w:tc>
        <w:tc>
          <w:tcPr>
            <w:tcW w:w="338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rPr>
          <w:trHeight w:val="528"/>
        </w:trPr>
        <w:tc>
          <w:tcPr>
            <w:tcW w:w="1672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Semnătura</w:t>
            </w:r>
          </w:p>
        </w:tc>
        <w:tc>
          <w:tcPr>
            <w:tcW w:w="2682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02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Semnătura</w:t>
            </w:r>
          </w:p>
        </w:tc>
        <w:tc>
          <w:tcPr>
            <w:tcW w:w="338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rPr>
          <w:trHeight w:val="342"/>
        </w:trPr>
        <w:tc>
          <w:tcPr>
            <w:tcW w:w="1672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2682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02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3384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E152D" w:rsidRPr="00E26505" w:rsidTr="003C6CD4">
        <w:trPr>
          <w:trHeight w:val="433"/>
        </w:trPr>
        <w:tc>
          <w:tcPr>
            <w:tcW w:w="1672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Data</w:t>
            </w:r>
          </w:p>
        </w:tc>
        <w:tc>
          <w:tcPr>
            <w:tcW w:w="2682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02" w:type="dxa"/>
          </w:tcPr>
          <w:p w:rsidR="007E152D" w:rsidRPr="00E26505" w:rsidRDefault="007E152D" w:rsidP="003C6CD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Data</w:t>
            </w:r>
          </w:p>
        </w:tc>
        <w:tc>
          <w:tcPr>
            <w:tcW w:w="3384" w:type="dxa"/>
          </w:tcPr>
          <w:p w:rsidR="007E152D" w:rsidRPr="00E26505" w:rsidRDefault="007E152D" w:rsidP="003C6CD4">
            <w:pPr>
              <w:spacing w:before="40" w:after="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505">
              <w:rPr>
                <w:rFonts w:ascii="Arial" w:hAnsi="Arial" w:cs="Arial"/>
                <w:sz w:val="20"/>
                <w:szCs w:val="20"/>
                <w:lang w:val="ro-RO"/>
              </w:rPr>
              <w:t>L.Ș.</w:t>
            </w:r>
          </w:p>
        </w:tc>
      </w:tr>
    </w:tbl>
    <w:p w:rsidR="007E152D" w:rsidRPr="00E26505" w:rsidRDefault="007E152D" w:rsidP="007E152D">
      <w:pPr>
        <w:pStyle w:val="Header"/>
        <w:tabs>
          <w:tab w:val="right" w:pos="9630"/>
        </w:tabs>
        <w:ind w:left="-902"/>
        <w:jc w:val="right"/>
        <w:rPr>
          <w:rFonts w:ascii="Arial" w:hAnsi="Arial" w:cs="Arial"/>
          <w:sz w:val="16"/>
          <w:szCs w:val="16"/>
          <w:lang w:val="ro-RO"/>
        </w:rPr>
      </w:pPr>
    </w:p>
    <w:p w:rsidR="007E152D" w:rsidRPr="00E26505" w:rsidRDefault="007E152D" w:rsidP="007E152D">
      <w:pPr>
        <w:pStyle w:val="Header"/>
        <w:tabs>
          <w:tab w:val="right" w:pos="9630"/>
        </w:tabs>
        <w:ind w:left="-902"/>
        <w:jc w:val="right"/>
        <w:rPr>
          <w:rFonts w:ascii="Arial" w:hAnsi="Arial" w:cs="Arial"/>
          <w:sz w:val="16"/>
          <w:szCs w:val="16"/>
          <w:lang w:val="ro-RO"/>
        </w:rPr>
      </w:pPr>
    </w:p>
    <w:p w:rsidR="007E152D" w:rsidRDefault="007E152D" w:rsidP="007E152D">
      <w:pPr>
        <w:pStyle w:val="Header"/>
        <w:tabs>
          <w:tab w:val="right" w:pos="9630"/>
        </w:tabs>
        <w:ind w:left="-902"/>
        <w:jc w:val="right"/>
        <w:rPr>
          <w:rFonts w:ascii="Arial" w:hAnsi="Arial" w:cs="Arial"/>
          <w:sz w:val="16"/>
          <w:szCs w:val="16"/>
          <w:lang w:val="ro-RO"/>
        </w:rPr>
      </w:pPr>
    </w:p>
    <w:p w:rsidR="00F5093E" w:rsidRDefault="00F5093E"/>
    <w:sectPr w:rsidR="00F50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40" w:rsidRDefault="00214840" w:rsidP="007E152D">
      <w:r>
        <w:separator/>
      </w:r>
    </w:p>
  </w:endnote>
  <w:endnote w:type="continuationSeparator" w:id="0">
    <w:p w:rsidR="00214840" w:rsidRDefault="00214840" w:rsidP="007E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2D" w:rsidRPr="007E152D" w:rsidRDefault="007E152D" w:rsidP="007E152D">
    <w:pPr>
      <w:pStyle w:val="Footer"/>
      <w:jc w:val="center"/>
    </w:pPr>
    <w:fldSimple w:instr=" DOCPROPERTY bjFooterEvenPageDocProperty \* MERGEFORMAT " w:fldLock="1">
      <w:r w:rsidRPr="007E152D">
        <w:rPr>
          <w:rFonts w:ascii="Calibri" w:hAnsi="Calibri" w:cs="Calibri"/>
          <w:i/>
          <w:color w:val="000080"/>
          <w:sz w:val="22"/>
        </w:rPr>
        <w:t>BCR Chisinau S.A. -</w:t>
      </w:r>
      <w:r w:rsidRPr="007E152D">
        <w:rPr>
          <w:rFonts w:ascii="Calibri" w:hAnsi="Calibri" w:cs="Calibri"/>
          <w:i/>
          <w:color w:val="000000"/>
          <w:sz w:val="22"/>
        </w:rPr>
        <w:t xml:space="preserve"> </w:t>
      </w:r>
      <w:r w:rsidRPr="007E152D">
        <w:rPr>
          <w:rFonts w:ascii="Calibri" w:hAnsi="Calibri" w:cs="Calibri"/>
          <w:i/>
          <w:color w:val="0000FF"/>
          <w:sz w:val="22"/>
        </w:rPr>
        <w:t>Uz Intern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2D" w:rsidRPr="007E152D" w:rsidRDefault="007E152D" w:rsidP="007E152D">
    <w:pPr>
      <w:pStyle w:val="Footer"/>
      <w:jc w:val="center"/>
    </w:pPr>
    <w:fldSimple w:instr=" DOCPROPERTY bjFooterBothDocProperty \* MERGEFORMAT " w:fldLock="1">
      <w:r w:rsidRPr="007E152D">
        <w:rPr>
          <w:rFonts w:ascii="Calibri" w:hAnsi="Calibri" w:cs="Calibri"/>
          <w:i/>
          <w:color w:val="000080"/>
          <w:sz w:val="22"/>
        </w:rPr>
        <w:t>BCR Chisinau S.A. -</w:t>
      </w:r>
      <w:r w:rsidRPr="007E152D">
        <w:rPr>
          <w:rFonts w:ascii="Calibri" w:hAnsi="Calibri" w:cs="Calibri"/>
          <w:i/>
          <w:color w:val="000000"/>
          <w:sz w:val="22"/>
        </w:rPr>
        <w:t xml:space="preserve"> </w:t>
      </w:r>
      <w:r w:rsidRPr="007E152D">
        <w:rPr>
          <w:rFonts w:ascii="Calibri" w:hAnsi="Calibri" w:cs="Calibri"/>
          <w:i/>
          <w:color w:val="0000FF"/>
          <w:sz w:val="22"/>
        </w:rPr>
        <w:t>Uz Intern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2D" w:rsidRPr="007E152D" w:rsidRDefault="007E152D" w:rsidP="007E152D">
    <w:pPr>
      <w:pStyle w:val="Footer"/>
      <w:jc w:val="center"/>
    </w:pPr>
    <w:fldSimple w:instr=" DOCPROPERTY bjFooterFirstPageDocProperty \* MERGEFORMAT " w:fldLock="1">
      <w:r w:rsidRPr="007E152D">
        <w:rPr>
          <w:rFonts w:ascii="Calibri" w:hAnsi="Calibri" w:cs="Calibri"/>
          <w:i/>
          <w:color w:val="000080"/>
          <w:sz w:val="22"/>
        </w:rPr>
        <w:t>BCR Chisinau S.A. -</w:t>
      </w:r>
      <w:r w:rsidRPr="007E152D">
        <w:rPr>
          <w:rFonts w:ascii="Calibri" w:hAnsi="Calibri" w:cs="Calibri"/>
          <w:i/>
          <w:color w:val="000000"/>
          <w:sz w:val="22"/>
        </w:rPr>
        <w:t xml:space="preserve"> </w:t>
      </w:r>
      <w:r w:rsidRPr="007E152D">
        <w:rPr>
          <w:rFonts w:ascii="Calibri" w:hAnsi="Calibri" w:cs="Calibri"/>
          <w:i/>
          <w:color w:val="0000FF"/>
          <w:sz w:val="22"/>
        </w:rPr>
        <w:t>Uz Intern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40" w:rsidRDefault="00214840" w:rsidP="007E152D">
      <w:r>
        <w:separator/>
      </w:r>
    </w:p>
  </w:footnote>
  <w:footnote w:type="continuationSeparator" w:id="0">
    <w:p w:rsidR="00214840" w:rsidRDefault="00214840" w:rsidP="007E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2D" w:rsidRDefault="007E1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2D" w:rsidRDefault="007E152D">
    <w:pPr>
      <w:pStyle w:val="Header"/>
    </w:pPr>
    <w:r w:rsidRPr="0086719E">
      <w:rPr>
        <w:rFonts w:asciiTheme="minorHAnsi" w:hAnsiTheme="minorHAnsi"/>
        <w:noProof/>
        <w:lang w:val="en-US" w:eastAsia="en-US"/>
      </w:rPr>
      <w:drawing>
        <wp:inline distT="0" distB="0" distL="0" distR="0" wp14:anchorId="5BA69C74" wp14:editId="21CCF10C">
          <wp:extent cx="850790" cy="276368"/>
          <wp:effectExtent l="0" t="0" r="6985" b="0"/>
          <wp:docPr id="20" name="Picture 20" descr="D:\Arhiva\Disk D\MARKETING\Logo-uri BCR Moldova\RO_BCRMoldov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rhiva\Disk D\MARKETING\Logo-uri BCR Moldova\RO_BCRMoldov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494" cy="28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2D" w:rsidRDefault="007E1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FB7"/>
    <w:multiLevelType w:val="hybridMultilevel"/>
    <w:tmpl w:val="9FEC9D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A97D34"/>
    <w:multiLevelType w:val="hybridMultilevel"/>
    <w:tmpl w:val="1E18CABC"/>
    <w:lvl w:ilvl="0" w:tplc="51C2D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91CA0"/>
    <w:multiLevelType w:val="hybridMultilevel"/>
    <w:tmpl w:val="A55C4E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3E1D8F"/>
    <w:multiLevelType w:val="hybridMultilevel"/>
    <w:tmpl w:val="2DE62902"/>
    <w:lvl w:ilvl="0" w:tplc="521EAF64">
      <w:start w:val="4"/>
      <w:numFmt w:val="bullet"/>
      <w:lvlText w:val="-"/>
      <w:lvlJc w:val="left"/>
      <w:pPr>
        <w:ind w:left="394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0F781850"/>
    <w:multiLevelType w:val="hybridMultilevel"/>
    <w:tmpl w:val="ED00E0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0315921"/>
    <w:multiLevelType w:val="hybridMultilevel"/>
    <w:tmpl w:val="209EA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97D54"/>
    <w:multiLevelType w:val="hybridMultilevel"/>
    <w:tmpl w:val="C518E32A"/>
    <w:lvl w:ilvl="0" w:tplc="521EAF64">
      <w:start w:val="4"/>
      <w:numFmt w:val="bullet"/>
      <w:lvlText w:val="-"/>
      <w:lvlJc w:val="left"/>
      <w:pPr>
        <w:ind w:left="450" w:hanging="360"/>
      </w:pPr>
      <w:rPr>
        <w:rFonts w:ascii="Tahoma" w:eastAsia="Times New Roman" w:hAnsi="Tahoma" w:hint="default"/>
      </w:rPr>
    </w:lvl>
    <w:lvl w:ilvl="1" w:tplc="521EAF64">
      <w:start w:val="4"/>
      <w:numFmt w:val="bullet"/>
      <w:lvlText w:val="-"/>
      <w:lvlJc w:val="left"/>
      <w:pPr>
        <w:ind w:left="1170" w:hanging="360"/>
      </w:pPr>
      <w:rPr>
        <w:rFonts w:ascii="Tahoma" w:eastAsia="Times New Roman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69513D6"/>
    <w:multiLevelType w:val="hybridMultilevel"/>
    <w:tmpl w:val="6E5A0E28"/>
    <w:lvl w:ilvl="0" w:tplc="51C2D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F51BD"/>
    <w:multiLevelType w:val="hybridMultilevel"/>
    <w:tmpl w:val="05B2B7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1C2E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9169D2"/>
    <w:multiLevelType w:val="hybridMultilevel"/>
    <w:tmpl w:val="C4C0A348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C5B602A"/>
    <w:multiLevelType w:val="hybridMultilevel"/>
    <w:tmpl w:val="CC2AECE6"/>
    <w:lvl w:ilvl="0" w:tplc="A594BB04">
      <w:numFmt w:val="bullet"/>
      <w:lvlText w:val="-"/>
      <w:lvlJc w:val="left"/>
      <w:pPr>
        <w:ind w:left="94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 w15:restartNumberingAfterBreak="0">
    <w:nsid w:val="2F230186"/>
    <w:multiLevelType w:val="hybridMultilevel"/>
    <w:tmpl w:val="5492DB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D91D15"/>
    <w:multiLevelType w:val="hybridMultilevel"/>
    <w:tmpl w:val="EEDC16F6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2D6774E"/>
    <w:multiLevelType w:val="hybridMultilevel"/>
    <w:tmpl w:val="E7844A94"/>
    <w:lvl w:ilvl="0" w:tplc="E8861F9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17605"/>
    <w:multiLevelType w:val="hybridMultilevel"/>
    <w:tmpl w:val="01CAF0DC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6FC2CF7"/>
    <w:multiLevelType w:val="hybridMultilevel"/>
    <w:tmpl w:val="ECD2F05A"/>
    <w:lvl w:ilvl="0" w:tplc="378EB7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631B4"/>
    <w:multiLevelType w:val="hybridMultilevel"/>
    <w:tmpl w:val="239EE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B967D5"/>
    <w:multiLevelType w:val="hybridMultilevel"/>
    <w:tmpl w:val="45100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61527"/>
    <w:multiLevelType w:val="hybridMultilevel"/>
    <w:tmpl w:val="6D0E12D8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43351D8A"/>
    <w:multiLevelType w:val="hybridMultilevel"/>
    <w:tmpl w:val="CB5059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DAC1687"/>
    <w:multiLevelType w:val="hybridMultilevel"/>
    <w:tmpl w:val="EE9EA1CA"/>
    <w:lvl w:ilvl="0" w:tplc="04090017">
      <w:start w:val="1"/>
      <w:numFmt w:val="lowerLetter"/>
      <w:lvlText w:val="%1)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2" w15:restartNumberingAfterBreak="0">
    <w:nsid w:val="50DE2C57"/>
    <w:multiLevelType w:val="hybridMultilevel"/>
    <w:tmpl w:val="F8545DE6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A594B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3077F18"/>
    <w:multiLevelType w:val="hybridMultilevel"/>
    <w:tmpl w:val="30E6701E"/>
    <w:lvl w:ilvl="0" w:tplc="51C2D904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540632DD"/>
    <w:multiLevelType w:val="hybridMultilevel"/>
    <w:tmpl w:val="F49EF120"/>
    <w:lvl w:ilvl="0" w:tplc="51C2D904">
      <w:start w:val="1"/>
      <w:numFmt w:val="bullet"/>
      <w:lvlText w:val=""/>
      <w:lvlJc w:val="left"/>
      <w:pPr>
        <w:ind w:left="-4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56D26FB7"/>
    <w:multiLevelType w:val="hybridMultilevel"/>
    <w:tmpl w:val="006438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251990"/>
    <w:multiLevelType w:val="hybridMultilevel"/>
    <w:tmpl w:val="C75A7042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D8510E4"/>
    <w:multiLevelType w:val="hybridMultilevel"/>
    <w:tmpl w:val="3024299E"/>
    <w:lvl w:ilvl="0" w:tplc="B2029FD4">
      <w:start w:val="1"/>
      <w:numFmt w:val="lowerLetter"/>
      <w:lvlText w:val="%1)"/>
      <w:lvlJc w:val="left"/>
      <w:pPr>
        <w:ind w:left="-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28" w15:restartNumberingAfterBreak="0">
    <w:nsid w:val="5E89000C"/>
    <w:multiLevelType w:val="hybridMultilevel"/>
    <w:tmpl w:val="23723F7E"/>
    <w:lvl w:ilvl="0" w:tplc="51C2D90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F482971"/>
    <w:multiLevelType w:val="hybridMultilevel"/>
    <w:tmpl w:val="F28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C35AB"/>
    <w:multiLevelType w:val="hybridMultilevel"/>
    <w:tmpl w:val="4A32E688"/>
    <w:lvl w:ilvl="0" w:tplc="51C2D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A7179"/>
    <w:multiLevelType w:val="hybridMultilevel"/>
    <w:tmpl w:val="11F652EC"/>
    <w:lvl w:ilvl="0" w:tplc="0409001B">
      <w:start w:val="1"/>
      <w:numFmt w:val="lowerRoman"/>
      <w:lvlText w:val="%1."/>
      <w:lvlJc w:val="right"/>
      <w:pPr>
        <w:ind w:left="63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B38A2F0C">
      <w:start w:val="1"/>
      <w:numFmt w:val="decimal"/>
      <w:lvlText w:val="%3."/>
      <w:lvlJc w:val="left"/>
      <w:pPr>
        <w:ind w:left="207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2" w15:restartNumberingAfterBreak="0">
    <w:nsid w:val="6A3255EB"/>
    <w:multiLevelType w:val="hybridMultilevel"/>
    <w:tmpl w:val="DA244122"/>
    <w:lvl w:ilvl="0" w:tplc="51C2D90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39F6732"/>
    <w:multiLevelType w:val="hybridMultilevel"/>
    <w:tmpl w:val="8CE0E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52E9B"/>
    <w:multiLevelType w:val="hybridMultilevel"/>
    <w:tmpl w:val="335A5AAC"/>
    <w:lvl w:ilvl="0" w:tplc="8190FE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553FF"/>
    <w:multiLevelType w:val="hybridMultilevel"/>
    <w:tmpl w:val="BAEC88BC"/>
    <w:lvl w:ilvl="0" w:tplc="08B67E06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AAC70C5"/>
    <w:multiLevelType w:val="hybridMultilevel"/>
    <w:tmpl w:val="E674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D5721"/>
    <w:multiLevelType w:val="hybridMultilevel"/>
    <w:tmpl w:val="D06C36E8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2"/>
  </w:num>
  <w:num w:numId="5">
    <w:abstractNumId w:val="28"/>
  </w:num>
  <w:num w:numId="6">
    <w:abstractNumId w:val="2"/>
  </w:num>
  <w:num w:numId="7">
    <w:abstractNumId w:val="36"/>
  </w:num>
  <w:num w:numId="8">
    <w:abstractNumId w:val="12"/>
  </w:num>
  <w:num w:numId="9">
    <w:abstractNumId w:val="34"/>
  </w:num>
  <w:num w:numId="10">
    <w:abstractNumId w:val="24"/>
  </w:num>
  <w:num w:numId="11">
    <w:abstractNumId w:val="13"/>
  </w:num>
  <w:num w:numId="12">
    <w:abstractNumId w:val="0"/>
  </w:num>
  <w:num w:numId="13">
    <w:abstractNumId w:val="25"/>
  </w:num>
  <w:num w:numId="14">
    <w:abstractNumId w:val="20"/>
  </w:num>
  <w:num w:numId="15">
    <w:abstractNumId w:val="4"/>
  </w:num>
  <w:num w:numId="16">
    <w:abstractNumId w:val="5"/>
  </w:num>
  <w:num w:numId="17">
    <w:abstractNumId w:val="33"/>
  </w:num>
  <w:num w:numId="18">
    <w:abstractNumId w:val="19"/>
  </w:num>
  <w:num w:numId="19">
    <w:abstractNumId w:val="3"/>
  </w:num>
  <w:num w:numId="20">
    <w:abstractNumId w:val="14"/>
  </w:num>
  <w:num w:numId="21">
    <w:abstractNumId w:val="6"/>
  </w:num>
  <w:num w:numId="22">
    <w:abstractNumId w:val="23"/>
  </w:num>
  <w:num w:numId="23">
    <w:abstractNumId w:val="32"/>
  </w:num>
  <w:num w:numId="24">
    <w:abstractNumId w:val="18"/>
  </w:num>
  <w:num w:numId="25">
    <w:abstractNumId w:val="30"/>
  </w:num>
  <w:num w:numId="26">
    <w:abstractNumId w:val="7"/>
  </w:num>
  <w:num w:numId="27">
    <w:abstractNumId w:val="1"/>
  </w:num>
  <w:num w:numId="28">
    <w:abstractNumId w:val="16"/>
  </w:num>
  <w:num w:numId="29">
    <w:abstractNumId w:val="27"/>
  </w:num>
  <w:num w:numId="30">
    <w:abstractNumId w:val="37"/>
  </w:num>
  <w:num w:numId="31">
    <w:abstractNumId w:val="26"/>
  </w:num>
  <w:num w:numId="32">
    <w:abstractNumId w:val="15"/>
  </w:num>
  <w:num w:numId="33">
    <w:abstractNumId w:val="10"/>
  </w:num>
  <w:num w:numId="34">
    <w:abstractNumId w:val="11"/>
  </w:num>
  <w:num w:numId="35">
    <w:abstractNumId w:val="8"/>
  </w:num>
  <w:num w:numId="36">
    <w:abstractNumId w:val="35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2D"/>
    <w:rsid w:val="00043812"/>
    <w:rsid w:val="001D1F72"/>
    <w:rsid w:val="00214840"/>
    <w:rsid w:val="00357746"/>
    <w:rsid w:val="003F2500"/>
    <w:rsid w:val="00525BC1"/>
    <w:rsid w:val="007E152D"/>
    <w:rsid w:val="0084381B"/>
    <w:rsid w:val="00871FFF"/>
    <w:rsid w:val="00913B05"/>
    <w:rsid w:val="00980E66"/>
    <w:rsid w:val="00A15D8D"/>
    <w:rsid w:val="00B03950"/>
    <w:rsid w:val="00CA098D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ED9CC"/>
  <w15:chartTrackingRefBased/>
  <w15:docId w15:val="{07F39BAD-88F1-4F06-A058-114D1AA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52D"/>
    <w:pPr>
      <w:keepNext/>
      <w:numPr>
        <w:numId w:val="3"/>
      </w:numPr>
      <w:outlineLvl w:val="0"/>
    </w:pPr>
    <w:rPr>
      <w:b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52D"/>
    <w:pPr>
      <w:keepNext/>
      <w:numPr>
        <w:ilvl w:val="1"/>
        <w:numId w:val="3"/>
      </w:numPr>
      <w:jc w:val="center"/>
      <w:outlineLvl w:val="1"/>
    </w:pPr>
    <w:rPr>
      <w:rFonts w:ascii="Arial Black" w:hAnsi="Arial Black" w:cs="Arial"/>
      <w:b/>
      <w:sz w:val="52"/>
      <w:szCs w:val="72"/>
      <w:lang w:val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152D"/>
    <w:pPr>
      <w:keepNext/>
      <w:numPr>
        <w:ilvl w:val="2"/>
        <w:numId w:val="3"/>
      </w:numPr>
      <w:jc w:val="both"/>
      <w:outlineLvl w:val="2"/>
    </w:pPr>
    <w:rPr>
      <w:rFonts w:ascii="Arial" w:hAnsi="Arial" w:cs="Arial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152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152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152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152D"/>
    <w:pPr>
      <w:numPr>
        <w:ilvl w:val="6"/>
        <w:numId w:val="3"/>
      </w:numPr>
      <w:spacing w:before="240" w:after="60"/>
      <w:outlineLvl w:val="6"/>
    </w:pPr>
    <w:rPr>
      <w:lang w:val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152D"/>
    <w:pPr>
      <w:numPr>
        <w:ilvl w:val="7"/>
        <w:numId w:val="3"/>
      </w:numPr>
      <w:spacing w:before="240" w:after="60"/>
      <w:outlineLvl w:val="7"/>
    </w:pPr>
    <w:rPr>
      <w:i/>
      <w:iCs/>
      <w:lang w:val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152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E1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D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7E152D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E152D"/>
    <w:rPr>
      <w:rFonts w:ascii="Arial Black" w:eastAsia="Times New Roman" w:hAnsi="Arial Black" w:cs="Arial"/>
      <w:b/>
      <w:sz w:val="52"/>
      <w:szCs w:val="72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7E152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7E152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7E152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7E152D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7E15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rsid w:val="007E152D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rsid w:val="007E152D"/>
    <w:rPr>
      <w:rFonts w:ascii="Arial" w:eastAsia="Times New Roman" w:hAnsi="Arial" w:cs="Arial"/>
      <w:lang w:val="ru-RU" w:eastAsia="ru-RU"/>
    </w:rPr>
  </w:style>
  <w:style w:type="character" w:styleId="Strong">
    <w:name w:val="Strong"/>
    <w:basedOn w:val="DefaultParagraphFont"/>
    <w:uiPriority w:val="22"/>
    <w:qFormat/>
    <w:rsid w:val="007E152D"/>
    <w:rPr>
      <w:b/>
      <w:bCs/>
    </w:rPr>
  </w:style>
  <w:style w:type="table" w:styleId="TableGrid">
    <w:name w:val="Table Grid"/>
    <w:aliases w:val="Table"/>
    <w:basedOn w:val="TableNormal"/>
    <w:rsid w:val="007E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2D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jlqj4b">
    <w:name w:val="jlqj4b"/>
    <w:basedOn w:val="DefaultParagraphFont"/>
    <w:rsid w:val="007E152D"/>
  </w:style>
  <w:style w:type="paragraph" w:styleId="ListParagraph">
    <w:name w:val="List Paragraph"/>
    <w:basedOn w:val="Normal"/>
    <w:link w:val="ListParagraphChar"/>
    <w:uiPriority w:val="34"/>
    <w:qFormat/>
    <w:rsid w:val="007E152D"/>
    <w:pPr>
      <w:ind w:left="720"/>
      <w:contextualSpacing/>
    </w:pPr>
    <w:rPr>
      <w:lang w:val="ro-RO" w:eastAsia="en-US"/>
    </w:rPr>
  </w:style>
  <w:style w:type="character" w:customStyle="1" w:styleId="ListParagraphChar">
    <w:name w:val="List Paragraph Char"/>
    <w:link w:val="ListParagraph"/>
    <w:uiPriority w:val="34"/>
    <w:rsid w:val="007E152D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viiyi">
    <w:name w:val="viiyi"/>
    <w:basedOn w:val="DefaultParagraphFont"/>
    <w:rsid w:val="007E152D"/>
  </w:style>
  <w:style w:type="character" w:styleId="CommentReference">
    <w:name w:val="annotation reference"/>
    <w:basedOn w:val="DefaultParagraphFont"/>
    <w:uiPriority w:val="99"/>
    <w:semiHidden/>
    <w:unhideWhenUsed/>
    <w:rsid w:val="007E1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52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52D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ln2alineat1">
    <w:name w:val="ln2alineat1"/>
    <w:rsid w:val="007E152D"/>
    <w:rPr>
      <w:b/>
      <w:bCs/>
      <w:color w:val="74929F"/>
    </w:rPr>
  </w:style>
  <w:style w:type="character" w:customStyle="1" w:styleId="ln2talineat">
    <w:name w:val="ln2talineat"/>
    <w:basedOn w:val="DefaultParagraphFont"/>
    <w:rsid w:val="007E152D"/>
  </w:style>
  <w:style w:type="character" w:customStyle="1" w:styleId="ln2tarticol">
    <w:name w:val="ln2tarticol"/>
    <w:basedOn w:val="DefaultParagraphFont"/>
    <w:rsid w:val="007E152D"/>
  </w:style>
  <w:style w:type="character" w:customStyle="1" w:styleId="ln2litera1">
    <w:name w:val="ln2litera1"/>
    <w:rsid w:val="007E152D"/>
    <w:rPr>
      <w:b/>
      <w:bCs/>
      <w:color w:val="00008F"/>
    </w:rPr>
  </w:style>
  <w:style w:type="character" w:customStyle="1" w:styleId="ln2tlitera">
    <w:name w:val="ln2tlitera"/>
    <w:basedOn w:val="DefaultParagraphFont"/>
    <w:rsid w:val="007E152D"/>
  </w:style>
  <w:style w:type="character" w:customStyle="1" w:styleId="ln2tparagraf">
    <w:name w:val="ln2tparagraf"/>
    <w:basedOn w:val="DefaultParagraphFont"/>
    <w:rsid w:val="007E152D"/>
  </w:style>
  <w:style w:type="character" w:styleId="Hyperlink">
    <w:name w:val="Hyperlink"/>
    <w:rsid w:val="007E152D"/>
    <w:rPr>
      <w:color w:val="0000FF"/>
      <w:u w:val="single"/>
    </w:rPr>
  </w:style>
  <w:style w:type="paragraph" w:styleId="BodyText">
    <w:name w:val="Body Text"/>
    <w:basedOn w:val="Normal"/>
    <w:link w:val="BodyTextChar"/>
    <w:rsid w:val="007E152D"/>
    <w:pPr>
      <w:jc w:val="center"/>
    </w:pPr>
    <w:rPr>
      <w:b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52D"/>
    <w:rPr>
      <w:rFonts w:ascii="Times New Roman" w:eastAsia="Times New Roman" w:hAnsi="Times New Roman" w:cs="Times New Roman"/>
      <w:b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7E152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E15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E152D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E152D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152D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7E152D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rsid w:val="007E1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7E15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earchselected1">
    <w:name w:val="search_selected1"/>
    <w:basedOn w:val="DefaultParagraphFont"/>
    <w:rsid w:val="007E152D"/>
    <w:rPr>
      <w:b/>
      <w:bCs/>
      <w:color w:val="D51507"/>
      <w:u w:val="single"/>
    </w:rPr>
  </w:style>
  <w:style w:type="paragraph" w:styleId="Revision">
    <w:name w:val="Revision"/>
    <w:hidden/>
    <w:uiPriority w:val="99"/>
    <w:semiHidden/>
    <w:rsid w:val="007E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Preformatted1">
    <w:name w:val="HTML Preformatted1"/>
    <w:basedOn w:val="Normal"/>
    <w:rsid w:val="007E152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1"/>
      <w:sz w:val="20"/>
      <w:szCs w:val="20"/>
      <w:lang w:val="ru-RU"/>
    </w:rPr>
  </w:style>
  <w:style w:type="character" w:customStyle="1" w:styleId="rvts9">
    <w:name w:val="rvts9"/>
    <w:rsid w:val="007E152D"/>
    <w:rPr>
      <w:rFonts w:ascii="Arial" w:hAnsi="Arial" w:cs="Arial" w:hint="default"/>
    </w:rPr>
  </w:style>
  <w:style w:type="paragraph" w:customStyle="1" w:styleId="a">
    <w:name w:val="Содержимое таблицы"/>
    <w:basedOn w:val="Normal"/>
    <w:rsid w:val="007E152D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ru-RU"/>
    </w:rPr>
  </w:style>
  <w:style w:type="paragraph" w:styleId="NormalWeb">
    <w:name w:val="Normal (Web)"/>
    <w:basedOn w:val="Normal"/>
    <w:uiPriority w:val="99"/>
    <w:rsid w:val="007E152D"/>
    <w:rPr>
      <w:lang w:val="en-US" w:eastAsia="en-US"/>
    </w:rPr>
  </w:style>
  <w:style w:type="character" w:customStyle="1" w:styleId="rvts6">
    <w:name w:val="rvts6"/>
    <w:rsid w:val="007E152D"/>
    <w:rPr>
      <w:rFonts w:ascii="Arial" w:hAnsi="Arial" w:cs="Arial" w:hint="default"/>
      <w:b/>
      <w:bCs/>
    </w:rPr>
  </w:style>
  <w:style w:type="character" w:customStyle="1" w:styleId="hps">
    <w:name w:val="hps"/>
    <w:basedOn w:val="DefaultParagraphFont"/>
    <w:rsid w:val="007E152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2D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2D"/>
    <w:rPr>
      <w:rFonts w:ascii="Times New Roman" w:eastAsia="Times New Roman" w:hAnsi="Times New Roman" w:cs="Times New Roman"/>
      <w:sz w:val="24"/>
      <w:szCs w:val="24"/>
    </w:rPr>
  </w:style>
  <w:style w:type="character" w:customStyle="1" w:styleId="alt-edited1">
    <w:name w:val="alt-edited1"/>
    <w:basedOn w:val="DefaultParagraphFont"/>
    <w:rsid w:val="007E152D"/>
    <w:rPr>
      <w:color w:val="4D90F0"/>
    </w:rPr>
  </w:style>
  <w:style w:type="character" w:customStyle="1" w:styleId="tpt1">
    <w:name w:val="tpt1"/>
    <w:basedOn w:val="DefaultParagraphFont"/>
    <w:rsid w:val="007E152D"/>
  </w:style>
  <w:style w:type="paragraph" w:styleId="BodyText3">
    <w:name w:val="Body Text 3"/>
    <w:basedOn w:val="Normal"/>
    <w:link w:val="BodyText3Char"/>
    <w:uiPriority w:val="99"/>
    <w:semiHidden/>
    <w:unhideWhenUsed/>
    <w:rsid w:val="007E152D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152D"/>
    <w:rPr>
      <w:rFonts w:ascii="Times New Roman" w:eastAsia="Times New Roman" w:hAnsi="Times New Roman" w:cs="Times New Roman"/>
      <w:sz w:val="16"/>
      <w:szCs w:val="16"/>
    </w:rPr>
  </w:style>
  <w:style w:type="paragraph" w:styleId="EnvelopeReturn">
    <w:name w:val="envelope return"/>
    <w:basedOn w:val="Normal"/>
    <w:rsid w:val="007E152D"/>
    <w:rPr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rsid w:val="007E152D"/>
    <w:rPr>
      <w:i/>
      <w:iCs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rsid w:val="007E152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yiv0695399000">
    <w:name w:val="yiv0695399000"/>
    <w:rsid w:val="007E152D"/>
  </w:style>
  <w:style w:type="paragraph" w:styleId="BodyTextIndent2">
    <w:name w:val="Body Text Indent 2"/>
    <w:basedOn w:val="Normal"/>
    <w:link w:val="BodyTextIndent2Char"/>
    <w:uiPriority w:val="99"/>
    <w:unhideWhenUsed/>
    <w:rsid w:val="007E152D"/>
    <w:pPr>
      <w:spacing w:after="120" w:line="480" w:lineRule="auto"/>
      <w:ind w:left="36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152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152D"/>
    <w:rPr>
      <w:rFonts w:cs="Times New Roman"/>
    </w:rPr>
  </w:style>
  <w:style w:type="character" w:customStyle="1" w:styleId="hcn">
    <w:name w:val="h_ cn_"/>
    <w:basedOn w:val="DefaultParagraphFont"/>
    <w:rsid w:val="007E152D"/>
    <w:rPr>
      <w:rFonts w:cs="Times New Roman"/>
    </w:rPr>
  </w:style>
  <w:style w:type="character" w:customStyle="1" w:styleId="Headerorfooter">
    <w:name w:val="Header or footer_"/>
    <w:basedOn w:val="DefaultParagraphFont"/>
    <w:link w:val="Headerorfooter0"/>
    <w:rsid w:val="007E152D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Heading12">
    <w:name w:val="Heading #1 (2)_"/>
    <w:basedOn w:val="DefaultParagraphFont"/>
    <w:link w:val="Heading120"/>
    <w:rsid w:val="007E152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13">
    <w:name w:val="Heading #1 (3)_"/>
    <w:basedOn w:val="DefaultParagraphFont"/>
    <w:link w:val="Heading130"/>
    <w:rsid w:val="007E152D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7E152D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E152D"/>
    <w:rPr>
      <w:rFonts w:ascii="Arial" w:eastAsia="Arial" w:hAnsi="Arial" w:cs="Arial"/>
      <w:shd w:val="clear" w:color="auto" w:fill="FFFFFF"/>
    </w:rPr>
  </w:style>
  <w:style w:type="character" w:customStyle="1" w:styleId="Bodytext26pt">
    <w:name w:val="Body text (2) + 6 pt"/>
    <w:aliases w:val="Bold,Body text (2) + 7.5 pt"/>
    <w:basedOn w:val="Bodytext2"/>
    <w:rsid w:val="007E152D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Bodytext255pt">
    <w:name w:val="Body text (2) + 5.5 pt"/>
    <w:basedOn w:val="Bodytext2"/>
    <w:rsid w:val="007E152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Headerorfooter2">
    <w:name w:val="Header or footer (2)_"/>
    <w:basedOn w:val="DefaultParagraphFont"/>
    <w:link w:val="Headerorfooter20"/>
    <w:rsid w:val="007E152D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7E152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7E152D"/>
    <w:rPr>
      <w:rFonts w:ascii="Arial" w:eastAsia="Arial" w:hAnsi="Arial" w:cs="Arial"/>
      <w:b/>
      <w:bCs/>
      <w:shd w:val="clear" w:color="auto" w:fill="FFFFFF"/>
    </w:rPr>
  </w:style>
  <w:style w:type="character" w:customStyle="1" w:styleId="Headerorfooter3">
    <w:name w:val="Header or footer (3)_"/>
    <w:basedOn w:val="DefaultParagraphFont"/>
    <w:link w:val="Headerorfooter30"/>
    <w:rsid w:val="007E15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7E152D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  <w:lang w:val="en-US" w:eastAsia="en-US"/>
    </w:rPr>
  </w:style>
  <w:style w:type="paragraph" w:customStyle="1" w:styleId="Heading120">
    <w:name w:val="Heading #1 (2)"/>
    <w:basedOn w:val="Normal"/>
    <w:link w:val="Heading12"/>
    <w:rsid w:val="007E152D"/>
    <w:pPr>
      <w:widowControl w:val="0"/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customStyle="1" w:styleId="Heading130">
    <w:name w:val="Heading #1 (3)"/>
    <w:basedOn w:val="Normal"/>
    <w:link w:val="Heading13"/>
    <w:rsid w:val="007E152D"/>
    <w:pPr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paragraph" w:customStyle="1" w:styleId="Bodytext31">
    <w:name w:val="Body text (3)"/>
    <w:basedOn w:val="Normal"/>
    <w:link w:val="Bodytext30"/>
    <w:rsid w:val="007E152D"/>
    <w:pPr>
      <w:widowControl w:val="0"/>
      <w:shd w:val="clear" w:color="auto" w:fill="FFFFFF"/>
      <w:spacing w:before="420" w:line="341" w:lineRule="exact"/>
    </w:pPr>
    <w:rPr>
      <w:rFonts w:ascii="Arial" w:eastAsia="Arial" w:hAnsi="Arial" w:cs="Arial"/>
      <w:b/>
      <w:bCs/>
      <w:sz w:val="12"/>
      <w:szCs w:val="12"/>
      <w:lang w:val="en-US" w:eastAsia="en-US"/>
    </w:rPr>
  </w:style>
  <w:style w:type="paragraph" w:customStyle="1" w:styleId="Bodytext20">
    <w:name w:val="Body text (2)"/>
    <w:basedOn w:val="Normal"/>
    <w:link w:val="Bodytext2"/>
    <w:rsid w:val="007E152D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Headerorfooter20">
    <w:name w:val="Header or footer (2)"/>
    <w:basedOn w:val="Normal"/>
    <w:link w:val="Headerorfooter2"/>
    <w:rsid w:val="007E152D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Bodytext40">
    <w:name w:val="Body text (4)"/>
    <w:basedOn w:val="Normal"/>
    <w:link w:val="Bodytext4"/>
    <w:rsid w:val="007E152D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b/>
      <w:bCs/>
      <w:sz w:val="20"/>
      <w:szCs w:val="20"/>
      <w:lang w:val="en-US" w:eastAsia="en-US"/>
    </w:rPr>
  </w:style>
  <w:style w:type="paragraph" w:customStyle="1" w:styleId="Heading11">
    <w:name w:val="Heading #1"/>
    <w:basedOn w:val="Normal"/>
    <w:link w:val="Heading10"/>
    <w:rsid w:val="007E152D"/>
    <w:pPr>
      <w:widowControl w:val="0"/>
      <w:shd w:val="clear" w:color="auto" w:fill="FFFFFF"/>
      <w:spacing w:before="540" w:after="3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Headerorfooter30">
    <w:name w:val="Header or footer (3)"/>
    <w:basedOn w:val="Normal"/>
    <w:link w:val="Headerorfooter3"/>
    <w:rsid w:val="007E152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7E152D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E152D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9ed60ec-5ae4-4f06-af90-dfc83eb18f0a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37404E2C-D371-46EF-852F-E3D1066DE1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1980</Words>
  <Characters>11286</Characters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2022-09-07T11:58:00Z</dcterms:created>
  <dcterms:modified xsi:type="dcterms:W3CDTF">2022-09-07T12:00:00Z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dfcf388d-6d63-4618-87e2-7ba3aded3f28</vt:lpwstr>
  </property>
  <property fmtid="{D5CDD505-2E9C-101B-9397-08002B2CF9AE}" pid="3" name="bjSaver">
    <vt:lpwstr>7KO8p6vgKNKHqqn1oILm7cU63Si0Di7k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policy="89ed60ec-5ae4-4f06-af90-dfc83eb18f0a"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BCR Chisinau S.A. - Uz Intern</vt:lpwstr>
  </property>
  <property fmtid="{D5CDD505-2E9C-101B-9397-08002B2CF9AE}" pid="7" name="bjFooterBothDocProperty">
    <vt:lpwstr>BCR Chisinau S.A. - Uz Intern</vt:lpwstr>
  </property>
  <property fmtid="{D5CDD505-2E9C-101B-9397-08002B2CF9AE}" pid="8" name="bjFooterFirstPageDocProperty">
    <vt:lpwstr>BCR Chisinau S.A. - Uz Intern</vt:lpwstr>
  </property>
  <property fmtid="{D5CDD505-2E9C-101B-9397-08002B2CF9AE}" pid="9" name="bjFooterEvenPageDocProperty">
    <vt:lpwstr>BCR Chisinau S.A. - Uz Intern</vt:lpwstr>
  </property>
</Properties>
</file>