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1675" w14:textId="424B48B4" w:rsidR="00224561" w:rsidRDefault="00224561">
      <w:pPr>
        <w:rPr>
          <w:rFonts w:ascii="Arial" w:eastAsia="Times New Roman" w:hAnsi="Arial" w:cs="Arial"/>
          <w:color w:val="000000" w:themeColor="text1"/>
          <w:szCs w:val="24"/>
          <w:lang w:val="cs-CZ" w:eastAsia="de-AT"/>
        </w:rPr>
      </w:pPr>
    </w:p>
    <w:p w14:paraId="5D30EA72" w14:textId="389EF513" w:rsidR="00F30DF0" w:rsidRDefault="00F30DF0">
      <w:pPr>
        <w:rPr>
          <w:rFonts w:ascii="Arial" w:eastAsia="Times New Roman" w:hAnsi="Arial" w:cs="Arial"/>
          <w:color w:val="000000" w:themeColor="text1"/>
          <w:szCs w:val="24"/>
          <w:lang w:val="cs-CZ" w:eastAsia="de-AT"/>
        </w:rPr>
      </w:pPr>
    </w:p>
    <w:p w14:paraId="7F44AF8B" w14:textId="77777777" w:rsidR="00F30DF0" w:rsidRDefault="00F30DF0" w:rsidP="00F30DF0">
      <w:pPr>
        <w:framePr w:hSpace="141" w:wrap="around" w:vAnchor="page" w:hAnchor="margin" w:y="1987"/>
        <w:rPr>
          <w:rFonts w:ascii="Calibri" w:eastAsia="Calibri" w:hAnsi="Calibri" w:cs="Calibri"/>
          <w:color w:val="000000" w:themeColor="text1"/>
          <w:lang w:val="cs-CZ"/>
        </w:rPr>
      </w:pPr>
      <w:r w:rsidRPr="0055589B">
        <w:rPr>
          <w:rFonts w:ascii="Calibri" w:hAnsi="Calibri" w:cs="Calibri"/>
          <w:b/>
          <w:color w:val="000000" w:themeColor="text1"/>
          <w:lang w:val="cs-CZ"/>
        </w:rPr>
        <w:t>Politika odměňování</w:t>
      </w:r>
      <w:r>
        <w:rPr>
          <w:rFonts w:ascii="Calibri" w:hAnsi="Calibri" w:cs="Calibri"/>
          <w:b/>
          <w:color w:val="000000" w:themeColor="text1"/>
          <w:lang w:val="cs-CZ"/>
        </w:rPr>
        <w:t xml:space="preserve"> ver. 10.3</w:t>
      </w:r>
      <w:r w:rsidRPr="0055589B">
        <w:rPr>
          <w:rFonts w:ascii="Calibri" w:eastAsia="Calibri" w:hAnsi="Calibri" w:cs="Calibri"/>
          <w:color w:val="000000" w:themeColor="text1"/>
          <w:lang w:val="cs-CZ"/>
        </w:rPr>
        <w:t xml:space="preserve"> </w:t>
      </w:r>
    </w:p>
    <w:p w14:paraId="67A0162E" w14:textId="77777777" w:rsidR="00F30DF0" w:rsidRDefault="00F30DF0" w:rsidP="007F006A">
      <w:pPr>
        <w:spacing w:after="120" w:line="276" w:lineRule="auto"/>
        <w:jc w:val="both"/>
        <w:rPr>
          <w:rFonts w:ascii="Arial" w:hAnsi="Arial" w:cs="Arial"/>
          <w:b/>
          <w:color w:val="000000" w:themeColor="text1"/>
          <w:szCs w:val="24"/>
          <w:lang w:val="cs-CZ" w:eastAsia="de-AT"/>
        </w:rPr>
      </w:pPr>
    </w:p>
    <w:tbl>
      <w:tblPr>
        <w:tblpPr w:leftFromText="141" w:rightFromText="141" w:vertAnchor="page" w:horzAnchor="margin" w:tblpY="198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80"/>
      </w:tblGrid>
      <w:tr w:rsidR="00F30DF0" w:rsidRPr="00F30DF0" w14:paraId="55CA838B" w14:textId="77777777" w:rsidTr="00F30DF0">
        <w:trPr>
          <w:trHeight w:val="571"/>
        </w:trPr>
        <w:tc>
          <w:tcPr>
            <w:tcW w:w="9180" w:type="dxa"/>
            <w:shd w:val="clear" w:color="auto" w:fill="8EAADB" w:themeFill="accent1" w:themeFillTint="99"/>
          </w:tcPr>
          <w:p w14:paraId="0F589EA3" w14:textId="76CDC6F5" w:rsidR="00F30DF0" w:rsidRPr="00F30DF0" w:rsidRDefault="00F30DF0" w:rsidP="00685EE1">
            <w:pPr>
              <w:rPr>
                <w:rFonts w:ascii="Calibri" w:eastAsia="Calibri" w:hAnsi="Calibri" w:cs="Calibri"/>
                <w:color w:val="000000" w:themeColor="text1"/>
                <w:sz w:val="24"/>
                <w:szCs w:val="24"/>
                <w:lang w:val="cs-CZ"/>
              </w:rPr>
            </w:pPr>
            <w:r w:rsidRPr="00F30DF0">
              <w:rPr>
                <w:rFonts w:ascii="Calibri" w:hAnsi="Calibri" w:cs="Calibri"/>
                <w:b/>
                <w:color w:val="000000" w:themeColor="text1"/>
                <w:sz w:val="24"/>
                <w:szCs w:val="24"/>
                <w:lang w:val="cs-CZ"/>
              </w:rPr>
              <w:t>Politika odměňování</w:t>
            </w:r>
          </w:p>
        </w:tc>
      </w:tr>
      <w:tr w:rsidR="00F30DF0" w:rsidRPr="00F30DF0" w14:paraId="01B9FC8C" w14:textId="77777777" w:rsidTr="002000EE">
        <w:trPr>
          <w:trHeight w:val="256"/>
        </w:trPr>
        <w:tc>
          <w:tcPr>
            <w:tcW w:w="9180" w:type="dxa"/>
          </w:tcPr>
          <w:p w14:paraId="12CA9B71" w14:textId="4EE171FC" w:rsidR="00F30DF0" w:rsidRPr="00F30DF0" w:rsidRDefault="00F30DF0" w:rsidP="00685EE1">
            <w:pPr>
              <w:rPr>
                <w:rFonts w:ascii="Calibri" w:eastAsia="Calibri" w:hAnsi="Calibri" w:cs="Calibri"/>
                <w:color w:val="000000" w:themeColor="text1"/>
                <w:sz w:val="24"/>
                <w:szCs w:val="24"/>
                <w:lang w:val="cs-CZ"/>
              </w:rPr>
            </w:pPr>
            <w:r w:rsidRPr="00F30DF0">
              <w:rPr>
                <w:rFonts w:ascii="Calibri" w:eastAsia="Calibri" w:hAnsi="Calibri" w:cs="Calibri"/>
                <w:color w:val="000000" w:themeColor="text1"/>
                <w:sz w:val="24"/>
                <w:szCs w:val="24"/>
                <w:lang w:val="cs-CZ"/>
              </w:rPr>
              <w:t>Erste Asset Management GmbH, pobočka Česká republika</w:t>
            </w:r>
          </w:p>
        </w:tc>
      </w:tr>
    </w:tbl>
    <w:p w14:paraId="465F4886" w14:textId="77777777" w:rsidR="00F30DF0" w:rsidRDefault="00F30DF0" w:rsidP="007F006A">
      <w:pPr>
        <w:spacing w:after="120" w:line="276" w:lineRule="auto"/>
        <w:jc w:val="both"/>
        <w:rPr>
          <w:rFonts w:ascii="Arial" w:hAnsi="Arial" w:cs="Arial"/>
          <w:b/>
          <w:color w:val="000000" w:themeColor="text1"/>
          <w:szCs w:val="24"/>
          <w:lang w:val="cs-CZ" w:eastAsia="de-AT"/>
        </w:rPr>
      </w:pPr>
    </w:p>
    <w:p w14:paraId="2CDEC37B" w14:textId="72E4961A" w:rsidR="00224561" w:rsidRPr="0055589B" w:rsidRDefault="00224561" w:rsidP="007F006A">
      <w:pPr>
        <w:spacing w:after="120" w:line="276" w:lineRule="auto"/>
        <w:jc w:val="both"/>
        <w:rPr>
          <w:rFonts w:ascii="Arial" w:eastAsia="Times New Roman" w:hAnsi="Arial" w:cs="Arial"/>
          <w:b/>
          <w:color w:val="000000" w:themeColor="text1"/>
          <w:szCs w:val="24"/>
          <w:lang w:val="cs-CZ" w:eastAsia="de-AT"/>
        </w:rPr>
      </w:pPr>
      <w:r w:rsidRPr="0055589B">
        <w:rPr>
          <w:rFonts w:ascii="Arial" w:hAnsi="Arial" w:cs="Arial"/>
          <w:b/>
          <w:color w:val="000000" w:themeColor="text1"/>
          <w:szCs w:val="24"/>
          <w:lang w:val="cs-CZ" w:eastAsia="de-AT"/>
        </w:rPr>
        <w:t>Obsah</w:t>
      </w:r>
    </w:p>
    <w:bookmarkStart w:id="0" w:name="_Toc254257104"/>
    <w:bookmarkStart w:id="1" w:name="_Toc254258410"/>
    <w:p w14:paraId="34C4C08F" w14:textId="151AFEDF" w:rsidR="00393A22" w:rsidRDefault="00224561">
      <w:pPr>
        <w:pStyle w:val="Obsah1"/>
        <w:tabs>
          <w:tab w:val="left" w:pos="440"/>
          <w:tab w:val="right" w:leader="dot" w:pos="9350"/>
        </w:tabs>
        <w:rPr>
          <w:noProof/>
          <w:lang w:val="cs-CZ" w:eastAsia="cs-CZ"/>
        </w:rPr>
      </w:pPr>
      <w:r w:rsidRPr="0055589B">
        <w:rPr>
          <w:rFonts w:ascii="Arial" w:hAnsi="Arial" w:cs="Arial"/>
          <w:color w:val="000000" w:themeColor="text1"/>
          <w:sz w:val="32"/>
          <w:szCs w:val="32"/>
          <w:lang w:val="cs-CZ" w:eastAsia="de-AT"/>
        </w:rPr>
        <w:fldChar w:fldCharType="begin"/>
      </w:r>
      <w:r w:rsidRPr="0055589B">
        <w:rPr>
          <w:rFonts w:ascii="Arial" w:hAnsi="Arial" w:cs="Arial"/>
          <w:color w:val="000000" w:themeColor="text1"/>
          <w:sz w:val="32"/>
          <w:szCs w:val="32"/>
          <w:lang w:val="cs-CZ" w:eastAsia="de-AT"/>
        </w:rPr>
        <w:instrText xml:space="preserve"> TOC \o "1-3" \h \z \u </w:instrText>
      </w:r>
      <w:r w:rsidRPr="0055589B">
        <w:rPr>
          <w:rFonts w:ascii="Arial" w:hAnsi="Arial" w:cs="Arial"/>
          <w:color w:val="000000" w:themeColor="text1"/>
          <w:sz w:val="32"/>
          <w:szCs w:val="32"/>
          <w:lang w:val="cs-CZ" w:eastAsia="de-AT"/>
        </w:rPr>
        <w:fldChar w:fldCharType="separate"/>
      </w:r>
      <w:hyperlink w:anchor="_Toc108689189" w:history="1">
        <w:r w:rsidR="00393A22" w:rsidRPr="00A65EEB">
          <w:rPr>
            <w:rStyle w:val="Hypertextovodkaz"/>
            <w:noProof/>
            <w:lang w:val="cs-CZ"/>
          </w:rPr>
          <w:t>1.</w:t>
        </w:r>
        <w:r w:rsidR="00393A22">
          <w:rPr>
            <w:noProof/>
            <w:lang w:val="cs-CZ" w:eastAsia="cs-CZ"/>
          </w:rPr>
          <w:tab/>
        </w:r>
        <w:r w:rsidR="00393A22" w:rsidRPr="00A65EEB">
          <w:rPr>
            <w:rStyle w:val="Hypertextovodkaz"/>
            <w:noProof/>
            <w:lang w:val="cs-CZ"/>
          </w:rPr>
          <w:t>Preambule</w:t>
        </w:r>
        <w:r w:rsidR="00393A22">
          <w:rPr>
            <w:noProof/>
            <w:webHidden/>
          </w:rPr>
          <w:tab/>
        </w:r>
        <w:r w:rsidR="00393A22">
          <w:rPr>
            <w:noProof/>
            <w:webHidden/>
          </w:rPr>
          <w:fldChar w:fldCharType="begin"/>
        </w:r>
        <w:r w:rsidR="00393A22">
          <w:rPr>
            <w:noProof/>
            <w:webHidden/>
          </w:rPr>
          <w:instrText xml:space="preserve"> PAGEREF _Toc108689189 \h </w:instrText>
        </w:r>
        <w:r w:rsidR="00393A22">
          <w:rPr>
            <w:noProof/>
            <w:webHidden/>
          </w:rPr>
        </w:r>
        <w:r w:rsidR="00393A22">
          <w:rPr>
            <w:noProof/>
            <w:webHidden/>
          </w:rPr>
          <w:fldChar w:fldCharType="separate"/>
        </w:r>
        <w:r w:rsidR="00F80A66">
          <w:rPr>
            <w:noProof/>
            <w:webHidden/>
          </w:rPr>
          <w:t>3</w:t>
        </w:r>
        <w:r w:rsidR="00393A22">
          <w:rPr>
            <w:noProof/>
            <w:webHidden/>
          </w:rPr>
          <w:fldChar w:fldCharType="end"/>
        </w:r>
      </w:hyperlink>
    </w:p>
    <w:p w14:paraId="7B1BF6ED" w14:textId="457691AE" w:rsidR="00393A22" w:rsidRDefault="005D3B21">
      <w:pPr>
        <w:pStyle w:val="Obsah1"/>
        <w:tabs>
          <w:tab w:val="left" w:pos="440"/>
          <w:tab w:val="right" w:leader="dot" w:pos="9350"/>
        </w:tabs>
        <w:rPr>
          <w:noProof/>
          <w:lang w:val="cs-CZ" w:eastAsia="cs-CZ"/>
        </w:rPr>
      </w:pPr>
      <w:hyperlink w:anchor="_Toc108689190" w:history="1">
        <w:r w:rsidR="00393A22" w:rsidRPr="00A65EEB">
          <w:rPr>
            <w:rStyle w:val="Hypertextovodkaz"/>
            <w:rFonts w:eastAsia="Times New Roman"/>
            <w:noProof/>
            <w:lang w:val="cs-CZ"/>
          </w:rPr>
          <w:t>2.</w:t>
        </w:r>
        <w:r w:rsidR="00393A22">
          <w:rPr>
            <w:noProof/>
            <w:lang w:val="cs-CZ" w:eastAsia="cs-CZ"/>
          </w:rPr>
          <w:tab/>
        </w:r>
        <w:r w:rsidR="00393A22" w:rsidRPr="00A65EEB">
          <w:rPr>
            <w:rStyle w:val="Hypertextovodkaz"/>
            <w:noProof/>
            <w:lang w:val="cs-CZ"/>
          </w:rPr>
          <w:t>Přehled rolí a odpovědností</w:t>
        </w:r>
        <w:r w:rsidR="00393A22">
          <w:rPr>
            <w:noProof/>
            <w:webHidden/>
          </w:rPr>
          <w:tab/>
        </w:r>
        <w:r w:rsidR="00393A22">
          <w:rPr>
            <w:noProof/>
            <w:webHidden/>
          </w:rPr>
          <w:fldChar w:fldCharType="begin"/>
        </w:r>
        <w:r w:rsidR="00393A22">
          <w:rPr>
            <w:noProof/>
            <w:webHidden/>
          </w:rPr>
          <w:instrText xml:space="preserve"> PAGEREF _Toc108689190 \h </w:instrText>
        </w:r>
        <w:r w:rsidR="00393A22">
          <w:rPr>
            <w:noProof/>
            <w:webHidden/>
          </w:rPr>
        </w:r>
        <w:r w:rsidR="00393A22">
          <w:rPr>
            <w:noProof/>
            <w:webHidden/>
          </w:rPr>
          <w:fldChar w:fldCharType="separate"/>
        </w:r>
        <w:r w:rsidR="00F80A66">
          <w:rPr>
            <w:noProof/>
            <w:webHidden/>
          </w:rPr>
          <w:t>3</w:t>
        </w:r>
        <w:r w:rsidR="00393A22">
          <w:rPr>
            <w:noProof/>
            <w:webHidden/>
          </w:rPr>
          <w:fldChar w:fldCharType="end"/>
        </w:r>
      </w:hyperlink>
    </w:p>
    <w:p w14:paraId="7ADCDF26" w14:textId="01B97412" w:rsidR="00393A22" w:rsidRDefault="005D3B21">
      <w:pPr>
        <w:pStyle w:val="Obsah1"/>
        <w:tabs>
          <w:tab w:val="left" w:pos="440"/>
          <w:tab w:val="right" w:leader="dot" w:pos="9350"/>
        </w:tabs>
        <w:rPr>
          <w:noProof/>
          <w:lang w:val="cs-CZ" w:eastAsia="cs-CZ"/>
        </w:rPr>
      </w:pPr>
      <w:hyperlink w:anchor="_Toc108689191" w:history="1">
        <w:r w:rsidR="00393A22" w:rsidRPr="00A65EEB">
          <w:rPr>
            <w:rStyle w:val="Hypertextovodkaz"/>
            <w:noProof/>
            <w:lang w:val="cs-CZ"/>
          </w:rPr>
          <w:t>3.</w:t>
        </w:r>
        <w:r w:rsidR="00393A22">
          <w:rPr>
            <w:noProof/>
            <w:lang w:val="cs-CZ" w:eastAsia="cs-CZ"/>
          </w:rPr>
          <w:tab/>
        </w:r>
        <w:r w:rsidR="00393A22" w:rsidRPr="00A65EEB">
          <w:rPr>
            <w:rStyle w:val="Hypertextovodkaz"/>
            <w:noProof/>
            <w:lang w:val="cs-CZ"/>
          </w:rPr>
          <w:t>Působnost</w:t>
        </w:r>
        <w:r w:rsidR="00393A22">
          <w:rPr>
            <w:noProof/>
            <w:webHidden/>
          </w:rPr>
          <w:tab/>
        </w:r>
        <w:r w:rsidR="00393A22">
          <w:rPr>
            <w:noProof/>
            <w:webHidden/>
          </w:rPr>
          <w:fldChar w:fldCharType="begin"/>
        </w:r>
        <w:r w:rsidR="00393A22">
          <w:rPr>
            <w:noProof/>
            <w:webHidden/>
          </w:rPr>
          <w:instrText xml:space="preserve"> PAGEREF _Toc108689191 \h </w:instrText>
        </w:r>
        <w:r w:rsidR="00393A22">
          <w:rPr>
            <w:noProof/>
            <w:webHidden/>
          </w:rPr>
        </w:r>
        <w:r w:rsidR="00393A22">
          <w:rPr>
            <w:noProof/>
            <w:webHidden/>
          </w:rPr>
          <w:fldChar w:fldCharType="separate"/>
        </w:r>
        <w:r w:rsidR="00F80A66">
          <w:rPr>
            <w:noProof/>
            <w:webHidden/>
          </w:rPr>
          <w:t>4</w:t>
        </w:r>
        <w:r w:rsidR="00393A22">
          <w:rPr>
            <w:noProof/>
            <w:webHidden/>
          </w:rPr>
          <w:fldChar w:fldCharType="end"/>
        </w:r>
      </w:hyperlink>
    </w:p>
    <w:p w14:paraId="0669BB28" w14:textId="0A5A0983" w:rsidR="00393A22" w:rsidRDefault="005D3B21">
      <w:pPr>
        <w:pStyle w:val="Obsah2"/>
        <w:tabs>
          <w:tab w:val="left" w:pos="880"/>
          <w:tab w:val="right" w:leader="dot" w:pos="9350"/>
        </w:tabs>
        <w:rPr>
          <w:noProof/>
          <w:lang w:val="cs-CZ" w:eastAsia="cs-CZ"/>
        </w:rPr>
      </w:pPr>
      <w:hyperlink w:anchor="_Toc108689192" w:history="1">
        <w:r w:rsidR="00393A22" w:rsidRPr="00A65EEB">
          <w:rPr>
            <w:rStyle w:val="Hypertextovodkaz"/>
            <w:noProof/>
            <w:lang w:val="cs-CZ"/>
          </w:rPr>
          <w:t>3.1</w:t>
        </w:r>
        <w:r w:rsidR="00393A22">
          <w:rPr>
            <w:noProof/>
            <w:lang w:val="cs-CZ" w:eastAsia="cs-CZ"/>
          </w:rPr>
          <w:tab/>
        </w:r>
        <w:r w:rsidR="00393A22" w:rsidRPr="00A65EEB">
          <w:rPr>
            <w:rStyle w:val="Hypertextovodkaz"/>
            <w:noProof/>
            <w:lang w:val="cs-CZ"/>
          </w:rPr>
          <w:t>Společnost</w:t>
        </w:r>
        <w:r w:rsidR="00393A22">
          <w:rPr>
            <w:noProof/>
            <w:webHidden/>
          </w:rPr>
          <w:tab/>
        </w:r>
        <w:r w:rsidR="00393A22">
          <w:rPr>
            <w:noProof/>
            <w:webHidden/>
          </w:rPr>
          <w:fldChar w:fldCharType="begin"/>
        </w:r>
        <w:r w:rsidR="00393A22">
          <w:rPr>
            <w:noProof/>
            <w:webHidden/>
          </w:rPr>
          <w:instrText xml:space="preserve"> PAGEREF _Toc108689192 \h </w:instrText>
        </w:r>
        <w:r w:rsidR="00393A22">
          <w:rPr>
            <w:noProof/>
            <w:webHidden/>
          </w:rPr>
        </w:r>
        <w:r w:rsidR="00393A22">
          <w:rPr>
            <w:noProof/>
            <w:webHidden/>
          </w:rPr>
          <w:fldChar w:fldCharType="separate"/>
        </w:r>
        <w:r w:rsidR="00F80A66">
          <w:rPr>
            <w:noProof/>
            <w:webHidden/>
          </w:rPr>
          <w:t>4</w:t>
        </w:r>
        <w:r w:rsidR="00393A22">
          <w:rPr>
            <w:noProof/>
            <w:webHidden/>
          </w:rPr>
          <w:fldChar w:fldCharType="end"/>
        </w:r>
      </w:hyperlink>
    </w:p>
    <w:p w14:paraId="213D94DF" w14:textId="10584BA8" w:rsidR="00393A22" w:rsidRDefault="005D3B21">
      <w:pPr>
        <w:pStyle w:val="Obsah2"/>
        <w:tabs>
          <w:tab w:val="left" w:pos="880"/>
          <w:tab w:val="right" w:leader="dot" w:pos="9350"/>
        </w:tabs>
        <w:rPr>
          <w:noProof/>
          <w:lang w:val="cs-CZ" w:eastAsia="cs-CZ"/>
        </w:rPr>
      </w:pPr>
      <w:hyperlink w:anchor="_Toc108689193" w:history="1">
        <w:r w:rsidR="00393A22" w:rsidRPr="00A65EEB">
          <w:rPr>
            <w:rStyle w:val="Hypertextovodkaz"/>
            <w:rFonts w:eastAsia="Times New Roman"/>
            <w:noProof/>
            <w:lang w:val="cs-CZ"/>
          </w:rPr>
          <w:t>3.2</w:t>
        </w:r>
        <w:r w:rsidR="00393A22">
          <w:rPr>
            <w:noProof/>
            <w:lang w:val="cs-CZ" w:eastAsia="cs-CZ"/>
          </w:rPr>
          <w:tab/>
        </w:r>
        <w:r w:rsidR="00393A22" w:rsidRPr="00A65EEB">
          <w:rPr>
            <w:rStyle w:val="Hypertextovodkaz"/>
            <w:noProof/>
            <w:lang w:val="cs-CZ"/>
          </w:rPr>
          <w:t>Pracovníci, kteří podstupují největší rizika</w:t>
        </w:r>
        <w:r w:rsidR="00393A22">
          <w:rPr>
            <w:noProof/>
            <w:webHidden/>
          </w:rPr>
          <w:tab/>
        </w:r>
        <w:r w:rsidR="00393A22">
          <w:rPr>
            <w:noProof/>
            <w:webHidden/>
          </w:rPr>
          <w:fldChar w:fldCharType="begin"/>
        </w:r>
        <w:r w:rsidR="00393A22">
          <w:rPr>
            <w:noProof/>
            <w:webHidden/>
          </w:rPr>
          <w:instrText xml:space="preserve"> PAGEREF _Toc108689193 \h </w:instrText>
        </w:r>
        <w:r w:rsidR="00393A22">
          <w:rPr>
            <w:noProof/>
            <w:webHidden/>
          </w:rPr>
        </w:r>
        <w:r w:rsidR="00393A22">
          <w:rPr>
            <w:noProof/>
            <w:webHidden/>
          </w:rPr>
          <w:fldChar w:fldCharType="separate"/>
        </w:r>
        <w:r w:rsidR="00F80A66">
          <w:rPr>
            <w:noProof/>
            <w:webHidden/>
          </w:rPr>
          <w:t>4</w:t>
        </w:r>
        <w:r w:rsidR="00393A22">
          <w:rPr>
            <w:noProof/>
            <w:webHidden/>
          </w:rPr>
          <w:fldChar w:fldCharType="end"/>
        </w:r>
      </w:hyperlink>
    </w:p>
    <w:p w14:paraId="5284F059" w14:textId="11502A57" w:rsidR="00393A22" w:rsidRDefault="005D3B21">
      <w:pPr>
        <w:pStyle w:val="Obsah1"/>
        <w:tabs>
          <w:tab w:val="left" w:pos="440"/>
          <w:tab w:val="right" w:leader="dot" w:pos="9350"/>
        </w:tabs>
        <w:rPr>
          <w:noProof/>
          <w:lang w:val="cs-CZ" w:eastAsia="cs-CZ"/>
        </w:rPr>
      </w:pPr>
      <w:hyperlink w:anchor="_Toc108689194" w:history="1">
        <w:r w:rsidR="00393A22" w:rsidRPr="00A65EEB">
          <w:rPr>
            <w:rStyle w:val="Hypertextovodkaz"/>
            <w:rFonts w:eastAsia="Times New Roman"/>
            <w:noProof/>
            <w:lang w:val="cs-CZ"/>
          </w:rPr>
          <w:t>4.</w:t>
        </w:r>
        <w:r w:rsidR="00393A22">
          <w:rPr>
            <w:noProof/>
            <w:lang w:val="cs-CZ" w:eastAsia="cs-CZ"/>
          </w:rPr>
          <w:tab/>
        </w:r>
        <w:r w:rsidR="00393A22" w:rsidRPr="00A65EEB">
          <w:rPr>
            <w:rStyle w:val="Hypertextovodkaz"/>
            <w:noProof/>
            <w:lang w:val="cs-CZ"/>
          </w:rPr>
          <w:t>Právní základ a předpisy upravující dohled</w:t>
        </w:r>
        <w:r w:rsidR="00393A22">
          <w:rPr>
            <w:noProof/>
            <w:webHidden/>
          </w:rPr>
          <w:tab/>
        </w:r>
        <w:r w:rsidR="00393A22">
          <w:rPr>
            <w:noProof/>
            <w:webHidden/>
          </w:rPr>
          <w:fldChar w:fldCharType="begin"/>
        </w:r>
        <w:r w:rsidR="00393A22">
          <w:rPr>
            <w:noProof/>
            <w:webHidden/>
          </w:rPr>
          <w:instrText xml:space="preserve"> PAGEREF _Toc108689194 \h </w:instrText>
        </w:r>
        <w:r w:rsidR="00393A22">
          <w:rPr>
            <w:noProof/>
            <w:webHidden/>
          </w:rPr>
        </w:r>
        <w:r w:rsidR="00393A22">
          <w:rPr>
            <w:noProof/>
            <w:webHidden/>
          </w:rPr>
          <w:fldChar w:fldCharType="separate"/>
        </w:r>
        <w:r w:rsidR="00F80A66">
          <w:rPr>
            <w:noProof/>
            <w:webHidden/>
          </w:rPr>
          <w:t>5</w:t>
        </w:r>
        <w:r w:rsidR="00393A22">
          <w:rPr>
            <w:noProof/>
            <w:webHidden/>
          </w:rPr>
          <w:fldChar w:fldCharType="end"/>
        </w:r>
      </w:hyperlink>
    </w:p>
    <w:p w14:paraId="51056F28" w14:textId="6489E1DB" w:rsidR="00393A22" w:rsidRDefault="005D3B21">
      <w:pPr>
        <w:pStyle w:val="Obsah1"/>
        <w:tabs>
          <w:tab w:val="left" w:pos="440"/>
          <w:tab w:val="right" w:leader="dot" w:pos="9350"/>
        </w:tabs>
        <w:rPr>
          <w:noProof/>
          <w:lang w:val="cs-CZ" w:eastAsia="cs-CZ"/>
        </w:rPr>
      </w:pPr>
      <w:hyperlink w:anchor="_Toc108689195" w:history="1">
        <w:r w:rsidR="00393A22" w:rsidRPr="00A65EEB">
          <w:rPr>
            <w:rStyle w:val="Hypertextovodkaz"/>
            <w:rFonts w:eastAsia="Times New Roman"/>
            <w:noProof/>
            <w:lang w:val="cs-CZ"/>
          </w:rPr>
          <w:t>5.</w:t>
        </w:r>
        <w:r w:rsidR="00393A22">
          <w:rPr>
            <w:noProof/>
            <w:lang w:val="cs-CZ" w:eastAsia="cs-CZ"/>
          </w:rPr>
          <w:tab/>
        </w:r>
        <w:r w:rsidR="00393A22" w:rsidRPr="00A65EEB">
          <w:rPr>
            <w:rStyle w:val="Hypertextovodkaz"/>
            <w:noProof/>
            <w:lang w:val="cs-CZ"/>
          </w:rPr>
          <w:t>Úprava odměňování</w:t>
        </w:r>
        <w:r w:rsidR="00393A22">
          <w:rPr>
            <w:noProof/>
            <w:webHidden/>
          </w:rPr>
          <w:tab/>
        </w:r>
        <w:r w:rsidR="00393A22">
          <w:rPr>
            <w:noProof/>
            <w:webHidden/>
          </w:rPr>
          <w:fldChar w:fldCharType="begin"/>
        </w:r>
        <w:r w:rsidR="00393A22">
          <w:rPr>
            <w:noProof/>
            <w:webHidden/>
          </w:rPr>
          <w:instrText xml:space="preserve"> PAGEREF _Toc108689195 \h </w:instrText>
        </w:r>
        <w:r w:rsidR="00393A22">
          <w:rPr>
            <w:noProof/>
            <w:webHidden/>
          </w:rPr>
        </w:r>
        <w:r w:rsidR="00393A22">
          <w:rPr>
            <w:noProof/>
            <w:webHidden/>
          </w:rPr>
          <w:fldChar w:fldCharType="separate"/>
        </w:r>
        <w:r w:rsidR="00F80A66">
          <w:rPr>
            <w:noProof/>
            <w:webHidden/>
          </w:rPr>
          <w:t>6</w:t>
        </w:r>
        <w:r w:rsidR="00393A22">
          <w:rPr>
            <w:noProof/>
            <w:webHidden/>
          </w:rPr>
          <w:fldChar w:fldCharType="end"/>
        </w:r>
      </w:hyperlink>
    </w:p>
    <w:p w14:paraId="58862FCA" w14:textId="6064D555" w:rsidR="00393A22" w:rsidRDefault="005D3B21">
      <w:pPr>
        <w:pStyle w:val="Obsah2"/>
        <w:tabs>
          <w:tab w:val="left" w:pos="880"/>
          <w:tab w:val="right" w:leader="dot" w:pos="9350"/>
        </w:tabs>
        <w:rPr>
          <w:noProof/>
          <w:lang w:val="cs-CZ" w:eastAsia="cs-CZ"/>
        </w:rPr>
      </w:pPr>
      <w:hyperlink w:anchor="_Toc108689196" w:history="1">
        <w:r w:rsidR="00393A22" w:rsidRPr="00A65EEB">
          <w:rPr>
            <w:rStyle w:val="Hypertextovodkaz"/>
            <w:rFonts w:eastAsia="Times New Roman"/>
            <w:noProof/>
            <w:lang w:val="cs-CZ"/>
          </w:rPr>
          <w:t>5.1</w:t>
        </w:r>
        <w:r w:rsidR="00393A22">
          <w:rPr>
            <w:noProof/>
            <w:lang w:val="cs-CZ" w:eastAsia="cs-CZ"/>
          </w:rPr>
          <w:tab/>
        </w:r>
        <w:r w:rsidR="00393A22" w:rsidRPr="00A65EEB">
          <w:rPr>
            <w:rStyle w:val="Hypertextovodkaz"/>
            <w:noProof/>
            <w:lang w:val="cs-CZ"/>
          </w:rPr>
          <w:t>Dozorčí rada</w:t>
        </w:r>
        <w:r w:rsidR="00393A22">
          <w:rPr>
            <w:noProof/>
            <w:webHidden/>
          </w:rPr>
          <w:tab/>
        </w:r>
        <w:r w:rsidR="00393A22">
          <w:rPr>
            <w:noProof/>
            <w:webHidden/>
          </w:rPr>
          <w:fldChar w:fldCharType="begin"/>
        </w:r>
        <w:r w:rsidR="00393A22">
          <w:rPr>
            <w:noProof/>
            <w:webHidden/>
          </w:rPr>
          <w:instrText xml:space="preserve"> PAGEREF _Toc108689196 \h </w:instrText>
        </w:r>
        <w:r w:rsidR="00393A22">
          <w:rPr>
            <w:noProof/>
            <w:webHidden/>
          </w:rPr>
        </w:r>
        <w:r w:rsidR="00393A22">
          <w:rPr>
            <w:noProof/>
            <w:webHidden/>
          </w:rPr>
          <w:fldChar w:fldCharType="separate"/>
        </w:r>
        <w:r w:rsidR="00F80A66">
          <w:rPr>
            <w:noProof/>
            <w:webHidden/>
          </w:rPr>
          <w:t>6</w:t>
        </w:r>
        <w:r w:rsidR="00393A22">
          <w:rPr>
            <w:noProof/>
            <w:webHidden/>
          </w:rPr>
          <w:fldChar w:fldCharType="end"/>
        </w:r>
      </w:hyperlink>
    </w:p>
    <w:p w14:paraId="2EE4458E" w14:textId="4CC4ECC3" w:rsidR="00393A22" w:rsidRDefault="005D3B21">
      <w:pPr>
        <w:pStyle w:val="Obsah1"/>
        <w:tabs>
          <w:tab w:val="left" w:pos="440"/>
          <w:tab w:val="right" w:leader="dot" w:pos="9350"/>
        </w:tabs>
        <w:rPr>
          <w:noProof/>
          <w:lang w:val="cs-CZ" w:eastAsia="cs-CZ"/>
        </w:rPr>
      </w:pPr>
      <w:hyperlink w:anchor="_Toc108689197" w:history="1">
        <w:r w:rsidR="00393A22" w:rsidRPr="00A65EEB">
          <w:rPr>
            <w:rStyle w:val="Hypertextovodkaz"/>
            <w:rFonts w:eastAsia="Times New Roman"/>
            <w:noProof/>
            <w:lang w:val="cs-CZ"/>
          </w:rPr>
          <w:t>6.</w:t>
        </w:r>
        <w:r w:rsidR="00393A22">
          <w:rPr>
            <w:noProof/>
            <w:lang w:val="cs-CZ" w:eastAsia="cs-CZ"/>
          </w:rPr>
          <w:tab/>
        </w:r>
        <w:r w:rsidR="00393A22" w:rsidRPr="00A65EEB">
          <w:rPr>
            <w:rStyle w:val="Hypertextovodkaz"/>
            <w:noProof/>
            <w:lang w:val="cs-CZ"/>
          </w:rPr>
          <w:t>Výbor pro odměňování</w:t>
        </w:r>
        <w:r w:rsidR="00393A22">
          <w:rPr>
            <w:noProof/>
            <w:webHidden/>
          </w:rPr>
          <w:tab/>
        </w:r>
        <w:r w:rsidR="00393A22">
          <w:rPr>
            <w:noProof/>
            <w:webHidden/>
          </w:rPr>
          <w:fldChar w:fldCharType="begin"/>
        </w:r>
        <w:r w:rsidR="00393A22">
          <w:rPr>
            <w:noProof/>
            <w:webHidden/>
          </w:rPr>
          <w:instrText xml:space="preserve"> PAGEREF _Toc108689197 \h </w:instrText>
        </w:r>
        <w:r w:rsidR="00393A22">
          <w:rPr>
            <w:noProof/>
            <w:webHidden/>
          </w:rPr>
        </w:r>
        <w:r w:rsidR="00393A22">
          <w:rPr>
            <w:noProof/>
            <w:webHidden/>
          </w:rPr>
          <w:fldChar w:fldCharType="separate"/>
        </w:r>
        <w:r w:rsidR="00F80A66">
          <w:rPr>
            <w:noProof/>
            <w:webHidden/>
          </w:rPr>
          <w:t>7</w:t>
        </w:r>
        <w:r w:rsidR="00393A22">
          <w:rPr>
            <w:noProof/>
            <w:webHidden/>
          </w:rPr>
          <w:fldChar w:fldCharType="end"/>
        </w:r>
      </w:hyperlink>
    </w:p>
    <w:p w14:paraId="064D2504" w14:textId="77533F98" w:rsidR="00393A22" w:rsidRDefault="005D3B21">
      <w:pPr>
        <w:pStyle w:val="Obsah1"/>
        <w:tabs>
          <w:tab w:val="left" w:pos="440"/>
          <w:tab w:val="right" w:leader="dot" w:pos="9350"/>
        </w:tabs>
        <w:rPr>
          <w:noProof/>
          <w:lang w:val="cs-CZ" w:eastAsia="cs-CZ"/>
        </w:rPr>
      </w:pPr>
      <w:hyperlink w:anchor="_Toc108689198" w:history="1">
        <w:r w:rsidR="00393A22" w:rsidRPr="00A65EEB">
          <w:rPr>
            <w:rStyle w:val="Hypertextovodkaz"/>
            <w:rFonts w:eastAsia="Times New Roman"/>
            <w:noProof/>
            <w:lang w:val="cs-CZ"/>
          </w:rPr>
          <w:t>7.</w:t>
        </w:r>
        <w:r w:rsidR="00393A22">
          <w:rPr>
            <w:noProof/>
            <w:lang w:val="cs-CZ" w:eastAsia="cs-CZ"/>
          </w:rPr>
          <w:tab/>
        </w:r>
        <w:r w:rsidR="00393A22" w:rsidRPr="00A65EEB">
          <w:rPr>
            <w:rStyle w:val="Hypertextovodkaz"/>
            <w:noProof/>
            <w:lang w:val="cs-CZ"/>
          </w:rPr>
          <w:t>Všeobecné zásady</w:t>
        </w:r>
        <w:r w:rsidR="00393A22">
          <w:rPr>
            <w:noProof/>
            <w:webHidden/>
          </w:rPr>
          <w:tab/>
        </w:r>
        <w:r w:rsidR="00393A22">
          <w:rPr>
            <w:noProof/>
            <w:webHidden/>
          </w:rPr>
          <w:fldChar w:fldCharType="begin"/>
        </w:r>
        <w:r w:rsidR="00393A22">
          <w:rPr>
            <w:noProof/>
            <w:webHidden/>
          </w:rPr>
          <w:instrText xml:space="preserve"> PAGEREF _Toc108689198 \h </w:instrText>
        </w:r>
        <w:r w:rsidR="00393A22">
          <w:rPr>
            <w:noProof/>
            <w:webHidden/>
          </w:rPr>
        </w:r>
        <w:r w:rsidR="00393A22">
          <w:rPr>
            <w:noProof/>
            <w:webHidden/>
          </w:rPr>
          <w:fldChar w:fldCharType="separate"/>
        </w:r>
        <w:r w:rsidR="00F80A66">
          <w:rPr>
            <w:noProof/>
            <w:webHidden/>
          </w:rPr>
          <w:t>9</w:t>
        </w:r>
        <w:r w:rsidR="00393A22">
          <w:rPr>
            <w:noProof/>
            <w:webHidden/>
          </w:rPr>
          <w:fldChar w:fldCharType="end"/>
        </w:r>
      </w:hyperlink>
    </w:p>
    <w:p w14:paraId="5891C86B" w14:textId="69A04FC8" w:rsidR="00393A22" w:rsidRDefault="005D3B21">
      <w:pPr>
        <w:pStyle w:val="Obsah2"/>
        <w:tabs>
          <w:tab w:val="left" w:pos="880"/>
          <w:tab w:val="right" w:leader="dot" w:pos="9350"/>
        </w:tabs>
        <w:rPr>
          <w:noProof/>
          <w:lang w:val="cs-CZ" w:eastAsia="cs-CZ"/>
        </w:rPr>
      </w:pPr>
      <w:hyperlink w:anchor="_Toc108689199" w:history="1">
        <w:r w:rsidR="00393A22" w:rsidRPr="00A65EEB">
          <w:rPr>
            <w:rStyle w:val="Hypertextovodkaz"/>
            <w:rFonts w:eastAsia="Times New Roman"/>
            <w:noProof/>
            <w:lang w:val="cs-CZ"/>
          </w:rPr>
          <w:t>7.1</w:t>
        </w:r>
        <w:r w:rsidR="00393A22">
          <w:rPr>
            <w:noProof/>
            <w:lang w:val="cs-CZ" w:eastAsia="cs-CZ"/>
          </w:rPr>
          <w:tab/>
        </w:r>
        <w:r w:rsidR="00393A22" w:rsidRPr="00A65EEB">
          <w:rPr>
            <w:rStyle w:val="Hypertextovodkaz"/>
            <w:noProof/>
            <w:lang w:val="cs-CZ"/>
          </w:rPr>
          <w:t>Složky mzdy</w:t>
        </w:r>
        <w:r w:rsidR="00393A22">
          <w:rPr>
            <w:noProof/>
            <w:webHidden/>
          </w:rPr>
          <w:tab/>
        </w:r>
        <w:r w:rsidR="00393A22">
          <w:rPr>
            <w:noProof/>
            <w:webHidden/>
          </w:rPr>
          <w:fldChar w:fldCharType="begin"/>
        </w:r>
        <w:r w:rsidR="00393A22">
          <w:rPr>
            <w:noProof/>
            <w:webHidden/>
          </w:rPr>
          <w:instrText xml:space="preserve"> PAGEREF _Toc108689199 \h </w:instrText>
        </w:r>
        <w:r w:rsidR="00393A22">
          <w:rPr>
            <w:noProof/>
            <w:webHidden/>
          </w:rPr>
        </w:r>
        <w:r w:rsidR="00393A22">
          <w:rPr>
            <w:noProof/>
            <w:webHidden/>
          </w:rPr>
          <w:fldChar w:fldCharType="separate"/>
        </w:r>
        <w:r w:rsidR="00F80A66">
          <w:rPr>
            <w:noProof/>
            <w:webHidden/>
          </w:rPr>
          <w:t>9</w:t>
        </w:r>
        <w:r w:rsidR="00393A22">
          <w:rPr>
            <w:noProof/>
            <w:webHidden/>
          </w:rPr>
          <w:fldChar w:fldCharType="end"/>
        </w:r>
      </w:hyperlink>
    </w:p>
    <w:p w14:paraId="6BC29306" w14:textId="108F395A" w:rsidR="00393A22" w:rsidRDefault="005D3B21">
      <w:pPr>
        <w:pStyle w:val="Obsah2"/>
        <w:tabs>
          <w:tab w:val="left" w:pos="880"/>
          <w:tab w:val="right" w:leader="dot" w:pos="9350"/>
        </w:tabs>
        <w:rPr>
          <w:noProof/>
          <w:lang w:val="cs-CZ" w:eastAsia="cs-CZ"/>
        </w:rPr>
      </w:pPr>
      <w:hyperlink w:anchor="_Toc108689200" w:history="1">
        <w:r w:rsidR="00393A22" w:rsidRPr="00A65EEB">
          <w:rPr>
            <w:rStyle w:val="Hypertextovodkaz"/>
            <w:rFonts w:eastAsia="Times New Roman"/>
            <w:noProof/>
            <w:lang w:val="cs-CZ"/>
          </w:rPr>
          <w:t>7.2</w:t>
        </w:r>
        <w:r w:rsidR="00393A22">
          <w:rPr>
            <w:noProof/>
            <w:lang w:val="cs-CZ" w:eastAsia="cs-CZ"/>
          </w:rPr>
          <w:tab/>
        </w:r>
        <w:r w:rsidR="00393A22" w:rsidRPr="00A65EEB">
          <w:rPr>
            <w:rStyle w:val="Hypertextovodkaz"/>
            <w:noProof/>
            <w:lang w:val="cs-CZ"/>
          </w:rPr>
          <w:t>Odstupné</w:t>
        </w:r>
        <w:r w:rsidR="00393A22">
          <w:rPr>
            <w:noProof/>
            <w:webHidden/>
          </w:rPr>
          <w:tab/>
        </w:r>
        <w:r w:rsidR="00393A22">
          <w:rPr>
            <w:noProof/>
            <w:webHidden/>
          </w:rPr>
          <w:fldChar w:fldCharType="begin"/>
        </w:r>
        <w:r w:rsidR="00393A22">
          <w:rPr>
            <w:noProof/>
            <w:webHidden/>
          </w:rPr>
          <w:instrText xml:space="preserve"> PAGEREF _Toc108689200 \h </w:instrText>
        </w:r>
        <w:r w:rsidR="00393A22">
          <w:rPr>
            <w:noProof/>
            <w:webHidden/>
          </w:rPr>
        </w:r>
        <w:r w:rsidR="00393A22">
          <w:rPr>
            <w:noProof/>
            <w:webHidden/>
          </w:rPr>
          <w:fldChar w:fldCharType="separate"/>
        </w:r>
        <w:r w:rsidR="00F80A66">
          <w:rPr>
            <w:noProof/>
            <w:webHidden/>
          </w:rPr>
          <w:t>10</w:t>
        </w:r>
        <w:r w:rsidR="00393A22">
          <w:rPr>
            <w:noProof/>
            <w:webHidden/>
          </w:rPr>
          <w:fldChar w:fldCharType="end"/>
        </w:r>
      </w:hyperlink>
    </w:p>
    <w:p w14:paraId="228F4B70" w14:textId="1E0B5A75" w:rsidR="00393A22" w:rsidRDefault="005D3B21">
      <w:pPr>
        <w:pStyle w:val="Obsah2"/>
        <w:tabs>
          <w:tab w:val="left" w:pos="880"/>
          <w:tab w:val="right" w:leader="dot" w:pos="9350"/>
        </w:tabs>
        <w:rPr>
          <w:noProof/>
          <w:lang w:val="cs-CZ" w:eastAsia="cs-CZ"/>
        </w:rPr>
      </w:pPr>
      <w:hyperlink w:anchor="_Toc108689201" w:history="1">
        <w:r w:rsidR="00393A22" w:rsidRPr="00A65EEB">
          <w:rPr>
            <w:rStyle w:val="Hypertextovodkaz"/>
            <w:rFonts w:eastAsia="Times New Roman"/>
            <w:noProof/>
            <w:lang w:val="cs-CZ"/>
          </w:rPr>
          <w:t>7.3</w:t>
        </w:r>
        <w:r w:rsidR="00393A22">
          <w:rPr>
            <w:noProof/>
            <w:lang w:val="cs-CZ" w:eastAsia="cs-CZ"/>
          </w:rPr>
          <w:tab/>
        </w:r>
        <w:r w:rsidR="00393A22" w:rsidRPr="00A65EEB">
          <w:rPr>
            <w:rStyle w:val="Hypertextovodkaz"/>
            <w:noProof/>
            <w:lang w:val="cs-CZ"/>
          </w:rPr>
          <w:t>Zásada proporcionality</w:t>
        </w:r>
        <w:r w:rsidR="00393A22">
          <w:rPr>
            <w:noProof/>
            <w:webHidden/>
          </w:rPr>
          <w:tab/>
        </w:r>
        <w:r w:rsidR="00393A22">
          <w:rPr>
            <w:noProof/>
            <w:webHidden/>
          </w:rPr>
          <w:fldChar w:fldCharType="begin"/>
        </w:r>
        <w:r w:rsidR="00393A22">
          <w:rPr>
            <w:noProof/>
            <w:webHidden/>
          </w:rPr>
          <w:instrText xml:space="preserve"> PAGEREF _Toc108689201 \h </w:instrText>
        </w:r>
        <w:r w:rsidR="00393A22">
          <w:rPr>
            <w:noProof/>
            <w:webHidden/>
          </w:rPr>
        </w:r>
        <w:r w:rsidR="00393A22">
          <w:rPr>
            <w:noProof/>
            <w:webHidden/>
          </w:rPr>
          <w:fldChar w:fldCharType="separate"/>
        </w:r>
        <w:r w:rsidR="00F80A66">
          <w:rPr>
            <w:noProof/>
            <w:webHidden/>
          </w:rPr>
          <w:t>11</w:t>
        </w:r>
        <w:r w:rsidR="00393A22">
          <w:rPr>
            <w:noProof/>
            <w:webHidden/>
          </w:rPr>
          <w:fldChar w:fldCharType="end"/>
        </w:r>
      </w:hyperlink>
    </w:p>
    <w:p w14:paraId="6E4DBDB5" w14:textId="11AD17F4" w:rsidR="00393A22" w:rsidRDefault="005D3B21">
      <w:pPr>
        <w:pStyle w:val="Obsah2"/>
        <w:tabs>
          <w:tab w:val="left" w:pos="880"/>
          <w:tab w:val="right" w:leader="dot" w:pos="9350"/>
        </w:tabs>
        <w:rPr>
          <w:noProof/>
          <w:lang w:val="cs-CZ" w:eastAsia="cs-CZ"/>
        </w:rPr>
      </w:pPr>
      <w:hyperlink w:anchor="_Toc108689202" w:history="1">
        <w:r w:rsidR="00393A22" w:rsidRPr="00A65EEB">
          <w:rPr>
            <w:rStyle w:val="Hypertextovodkaz"/>
            <w:rFonts w:eastAsia="Times New Roman"/>
            <w:noProof/>
            <w:lang w:val="cs-CZ"/>
          </w:rPr>
          <w:t>7.4</w:t>
        </w:r>
        <w:r w:rsidR="00393A22">
          <w:rPr>
            <w:noProof/>
            <w:lang w:val="cs-CZ" w:eastAsia="cs-CZ"/>
          </w:rPr>
          <w:tab/>
        </w:r>
        <w:r w:rsidR="00393A22" w:rsidRPr="00A65EEB">
          <w:rPr>
            <w:rStyle w:val="Hypertextovodkaz"/>
            <w:noProof/>
            <w:lang w:val="cs-CZ"/>
          </w:rPr>
          <w:t>Zveřejňování informací</w:t>
        </w:r>
        <w:r w:rsidR="00393A22">
          <w:rPr>
            <w:noProof/>
            <w:webHidden/>
          </w:rPr>
          <w:tab/>
        </w:r>
        <w:r w:rsidR="00393A22">
          <w:rPr>
            <w:noProof/>
            <w:webHidden/>
          </w:rPr>
          <w:fldChar w:fldCharType="begin"/>
        </w:r>
        <w:r w:rsidR="00393A22">
          <w:rPr>
            <w:noProof/>
            <w:webHidden/>
          </w:rPr>
          <w:instrText xml:space="preserve"> PAGEREF _Toc108689202 \h </w:instrText>
        </w:r>
        <w:r w:rsidR="00393A22">
          <w:rPr>
            <w:noProof/>
            <w:webHidden/>
          </w:rPr>
        </w:r>
        <w:r w:rsidR="00393A22">
          <w:rPr>
            <w:noProof/>
            <w:webHidden/>
          </w:rPr>
          <w:fldChar w:fldCharType="separate"/>
        </w:r>
        <w:r w:rsidR="00F80A66">
          <w:rPr>
            <w:noProof/>
            <w:webHidden/>
          </w:rPr>
          <w:t>11</w:t>
        </w:r>
        <w:r w:rsidR="00393A22">
          <w:rPr>
            <w:noProof/>
            <w:webHidden/>
          </w:rPr>
          <w:fldChar w:fldCharType="end"/>
        </w:r>
      </w:hyperlink>
    </w:p>
    <w:p w14:paraId="3773C789" w14:textId="1EA68272" w:rsidR="00393A22" w:rsidRDefault="005D3B21">
      <w:pPr>
        <w:pStyle w:val="Obsah2"/>
        <w:tabs>
          <w:tab w:val="left" w:pos="880"/>
          <w:tab w:val="right" w:leader="dot" w:pos="9350"/>
        </w:tabs>
        <w:rPr>
          <w:noProof/>
          <w:lang w:val="cs-CZ" w:eastAsia="cs-CZ"/>
        </w:rPr>
      </w:pPr>
      <w:hyperlink w:anchor="_Toc108689203" w:history="1">
        <w:r w:rsidR="00393A22" w:rsidRPr="00A65EEB">
          <w:rPr>
            <w:rStyle w:val="Hypertextovodkaz"/>
            <w:rFonts w:eastAsia="Times New Roman"/>
            <w:noProof/>
            <w:lang w:val="cs-CZ"/>
          </w:rPr>
          <w:t>7.5</w:t>
        </w:r>
        <w:r w:rsidR="00393A22">
          <w:rPr>
            <w:noProof/>
            <w:lang w:val="cs-CZ" w:eastAsia="cs-CZ"/>
          </w:rPr>
          <w:tab/>
        </w:r>
        <w:r w:rsidR="00393A22" w:rsidRPr="00A65EEB">
          <w:rPr>
            <w:rStyle w:val="Hypertextovodkaz"/>
            <w:noProof/>
            <w:lang w:val="cs-CZ"/>
          </w:rPr>
          <w:t>Soulad s dodržováním účinného řízením rizik</w:t>
        </w:r>
        <w:r w:rsidR="00393A22">
          <w:rPr>
            <w:noProof/>
            <w:webHidden/>
          </w:rPr>
          <w:tab/>
        </w:r>
        <w:r w:rsidR="00393A22">
          <w:rPr>
            <w:noProof/>
            <w:webHidden/>
          </w:rPr>
          <w:fldChar w:fldCharType="begin"/>
        </w:r>
        <w:r w:rsidR="00393A22">
          <w:rPr>
            <w:noProof/>
            <w:webHidden/>
          </w:rPr>
          <w:instrText xml:space="preserve"> PAGEREF _Toc108689203 \h </w:instrText>
        </w:r>
        <w:r w:rsidR="00393A22">
          <w:rPr>
            <w:noProof/>
            <w:webHidden/>
          </w:rPr>
        </w:r>
        <w:r w:rsidR="00393A22">
          <w:rPr>
            <w:noProof/>
            <w:webHidden/>
          </w:rPr>
          <w:fldChar w:fldCharType="separate"/>
        </w:r>
        <w:r w:rsidR="00F80A66">
          <w:rPr>
            <w:noProof/>
            <w:webHidden/>
          </w:rPr>
          <w:t>12</w:t>
        </w:r>
        <w:r w:rsidR="00393A22">
          <w:rPr>
            <w:noProof/>
            <w:webHidden/>
          </w:rPr>
          <w:fldChar w:fldCharType="end"/>
        </w:r>
      </w:hyperlink>
    </w:p>
    <w:p w14:paraId="6FBA9321" w14:textId="5F5DBFDE" w:rsidR="00393A22" w:rsidRDefault="005D3B21">
      <w:pPr>
        <w:pStyle w:val="Obsah2"/>
        <w:tabs>
          <w:tab w:val="left" w:pos="880"/>
          <w:tab w:val="right" w:leader="dot" w:pos="9350"/>
        </w:tabs>
        <w:rPr>
          <w:noProof/>
          <w:lang w:val="cs-CZ" w:eastAsia="cs-CZ"/>
        </w:rPr>
      </w:pPr>
      <w:hyperlink w:anchor="_Toc108689204" w:history="1">
        <w:r w:rsidR="00393A22" w:rsidRPr="00A65EEB">
          <w:rPr>
            <w:rStyle w:val="Hypertextovodkaz"/>
            <w:rFonts w:eastAsia="Times New Roman"/>
            <w:noProof/>
            <w:lang w:val="cs-CZ"/>
          </w:rPr>
          <w:t>7.6</w:t>
        </w:r>
        <w:r w:rsidR="00393A22">
          <w:rPr>
            <w:noProof/>
            <w:lang w:val="cs-CZ" w:eastAsia="cs-CZ"/>
          </w:rPr>
          <w:tab/>
        </w:r>
        <w:r w:rsidR="00393A22" w:rsidRPr="00A65EEB">
          <w:rPr>
            <w:rStyle w:val="Hypertextovodkaz"/>
            <w:noProof/>
            <w:lang w:val="cs-CZ"/>
          </w:rPr>
          <w:t>Zamezení střetu zájmů</w:t>
        </w:r>
        <w:r w:rsidR="00393A22">
          <w:rPr>
            <w:noProof/>
            <w:webHidden/>
          </w:rPr>
          <w:tab/>
        </w:r>
        <w:r w:rsidR="00393A22">
          <w:rPr>
            <w:noProof/>
            <w:webHidden/>
          </w:rPr>
          <w:fldChar w:fldCharType="begin"/>
        </w:r>
        <w:r w:rsidR="00393A22">
          <w:rPr>
            <w:noProof/>
            <w:webHidden/>
          </w:rPr>
          <w:instrText xml:space="preserve"> PAGEREF _Toc108689204 \h </w:instrText>
        </w:r>
        <w:r w:rsidR="00393A22">
          <w:rPr>
            <w:noProof/>
            <w:webHidden/>
          </w:rPr>
        </w:r>
        <w:r w:rsidR="00393A22">
          <w:rPr>
            <w:noProof/>
            <w:webHidden/>
          </w:rPr>
          <w:fldChar w:fldCharType="separate"/>
        </w:r>
        <w:r w:rsidR="00F80A66">
          <w:rPr>
            <w:noProof/>
            <w:webHidden/>
          </w:rPr>
          <w:t>12</w:t>
        </w:r>
        <w:r w:rsidR="00393A22">
          <w:rPr>
            <w:noProof/>
            <w:webHidden/>
          </w:rPr>
          <w:fldChar w:fldCharType="end"/>
        </w:r>
      </w:hyperlink>
    </w:p>
    <w:p w14:paraId="63AB5A50" w14:textId="6C0C1D68" w:rsidR="00393A22" w:rsidRDefault="005D3B21">
      <w:pPr>
        <w:pStyle w:val="Obsah2"/>
        <w:tabs>
          <w:tab w:val="left" w:pos="880"/>
          <w:tab w:val="right" w:leader="dot" w:pos="9350"/>
        </w:tabs>
        <w:rPr>
          <w:noProof/>
          <w:lang w:val="cs-CZ" w:eastAsia="cs-CZ"/>
        </w:rPr>
      </w:pPr>
      <w:hyperlink w:anchor="_Toc108689205" w:history="1">
        <w:r w:rsidR="00393A22" w:rsidRPr="00A65EEB">
          <w:rPr>
            <w:rStyle w:val="Hypertextovodkaz"/>
            <w:rFonts w:eastAsia="Times New Roman"/>
            <w:noProof/>
            <w:lang w:val="cs-CZ"/>
          </w:rPr>
          <w:t>7.7</w:t>
        </w:r>
        <w:r w:rsidR="00393A22">
          <w:rPr>
            <w:noProof/>
            <w:lang w:val="cs-CZ" w:eastAsia="cs-CZ"/>
          </w:rPr>
          <w:tab/>
        </w:r>
        <w:r w:rsidR="00393A22" w:rsidRPr="00A65EEB">
          <w:rPr>
            <w:rStyle w:val="Hypertextovodkaz"/>
            <w:noProof/>
            <w:lang w:val="cs-CZ"/>
          </w:rPr>
          <w:t>Obecná pravidla pro pevnou odměnu</w:t>
        </w:r>
        <w:r w:rsidR="00393A22">
          <w:rPr>
            <w:noProof/>
            <w:webHidden/>
          </w:rPr>
          <w:tab/>
        </w:r>
        <w:r w:rsidR="00393A22">
          <w:rPr>
            <w:noProof/>
            <w:webHidden/>
          </w:rPr>
          <w:fldChar w:fldCharType="begin"/>
        </w:r>
        <w:r w:rsidR="00393A22">
          <w:rPr>
            <w:noProof/>
            <w:webHidden/>
          </w:rPr>
          <w:instrText xml:space="preserve"> PAGEREF _Toc108689205 \h </w:instrText>
        </w:r>
        <w:r w:rsidR="00393A22">
          <w:rPr>
            <w:noProof/>
            <w:webHidden/>
          </w:rPr>
        </w:r>
        <w:r w:rsidR="00393A22">
          <w:rPr>
            <w:noProof/>
            <w:webHidden/>
          </w:rPr>
          <w:fldChar w:fldCharType="separate"/>
        </w:r>
        <w:r w:rsidR="00F80A66">
          <w:rPr>
            <w:noProof/>
            <w:webHidden/>
          </w:rPr>
          <w:t>12</w:t>
        </w:r>
        <w:r w:rsidR="00393A22">
          <w:rPr>
            <w:noProof/>
            <w:webHidden/>
          </w:rPr>
          <w:fldChar w:fldCharType="end"/>
        </w:r>
      </w:hyperlink>
    </w:p>
    <w:p w14:paraId="3FB49CAF" w14:textId="19851EFE" w:rsidR="00393A22" w:rsidRDefault="005D3B21">
      <w:pPr>
        <w:pStyle w:val="Obsah3"/>
        <w:tabs>
          <w:tab w:val="left" w:pos="1320"/>
          <w:tab w:val="right" w:leader="dot" w:pos="9350"/>
        </w:tabs>
        <w:rPr>
          <w:noProof/>
          <w:lang w:val="cs-CZ" w:eastAsia="cs-CZ"/>
        </w:rPr>
      </w:pPr>
      <w:hyperlink w:anchor="_Toc108689206" w:history="1">
        <w:r w:rsidR="00393A22" w:rsidRPr="00A65EEB">
          <w:rPr>
            <w:rStyle w:val="Hypertextovodkaz"/>
            <w:noProof/>
            <w:lang w:val="cs-CZ"/>
          </w:rPr>
          <w:t>7.7.1</w:t>
        </w:r>
        <w:r w:rsidR="00393A22">
          <w:rPr>
            <w:noProof/>
            <w:lang w:val="cs-CZ" w:eastAsia="cs-CZ"/>
          </w:rPr>
          <w:tab/>
        </w:r>
        <w:r w:rsidR="00393A22" w:rsidRPr="00A65EEB">
          <w:rPr>
            <w:rStyle w:val="Hypertextovodkaz"/>
            <w:noProof/>
            <w:lang w:val="cs-CZ"/>
          </w:rPr>
          <w:t>Pevná odměna</w:t>
        </w:r>
        <w:r w:rsidR="00393A22">
          <w:rPr>
            <w:noProof/>
            <w:webHidden/>
          </w:rPr>
          <w:tab/>
        </w:r>
        <w:r w:rsidR="00393A22">
          <w:rPr>
            <w:noProof/>
            <w:webHidden/>
          </w:rPr>
          <w:fldChar w:fldCharType="begin"/>
        </w:r>
        <w:r w:rsidR="00393A22">
          <w:rPr>
            <w:noProof/>
            <w:webHidden/>
          </w:rPr>
          <w:instrText xml:space="preserve"> PAGEREF _Toc108689206 \h </w:instrText>
        </w:r>
        <w:r w:rsidR="00393A22">
          <w:rPr>
            <w:noProof/>
            <w:webHidden/>
          </w:rPr>
        </w:r>
        <w:r w:rsidR="00393A22">
          <w:rPr>
            <w:noProof/>
            <w:webHidden/>
          </w:rPr>
          <w:fldChar w:fldCharType="separate"/>
        </w:r>
        <w:r w:rsidR="00F80A66">
          <w:rPr>
            <w:noProof/>
            <w:webHidden/>
          </w:rPr>
          <w:t>12</w:t>
        </w:r>
        <w:r w:rsidR="00393A22">
          <w:rPr>
            <w:noProof/>
            <w:webHidden/>
          </w:rPr>
          <w:fldChar w:fldCharType="end"/>
        </w:r>
      </w:hyperlink>
    </w:p>
    <w:p w14:paraId="0EEBB573" w14:textId="372BA873" w:rsidR="00393A22" w:rsidRDefault="005D3B21">
      <w:pPr>
        <w:pStyle w:val="Obsah3"/>
        <w:tabs>
          <w:tab w:val="left" w:pos="1320"/>
          <w:tab w:val="right" w:leader="dot" w:pos="9350"/>
        </w:tabs>
        <w:rPr>
          <w:noProof/>
          <w:lang w:val="cs-CZ" w:eastAsia="cs-CZ"/>
        </w:rPr>
      </w:pPr>
      <w:hyperlink w:anchor="_Toc108689207" w:history="1">
        <w:r w:rsidR="00393A22" w:rsidRPr="00A65EEB">
          <w:rPr>
            <w:rStyle w:val="Hypertextovodkaz"/>
            <w:rFonts w:eastAsia="Times New Roman"/>
            <w:noProof/>
            <w:lang w:val="cs-CZ"/>
          </w:rPr>
          <w:t>7.7.2</w:t>
        </w:r>
        <w:r w:rsidR="00393A22">
          <w:rPr>
            <w:noProof/>
            <w:lang w:val="cs-CZ" w:eastAsia="cs-CZ"/>
          </w:rPr>
          <w:tab/>
        </w:r>
        <w:r w:rsidR="00393A22" w:rsidRPr="00A65EEB">
          <w:rPr>
            <w:rStyle w:val="Hypertextovodkaz"/>
            <w:noProof/>
            <w:lang w:val="cs-CZ"/>
          </w:rPr>
          <w:t>Pravidla pro stanovení pevné složky odměn</w:t>
        </w:r>
        <w:r w:rsidR="00393A22">
          <w:rPr>
            <w:noProof/>
            <w:webHidden/>
          </w:rPr>
          <w:tab/>
        </w:r>
        <w:r w:rsidR="00393A22">
          <w:rPr>
            <w:noProof/>
            <w:webHidden/>
          </w:rPr>
          <w:fldChar w:fldCharType="begin"/>
        </w:r>
        <w:r w:rsidR="00393A22">
          <w:rPr>
            <w:noProof/>
            <w:webHidden/>
          </w:rPr>
          <w:instrText xml:space="preserve"> PAGEREF _Toc108689207 \h </w:instrText>
        </w:r>
        <w:r w:rsidR="00393A22">
          <w:rPr>
            <w:noProof/>
            <w:webHidden/>
          </w:rPr>
        </w:r>
        <w:r w:rsidR="00393A22">
          <w:rPr>
            <w:noProof/>
            <w:webHidden/>
          </w:rPr>
          <w:fldChar w:fldCharType="separate"/>
        </w:r>
        <w:r w:rsidR="00F80A66">
          <w:rPr>
            <w:noProof/>
            <w:webHidden/>
          </w:rPr>
          <w:t>13</w:t>
        </w:r>
        <w:r w:rsidR="00393A22">
          <w:rPr>
            <w:noProof/>
            <w:webHidden/>
          </w:rPr>
          <w:fldChar w:fldCharType="end"/>
        </w:r>
      </w:hyperlink>
    </w:p>
    <w:p w14:paraId="039CC862" w14:textId="505F697E" w:rsidR="00393A22" w:rsidRDefault="005D3B21">
      <w:pPr>
        <w:pStyle w:val="Obsah3"/>
        <w:tabs>
          <w:tab w:val="left" w:pos="1320"/>
          <w:tab w:val="right" w:leader="dot" w:pos="9350"/>
        </w:tabs>
        <w:rPr>
          <w:noProof/>
          <w:lang w:val="cs-CZ" w:eastAsia="cs-CZ"/>
        </w:rPr>
      </w:pPr>
      <w:hyperlink w:anchor="_Toc108689208" w:history="1">
        <w:r w:rsidR="00393A22" w:rsidRPr="00A65EEB">
          <w:rPr>
            <w:rStyle w:val="Hypertextovodkaz"/>
            <w:noProof/>
            <w:lang w:val="cs-CZ"/>
          </w:rPr>
          <w:t>7.7.3</w:t>
        </w:r>
        <w:r w:rsidR="00393A22">
          <w:rPr>
            <w:noProof/>
            <w:lang w:val="cs-CZ" w:eastAsia="cs-CZ"/>
          </w:rPr>
          <w:tab/>
        </w:r>
        <w:r w:rsidR="00393A22" w:rsidRPr="00A65EEB">
          <w:rPr>
            <w:rStyle w:val="Hypertextovodkaz"/>
            <w:noProof/>
            <w:lang w:val="cs-CZ"/>
          </w:rPr>
          <w:t>Spoluúčast zaměstnanců</w:t>
        </w:r>
        <w:r w:rsidR="00393A22">
          <w:rPr>
            <w:noProof/>
            <w:webHidden/>
          </w:rPr>
          <w:tab/>
        </w:r>
        <w:r w:rsidR="00393A22">
          <w:rPr>
            <w:noProof/>
            <w:webHidden/>
          </w:rPr>
          <w:fldChar w:fldCharType="begin"/>
        </w:r>
        <w:r w:rsidR="00393A22">
          <w:rPr>
            <w:noProof/>
            <w:webHidden/>
          </w:rPr>
          <w:instrText xml:space="preserve"> PAGEREF _Toc108689208 \h </w:instrText>
        </w:r>
        <w:r w:rsidR="00393A22">
          <w:rPr>
            <w:noProof/>
            <w:webHidden/>
          </w:rPr>
        </w:r>
        <w:r w:rsidR="00393A22">
          <w:rPr>
            <w:noProof/>
            <w:webHidden/>
          </w:rPr>
          <w:fldChar w:fldCharType="separate"/>
        </w:r>
        <w:r w:rsidR="00F80A66">
          <w:rPr>
            <w:noProof/>
            <w:webHidden/>
          </w:rPr>
          <w:t>14</w:t>
        </w:r>
        <w:r w:rsidR="00393A22">
          <w:rPr>
            <w:noProof/>
            <w:webHidden/>
          </w:rPr>
          <w:fldChar w:fldCharType="end"/>
        </w:r>
      </w:hyperlink>
    </w:p>
    <w:p w14:paraId="30C015A5" w14:textId="0ED5CD75" w:rsidR="00393A22" w:rsidRDefault="005D3B21">
      <w:pPr>
        <w:pStyle w:val="Obsah2"/>
        <w:tabs>
          <w:tab w:val="left" w:pos="880"/>
          <w:tab w:val="right" w:leader="dot" w:pos="9350"/>
        </w:tabs>
        <w:rPr>
          <w:noProof/>
          <w:lang w:val="cs-CZ" w:eastAsia="cs-CZ"/>
        </w:rPr>
      </w:pPr>
      <w:hyperlink w:anchor="_Toc108689209" w:history="1">
        <w:r w:rsidR="00393A22" w:rsidRPr="00A65EEB">
          <w:rPr>
            <w:rStyle w:val="Hypertextovodkaz"/>
            <w:rFonts w:eastAsia="Times New Roman"/>
            <w:noProof/>
            <w:lang w:val="cs-CZ"/>
          </w:rPr>
          <w:t>7.8</w:t>
        </w:r>
        <w:r w:rsidR="00393A22">
          <w:rPr>
            <w:noProof/>
            <w:lang w:val="cs-CZ" w:eastAsia="cs-CZ"/>
          </w:rPr>
          <w:tab/>
        </w:r>
        <w:r w:rsidR="00393A22" w:rsidRPr="00A65EEB">
          <w:rPr>
            <w:rStyle w:val="Hypertextovodkaz"/>
            <w:noProof/>
            <w:lang w:val="cs-CZ"/>
          </w:rPr>
          <w:t>Pravidla pro variabilní odměňování</w:t>
        </w:r>
        <w:r w:rsidR="00393A22">
          <w:rPr>
            <w:noProof/>
            <w:webHidden/>
          </w:rPr>
          <w:tab/>
        </w:r>
        <w:r w:rsidR="00393A22">
          <w:rPr>
            <w:noProof/>
            <w:webHidden/>
          </w:rPr>
          <w:fldChar w:fldCharType="begin"/>
        </w:r>
        <w:r w:rsidR="00393A22">
          <w:rPr>
            <w:noProof/>
            <w:webHidden/>
          </w:rPr>
          <w:instrText xml:space="preserve"> PAGEREF _Toc108689209 \h </w:instrText>
        </w:r>
        <w:r w:rsidR="00393A22">
          <w:rPr>
            <w:noProof/>
            <w:webHidden/>
          </w:rPr>
        </w:r>
        <w:r w:rsidR="00393A22">
          <w:rPr>
            <w:noProof/>
            <w:webHidden/>
          </w:rPr>
          <w:fldChar w:fldCharType="separate"/>
        </w:r>
        <w:r w:rsidR="00F80A66">
          <w:rPr>
            <w:noProof/>
            <w:webHidden/>
          </w:rPr>
          <w:t>15</w:t>
        </w:r>
        <w:r w:rsidR="00393A22">
          <w:rPr>
            <w:noProof/>
            <w:webHidden/>
          </w:rPr>
          <w:fldChar w:fldCharType="end"/>
        </w:r>
      </w:hyperlink>
    </w:p>
    <w:p w14:paraId="540B1DB4" w14:textId="66DB682D" w:rsidR="00393A22" w:rsidRDefault="005D3B21">
      <w:pPr>
        <w:pStyle w:val="Obsah3"/>
        <w:tabs>
          <w:tab w:val="left" w:pos="1320"/>
          <w:tab w:val="right" w:leader="dot" w:pos="9350"/>
        </w:tabs>
        <w:rPr>
          <w:noProof/>
          <w:lang w:val="cs-CZ" w:eastAsia="cs-CZ"/>
        </w:rPr>
      </w:pPr>
      <w:hyperlink w:anchor="_Toc108689210" w:history="1">
        <w:r w:rsidR="00393A22" w:rsidRPr="00A65EEB">
          <w:rPr>
            <w:rStyle w:val="Hypertextovodkaz"/>
            <w:rFonts w:eastAsia="Times New Roman"/>
            <w:noProof/>
            <w:lang w:val="cs-CZ"/>
          </w:rPr>
          <w:t>7.8.1</w:t>
        </w:r>
        <w:r w:rsidR="00393A22">
          <w:rPr>
            <w:noProof/>
            <w:lang w:val="cs-CZ" w:eastAsia="cs-CZ"/>
          </w:rPr>
          <w:tab/>
        </w:r>
        <w:r w:rsidR="00393A22" w:rsidRPr="00A65EEB">
          <w:rPr>
            <w:rStyle w:val="Hypertextovodkaz"/>
            <w:noProof/>
            <w:lang w:val="cs-CZ"/>
          </w:rPr>
          <w:t>Obecná pravidla pro variabilní odměňování</w:t>
        </w:r>
        <w:r w:rsidR="00393A22">
          <w:rPr>
            <w:noProof/>
            <w:webHidden/>
          </w:rPr>
          <w:tab/>
        </w:r>
        <w:r w:rsidR="00393A22">
          <w:rPr>
            <w:noProof/>
            <w:webHidden/>
          </w:rPr>
          <w:fldChar w:fldCharType="begin"/>
        </w:r>
        <w:r w:rsidR="00393A22">
          <w:rPr>
            <w:noProof/>
            <w:webHidden/>
          </w:rPr>
          <w:instrText xml:space="preserve"> PAGEREF _Toc108689210 \h </w:instrText>
        </w:r>
        <w:r w:rsidR="00393A22">
          <w:rPr>
            <w:noProof/>
            <w:webHidden/>
          </w:rPr>
        </w:r>
        <w:r w:rsidR="00393A22">
          <w:rPr>
            <w:noProof/>
            <w:webHidden/>
          </w:rPr>
          <w:fldChar w:fldCharType="separate"/>
        </w:r>
        <w:r w:rsidR="00F80A66">
          <w:rPr>
            <w:noProof/>
            <w:webHidden/>
          </w:rPr>
          <w:t>15</w:t>
        </w:r>
        <w:r w:rsidR="00393A22">
          <w:rPr>
            <w:noProof/>
            <w:webHidden/>
          </w:rPr>
          <w:fldChar w:fldCharType="end"/>
        </w:r>
      </w:hyperlink>
    </w:p>
    <w:p w14:paraId="497F5629" w14:textId="32E83F6B" w:rsidR="00393A22" w:rsidRDefault="005D3B21">
      <w:pPr>
        <w:pStyle w:val="Obsah3"/>
        <w:tabs>
          <w:tab w:val="left" w:pos="1320"/>
          <w:tab w:val="right" w:leader="dot" w:pos="9350"/>
        </w:tabs>
        <w:rPr>
          <w:noProof/>
          <w:lang w:val="cs-CZ" w:eastAsia="cs-CZ"/>
        </w:rPr>
      </w:pPr>
      <w:hyperlink w:anchor="_Toc108689211" w:history="1">
        <w:r w:rsidR="00393A22" w:rsidRPr="00A65EEB">
          <w:rPr>
            <w:rStyle w:val="Hypertextovodkaz"/>
            <w:rFonts w:eastAsia="Times New Roman"/>
            <w:noProof/>
            <w:lang w:val="cs-CZ"/>
          </w:rPr>
          <w:t>7.8.2</w:t>
        </w:r>
        <w:r w:rsidR="00393A22">
          <w:rPr>
            <w:noProof/>
            <w:lang w:val="cs-CZ" w:eastAsia="cs-CZ"/>
          </w:rPr>
          <w:tab/>
        </w:r>
        <w:r w:rsidR="00393A22" w:rsidRPr="00A65EEB">
          <w:rPr>
            <w:rStyle w:val="Hypertextovodkaz"/>
            <w:noProof/>
            <w:lang w:val="cs-CZ"/>
          </w:rPr>
          <w:t>Obecné pokyny pro cíle a plány</w:t>
        </w:r>
        <w:r w:rsidR="00393A22">
          <w:rPr>
            <w:noProof/>
            <w:webHidden/>
          </w:rPr>
          <w:tab/>
        </w:r>
        <w:r w:rsidR="00393A22">
          <w:rPr>
            <w:noProof/>
            <w:webHidden/>
          </w:rPr>
          <w:fldChar w:fldCharType="begin"/>
        </w:r>
        <w:r w:rsidR="00393A22">
          <w:rPr>
            <w:noProof/>
            <w:webHidden/>
          </w:rPr>
          <w:instrText xml:space="preserve"> PAGEREF _Toc108689211 \h </w:instrText>
        </w:r>
        <w:r w:rsidR="00393A22">
          <w:rPr>
            <w:noProof/>
            <w:webHidden/>
          </w:rPr>
        </w:r>
        <w:r w:rsidR="00393A22">
          <w:rPr>
            <w:noProof/>
            <w:webHidden/>
          </w:rPr>
          <w:fldChar w:fldCharType="separate"/>
        </w:r>
        <w:r w:rsidR="00F80A66">
          <w:rPr>
            <w:noProof/>
            <w:webHidden/>
          </w:rPr>
          <w:t>21</w:t>
        </w:r>
        <w:r w:rsidR="00393A22">
          <w:rPr>
            <w:noProof/>
            <w:webHidden/>
          </w:rPr>
          <w:fldChar w:fldCharType="end"/>
        </w:r>
      </w:hyperlink>
    </w:p>
    <w:p w14:paraId="35193F95" w14:textId="2A431481" w:rsidR="00393A22" w:rsidRDefault="005D3B21">
      <w:pPr>
        <w:pStyle w:val="Obsah3"/>
        <w:tabs>
          <w:tab w:val="left" w:pos="1320"/>
          <w:tab w:val="right" w:leader="dot" w:pos="9350"/>
        </w:tabs>
        <w:rPr>
          <w:noProof/>
          <w:lang w:val="cs-CZ" w:eastAsia="cs-CZ"/>
        </w:rPr>
      </w:pPr>
      <w:hyperlink w:anchor="_Toc108689212" w:history="1">
        <w:r w:rsidR="00393A22" w:rsidRPr="00A65EEB">
          <w:rPr>
            <w:rStyle w:val="Hypertextovodkaz"/>
            <w:rFonts w:eastAsia="Times New Roman"/>
            <w:noProof/>
            <w:lang w:val="cs-CZ"/>
          </w:rPr>
          <w:t>7.8.3</w:t>
        </w:r>
        <w:r w:rsidR="00393A22">
          <w:rPr>
            <w:noProof/>
            <w:lang w:val="cs-CZ" w:eastAsia="cs-CZ"/>
          </w:rPr>
          <w:tab/>
        </w:r>
        <w:r w:rsidR="00393A22" w:rsidRPr="00A65EEB">
          <w:rPr>
            <w:rStyle w:val="Hypertextovodkaz"/>
            <w:noProof/>
            <w:lang w:val="cs-CZ"/>
          </w:rPr>
          <w:t>Pravidla pro nastavení politiky a postupů variabilního odměňování</w:t>
        </w:r>
        <w:r w:rsidR="00393A22">
          <w:rPr>
            <w:noProof/>
            <w:webHidden/>
          </w:rPr>
          <w:tab/>
        </w:r>
        <w:r w:rsidR="00393A22">
          <w:rPr>
            <w:noProof/>
            <w:webHidden/>
          </w:rPr>
          <w:fldChar w:fldCharType="begin"/>
        </w:r>
        <w:r w:rsidR="00393A22">
          <w:rPr>
            <w:noProof/>
            <w:webHidden/>
          </w:rPr>
          <w:instrText xml:space="preserve"> PAGEREF _Toc108689212 \h </w:instrText>
        </w:r>
        <w:r w:rsidR="00393A22">
          <w:rPr>
            <w:noProof/>
            <w:webHidden/>
          </w:rPr>
        </w:r>
        <w:r w:rsidR="00393A22">
          <w:rPr>
            <w:noProof/>
            <w:webHidden/>
          </w:rPr>
          <w:fldChar w:fldCharType="separate"/>
        </w:r>
        <w:r w:rsidR="00F80A66">
          <w:rPr>
            <w:noProof/>
            <w:webHidden/>
          </w:rPr>
          <w:t>21</w:t>
        </w:r>
        <w:r w:rsidR="00393A22">
          <w:rPr>
            <w:noProof/>
            <w:webHidden/>
          </w:rPr>
          <w:fldChar w:fldCharType="end"/>
        </w:r>
      </w:hyperlink>
    </w:p>
    <w:p w14:paraId="24A9050E" w14:textId="5910639E" w:rsidR="00393A22" w:rsidRDefault="005D3B21">
      <w:pPr>
        <w:pStyle w:val="Obsah2"/>
        <w:tabs>
          <w:tab w:val="left" w:pos="880"/>
          <w:tab w:val="right" w:leader="dot" w:pos="9350"/>
        </w:tabs>
        <w:rPr>
          <w:noProof/>
          <w:lang w:val="cs-CZ" w:eastAsia="cs-CZ"/>
        </w:rPr>
      </w:pPr>
      <w:hyperlink w:anchor="_Toc108689213" w:history="1">
        <w:r w:rsidR="00393A22" w:rsidRPr="00A65EEB">
          <w:rPr>
            <w:rStyle w:val="Hypertextovodkaz"/>
            <w:noProof/>
          </w:rPr>
          <w:t>7.9</w:t>
        </w:r>
        <w:r w:rsidR="00393A22">
          <w:rPr>
            <w:noProof/>
            <w:lang w:val="cs-CZ" w:eastAsia="cs-CZ"/>
          </w:rPr>
          <w:tab/>
        </w:r>
        <w:r w:rsidR="00393A22" w:rsidRPr="00A65EEB">
          <w:rPr>
            <w:rStyle w:val="Hypertextovodkaz"/>
            <w:noProof/>
          </w:rPr>
          <w:t>Struktura pracovních pozic, mzdová pásma a mzdový benchmarking</w:t>
        </w:r>
        <w:r w:rsidR="00393A22">
          <w:rPr>
            <w:noProof/>
            <w:webHidden/>
          </w:rPr>
          <w:tab/>
        </w:r>
        <w:r w:rsidR="00393A22">
          <w:rPr>
            <w:noProof/>
            <w:webHidden/>
          </w:rPr>
          <w:fldChar w:fldCharType="begin"/>
        </w:r>
        <w:r w:rsidR="00393A22">
          <w:rPr>
            <w:noProof/>
            <w:webHidden/>
          </w:rPr>
          <w:instrText xml:space="preserve"> PAGEREF _Toc108689213 \h </w:instrText>
        </w:r>
        <w:r w:rsidR="00393A22">
          <w:rPr>
            <w:noProof/>
            <w:webHidden/>
          </w:rPr>
        </w:r>
        <w:r w:rsidR="00393A22">
          <w:rPr>
            <w:noProof/>
            <w:webHidden/>
          </w:rPr>
          <w:fldChar w:fldCharType="separate"/>
        </w:r>
        <w:r w:rsidR="00F80A66">
          <w:rPr>
            <w:noProof/>
            <w:webHidden/>
          </w:rPr>
          <w:t>22</w:t>
        </w:r>
        <w:r w:rsidR="00393A22">
          <w:rPr>
            <w:noProof/>
            <w:webHidden/>
          </w:rPr>
          <w:fldChar w:fldCharType="end"/>
        </w:r>
      </w:hyperlink>
    </w:p>
    <w:p w14:paraId="0333C055" w14:textId="4B25501F" w:rsidR="00393A22" w:rsidRDefault="005D3B21">
      <w:pPr>
        <w:pStyle w:val="Obsah2"/>
        <w:tabs>
          <w:tab w:val="left" w:pos="880"/>
          <w:tab w:val="right" w:leader="dot" w:pos="9350"/>
        </w:tabs>
        <w:rPr>
          <w:noProof/>
          <w:lang w:val="cs-CZ" w:eastAsia="cs-CZ"/>
        </w:rPr>
      </w:pPr>
      <w:hyperlink w:anchor="_Toc108689214" w:history="1">
        <w:r w:rsidR="00393A22" w:rsidRPr="00A65EEB">
          <w:rPr>
            <w:rStyle w:val="Hypertextovodkaz"/>
            <w:rFonts w:eastAsia="Times New Roman"/>
            <w:noProof/>
            <w:lang w:val="cs-CZ"/>
          </w:rPr>
          <w:t>7.10</w:t>
        </w:r>
        <w:r w:rsidR="00393A22">
          <w:rPr>
            <w:noProof/>
            <w:lang w:val="cs-CZ" w:eastAsia="cs-CZ"/>
          </w:rPr>
          <w:tab/>
        </w:r>
        <w:r w:rsidR="00393A22" w:rsidRPr="00A65EEB">
          <w:rPr>
            <w:rStyle w:val="Hypertextovodkaz"/>
            <w:noProof/>
            <w:lang w:val="cs-CZ"/>
          </w:rPr>
          <w:t>Pravidla pro personální obsazení a mobilitu</w:t>
        </w:r>
        <w:r w:rsidR="00393A22">
          <w:rPr>
            <w:noProof/>
            <w:webHidden/>
          </w:rPr>
          <w:tab/>
        </w:r>
        <w:r w:rsidR="00393A22">
          <w:rPr>
            <w:noProof/>
            <w:webHidden/>
          </w:rPr>
          <w:fldChar w:fldCharType="begin"/>
        </w:r>
        <w:r w:rsidR="00393A22">
          <w:rPr>
            <w:noProof/>
            <w:webHidden/>
          </w:rPr>
          <w:instrText xml:space="preserve"> PAGEREF _Toc108689214 \h </w:instrText>
        </w:r>
        <w:r w:rsidR="00393A22">
          <w:rPr>
            <w:noProof/>
            <w:webHidden/>
          </w:rPr>
        </w:r>
        <w:r w:rsidR="00393A22">
          <w:rPr>
            <w:noProof/>
            <w:webHidden/>
          </w:rPr>
          <w:fldChar w:fldCharType="separate"/>
        </w:r>
        <w:r w:rsidR="00F80A66">
          <w:rPr>
            <w:noProof/>
            <w:webHidden/>
          </w:rPr>
          <w:t>23</w:t>
        </w:r>
        <w:r w:rsidR="00393A22">
          <w:rPr>
            <w:noProof/>
            <w:webHidden/>
          </w:rPr>
          <w:fldChar w:fldCharType="end"/>
        </w:r>
      </w:hyperlink>
    </w:p>
    <w:p w14:paraId="736632F9" w14:textId="43CA3F54" w:rsidR="00393A22" w:rsidRDefault="005D3B21">
      <w:pPr>
        <w:pStyle w:val="Obsah2"/>
        <w:tabs>
          <w:tab w:val="left" w:pos="880"/>
          <w:tab w:val="right" w:leader="dot" w:pos="9350"/>
        </w:tabs>
        <w:rPr>
          <w:noProof/>
          <w:lang w:val="cs-CZ" w:eastAsia="cs-CZ"/>
        </w:rPr>
      </w:pPr>
      <w:hyperlink w:anchor="_Toc108689215" w:history="1">
        <w:r w:rsidR="00393A22" w:rsidRPr="00A65EEB">
          <w:rPr>
            <w:rStyle w:val="Hypertextovodkaz"/>
            <w:rFonts w:eastAsia="Times New Roman"/>
            <w:noProof/>
            <w:lang w:val="cs-CZ"/>
          </w:rPr>
          <w:t>7.11</w:t>
        </w:r>
        <w:r w:rsidR="00393A22">
          <w:rPr>
            <w:noProof/>
            <w:lang w:val="cs-CZ" w:eastAsia="cs-CZ"/>
          </w:rPr>
          <w:tab/>
        </w:r>
        <w:r w:rsidR="00393A22" w:rsidRPr="00A65EEB">
          <w:rPr>
            <w:rStyle w:val="Hypertextovodkaz"/>
            <w:noProof/>
            <w:lang w:val="cs-CZ"/>
          </w:rPr>
          <w:t>Osobní zajištění, úroky a dividendy</w:t>
        </w:r>
        <w:r w:rsidR="00393A22">
          <w:rPr>
            <w:noProof/>
            <w:webHidden/>
          </w:rPr>
          <w:tab/>
        </w:r>
        <w:r w:rsidR="00393A22">
          <w:rPr>
            <w:noProof/>
            <w:webHidden/>
          </w:rPr>
          <w:fldChar w:fldCharType="begin"/>
        </w:r>
        <w:r w:rsidR="00393A22">
          <w:rPr>
            <w:noProof/>
            <w:webHidden/>
          </w:rPr>
          <w:instrText xml:space="preserve"> PAGEREF _Toc108689215 \h </w:instrText>
        </w:r>
        <w:r w:rsidR="00393A22">
          <w:rPr>
            <w:noProof/>
            <w:webHidden/>
          </w:rPr>
        </w:r>
        <w:r w:rsidR="00393A22">
          <w:rPr>
            <w:noProof/>
            <w:webHidden/>
          </w:rPr>
          <w:fldChar w:fldCharType="separate"/>
        </w:r>
        <w:r w:rsidR="00F80A66">
          <w:rPr>
            <w:noProof/>
            <w:webHidden/>
          </w:rPr>
          <w:t>24</w:t>
        </w:r>
        <w:r w:rsidR="00393A22">
          <w:rPr>
            <w:noProof/>
            <w:webHidden/>
          </w:rPr>
          <w:fldChar w:fldCharType="end"/>
        </w:r>
      </w:hyperlink>
    </w:p>
    <w:p w14:paraId="32BE8035" w14:textId="4307B599" w:rsidR="00393A22" w:rsidRDefault="005D3B21">
      <w:pPr>
        <w:pStyle w:val="Obsah2"/>
        <w:tabs>
          <w:tab w:val="left" w:pos="880"/>
          <w:tab w:val="right" w:leader="dot" w:pos="9350"/>
        </w:tabs>
        <w:rPr>
          <w:noProof/>
          <w:lang w:val="cs-CZ" w:eastAsia="cs-CZ"/>
        </w:rPr>
      </w:pPr>
      <w:hyperlink w:anchor="_Toc108689216" w:history="1">
        <w:r w:rsidR="00393A22" w:rsidRPr="00A65EEB">
          <w:rPr>
            <w:rStyle w:val="Hypertextovodkaz"/>
            <w:rFonts w:eastAsia="Times New Roman"/>
            <w:noProof/>
            <w:lang w:val="cs-CZ"/>
          </w:rPr>
          <w:t>7.12</w:t>
        </w:r>
        <w:r w:rsidR="00393A22">
          <w:rPr>
            <w:noProof/>
            <w:lang w:val="cs-CZ" w:eastAsia="cs-CZ"/>
          </w:rPr>
          <w:tab/>
        </w:r>
        <w:r w:rsidR="00393A22" w:rsidRPr="00A65EEB">
          <w:rPr>
            <w:rStyle w:val="Hypertextovodkaz"/>
            <w:noProof/>
            <w:lang w:val="cs-CZ"/>
          </w:rPr>
          <w:t>Měření výkonu se zohledněním rizik</w:t>
        </w:r>
        <w:r w:rsidR="00393A22">
          <w:rPr>
            <w:noProof/>
            <w:webHidden/>
          </w:rPr>
          <w:tab/>
        </w:r>
        <w:r w:rsidR="00393A22">
          <w:rPr>
            <w:noProof/>
            <w:webHidden/>
          </w:rPr>
          <w:fldChar w:fldCharType="begin"/>
        </w:r>
        <w:r w:rsidR="00393A22">
          <w:rPr>
            <w:noProof/>
            <w:webHidden/>
          </w:rPr>
          <w:instrText xml:space="preserve"> PAGEREF _Toc108689216 \h </w:instrText>
        </w:r>
        <w:r w:rsidR="00393A22">
          <w:rPr>
            <w:noProof/>
            <w:webHidden/>
          </w:rPr>
        </w:r>
        <w:r w:rsidR="00393A22">
          <w:rPr>
            <w:noProof/>
            <w:webHidden/>
          </w:rPr>
          <w:fldChar w:fldCharType="separate"/>
        </w:r>
        <w:r w:rsidR="00F80A66">
          <w:rPr>
            <w:noProof/>
            <w:webHidden/>
          </w:rPr>
          <w:t>24</w:t>
        </w:r>
        <w:r w:rsidR="00393A22">
          <w:rPr>
            <w:noProof/>
            <w:webHidden/>
          </w:rPr>
          <w:fldChar w:fldCharType="end"/>
        </w:r>
      </w:hyperlink>
    </w:p>
    <w:p w14:paraId="51494480" w14:textId="204C4BD4" w:rsidR="00393A22" w:rsidRDefault="005D3B21">
      <w:pPr>
        <w:pStyle w:val="Obsah3"/>
        <w:tabs>
          <w:tab w:val="left" w:pos="1320"/>
          <w:tab w:val="right" w:leader="dot" w:pos="9350"/>
        </w:tabs>
        <w:rPr>
          <w:noProof/>
          <w:lang w:val="cs-CZ" w:eastAsia="cs-CZ"/>
        </w:rPr>
      </w:pPr>
      <w:hyperlink w:anchor="_Toc108689217" w:history="1">
        <w:r w:rsidR="00393A22" w:rsidRPr="00A65EEB">
          <w:rPr>
            <w:rStyle w:val="Hypertextovodkaz"/>
            <w:rFonts w:eastAsia="Times New Roman"/>
            <w:noProof/>
            <w:lang w:val="cs-CZ"/>
          </w:rPr>
          <w:t>7.12.1</w:t>
        </w:r>
        <w:r w:rsidR="00393A22">
          <w:rPr>
            <w:noProof/>
            <w:lang w:val="cs-CZ" w:eastAsia="cs-CZ"/>
          </w:rPr>
          <w:tab/>
        </w:r>
        <w:r w:rsidR="00393A22" w:rsidRPr="00A65EEB">
          <w:rPr>
            <w:rStyle w:val="Hypertextovodkaz"/>
            <w:noProof/>
            <w:lang w:val="cs-CZ"/>
          </w:rPr>
          <w:t>Kvantitativní kritéria (vstupní Knock</w:t>
        </w:r>
        <w:r w:rsidR="00393A22" w:rsidRPr="00A65EEB">
          <w:rPr>
            <w:rStyle w:val="Hypertextovodkaz"/>
            <w:rFonts w:ascii="Cambria Math" w:hAnsi="Cambria Math" w:cs="Cambria Math"/>
            <w:noProof/>
            <w:lang w:val="cs-CZ"/>
          </w:rPr>
          <w:t>‐</w:t>
        </w:r>
        <w:r w:rsidR="00393A22" w:rsidRPr="00A65EEB">
          <w:rPr>
            <w:rStyle w:val="Hypertextovodkaz"/>
            <w:noProof/>
            <w:lang w:val="cs-CZ"/>
          </w:rPr>
          <w:t>in kritéria)</w:t>
        </w:r>
        <w:r w:rsidR="00393A22">
          <w:rPr>
            <w:noProof/>
            <w:webHidden/>
          </w:rPr>
          <w:tab/>
        </w:r>
        <w:r w:rsidR="00393A22">
          <w:rPr>
            <w:noProof/>
            <w:webHidden/>
          </w:rPr>
          <w:fldChar w:fldCharType="begin"/>
        </w:r>
        <w:r w:rsidR="00393A22">
          <w:rPr>
            <w:noProof/>
            <w:webHidden/>
          </w:rPr>
          <w:instrText xml:space="preserve"> PAGEREF _Toc108689217 \h </w:instrText>
        </w:r>
        <w:r w:rsidR="00393A22">
          <w:rPr>
            <w:noProof/>
            <w:webHidden/>
          </w:rPr>
        </w:r>
        <w:r w:rsidR="00393A22">
          <w:rPr>
            <w:noProof/>
            <w:webHidden/>
          </w:rPr>
          <w:fldChar w:fldCharType="separate"/>
        </w:r>
        <w:r w:rsidR="00F80A66">
          <w:rPr>
            <w:noProof/>
            <w:webHidden/>
          </w:rPr>
          <w:t>24</w:t>
        </w:r>
        <w:r w:rsidR="00393A22">
          <w:rPr>
            <w:noProof/>
            <w:webHidden/>
          </w:rPr>
          <w:fldChar w:fldCharType="end"/>
        </w:r>
      </w:hyperlink>
    </w:p>
    <w:p w14:paraId="02D5B4C6" w14:textId="3851AEF7" w:rsidR="00393A22" w:rsidRDefault="005D3B21">
      <w:pPr>
        <w:pStyle w:val="Obsah3"/>
        <w:tabs>
          <w:tab w:val="left" w:pos="1320"/>
          <w:tab w:val="right" w:leader="dot" w:pos="9350"/>
        </w:tabs>
        <w:rPr>
          <w:noProof/>
          <w:lang w:val="cs-CZ" w:eastAsia="cs-CZ"/>
        </w:rPr>
      </w:pPr>
      <w:hyperlink w:anchor="_Toc108689218" w:history="1">
        <w:r w:rsidR="00393A22" w:rsidRPr="00A65EEB">
          <w:rPr>
            <w:rStyle w:val="Hypertextovodkaz"/>
            <w:rFonts w:eastAsia="Times New Roman"/>
            <w:noProof/>
            <w:lang w:val="cs-CZ"/>
          </w:rPr>
          <w:t>7.12.2</w:t>
        </w:r>
        <w:r w:rsidR="00393A22">
          <w:rPr>
            <w:noProof/>
            <w:lang w:val="cs-CZ" w:eastAsia="cs-CZ"/>
          </w:rPr>
          <w:tab/>
        </w:r>
        <w:r w:rsidR="00393A22" w:rsidRPr="00A65EEB">
          <w:rPr>
            <w:rStyle w:val="Hypertextovodkaz"/>
            <w:noProof/>
            <w:lang w:val="cs-CZ"/>
          </w:rPr>
          <w:t>Kvalitativní kritéria (knock</w:t>
        </w:r>
        <w:r w:rsidR="00393A22" w:rsidRPr="00A65EEB">
          <w:rPr>
            <w:rStyle w:val="Hypertextovodkaz"/>
            <w:rFonts w:ascii="Cambria Math" w:hAnsi="Cambria Math" w:cs="Cambria Math"/>
            <w:noProof/>
            <w:lang w:val="cs-CZ"/>
          </w:rPr>
          <w:t>‐</w:t>
        </w:r>
        <w:r w:rsidR="00393A22" w:rsidRPr="00A65EEB">
          <w:rPr>
            <w:rStyle w:val="Hypertextovodkaz"/>
            <w:noProof/>
            <w:lang w:val="cs-CZ"/>
          </w:rPr>
          <w:t>out, s ukončením po dosažení limitu)</w:t>
        </w:r>
        <w:r w:rsidR="00393A22">
          <w:rPr>
            <w:noProof/>
            <w:webHidden/>
          </w:rPr>
          <w:tab/>
        </w:r>
        <w:r w:rsidR="00393A22">
          <w:rPr>
            <w:noProof/>
            <w:webHidden/>
          </w:rPr>
          <w:fldChar w:fldCharType="begin"/>
        </w:r>
        <w:r w:rsidR="00393A22">
          <w:rPr>
            <w:noProof/>
            <w:webHidden/>
          </w:rPr>
          <w:instrText xml:space="preserve"> PAGEREF _Toc108689218 \h </w:instrText>
        </w:r>
        <w:r w:rsidR="00393A22">
          <w:rPr>
            <w:noProof/>
            <w:webHidden/>
          </w:rPr>
        </w:r>
        <w:r w:rsidR="00393A22">
          <w:rPr>
            <w:noProof/>
            <w:webHidden/>
          </w:rPr>
          <w:fldChar w:fldCharType="separate"/>
        </w:r>
        <w:r w:rsidR="00F80A66">
          <w:rPr>
            <w:noProof/>
            <w:webHidden/>
          </w:rPr>
          <w:t>25</w:t>
        </w:r>
        <w:r w:rsidR="00393A22">
          <w:rPr>
            <w:noProof/>
            <w:webHidden/>
          </w:rPr>
          <w:fldChar w:fldCharType="end"/>
        </w:r>
      </w:hyperlink>
    </w:p>
    <w:p w14:paraId="5B84D456" w14:textId="374D0040" w:rsidR="00393A22" w:rsidRDefault="005D3B21">
      <w:pPr>
        <w:pStyle w:val="Obsah1"/>
        <w:tabs>
          <w:tab w:val="left" w:pos="440"/>
          <w:tab w:val="right" w:leader="dot" w:pos="9350"/>
        </w:tabs>
        <w:rPr>
          <w:noProof/>
          <w:lang w:val="cs-CZ" w:eastAsia="cs-CZ"/>
        </w:rPr>
      </w:pPr>
      <w:hyperlink w:anchor="_Toc108689219" w:history="1">
        <w:r w:rsidR="00393A22" w:rsidRPr="00A65EEB">
          <w:rPr>
            <w:rStyle w:val="Hypertextovodkaz"/>
            <w:rFonts w:eastAsia="Times New Roman"/>
            <w:noProof/>
            <w:lang w:val="cs-CZ"/>
          </w:rPr>
          <w:t>8.</w:t>
        </w:r>
        <w:r w:rsidR="00393A22">
          <w:rPr>
            <w:noProof/>
            <w:lang w:val="cs-CZ" w:eastAsia="cs-CZ"/>
          </w:rPr>
          <w:tab/>
        </w:r>
        <w:r w:rsidR="00393A22" w:rsidRPr="00A65EEB">
          <w:rPr>
            <w:rStyle w:val="Hypertextovodkaz"/>
            <w:noProof/>
            <w:lang w:val="cs-CZ"/>
          </w:rPr>
          <w:t>Zvláštní zásady odměňování</w:t>
        </w:r>
        <w:r w:rsidR="00393A22">
          <w:rPr>
            <w:noProof/>
            <w:webHidden/>
          </w:rPr>
          <w:tab/>
        </w:r>
        <w:r w:rsidR="00393A22">
          <w:rPr>
            <w:noProof/>
            <w:webHidden/>
          </w:rPr>
          <w:fldChar w:fldCharType="begin"/>
        </w:r>
        <w:r w:rsidR="00393A22">
          <w:rPr>
            <w:noProof/>
            <w:webHidden/>
          </w:rPr>
          <w:instrText xml:space="preserve"> PAGEREF _Toc108689219 \h </w:instrText>
        </w:r>
        <w:r w:rsidR="00393A22">
          <w:rPr>
            <w:noProof/>
            <w:webHidden/>
          </w:rPr>
        </w:r>
        <w:r w:rsidR="00393A22">
          <w:rPr>
            <w:noProof/>
            <w:webHidden/>
          </w:rPr>
          <w:fldChar w:fldCharType="separate"/>
        </w:r>
        <w:r w:rsidR="00F80A66">
          <w:rPr>
            <w:noProof/>
            <w:webHidden/>
          </w:rPr>
          <w:t>26</w:t>
        </w:r>
        <w:r w:rsidR="00393A22">
          <w:rPr>
            <w:noProof/>
            <w:webHidden/>
          </w:rPr>
          <w:fldChar w:fldCharType="end"/>
        </w:r>
      </w:hyperlink>
    </w:p>
    <w:p w14:paraId="11D2E13B" w14:textId="0B725108" w:rsidR="00393A22" w:rsidRDefault="005D3B21">
      <w:pPr>
        <w:pStyle w:val="Obsah2"/>
        <w:tabs>
          <w:tab w:val="left" w:pos="880"/>
          <w:tab w:val="right" w:leader="dot" w:pos="9350"/>
        </w:tabs>
        <w:rPr>
          <w:noProof/>
          <w:lang w:val="cs-CZ" w:eastAsia="cs-CZ"/>
        </w:rPr>
      </w:pPr>
      <w:hyperlink w:anchor="_Toc108689220" w:history="1">
        <w:r w:rsidR="00393A22" w:rsidRPr="00A65EEB">
          <w:rPr>
            <w:rStyle w:val="Hypertextovodkaz"/>
            <w:rFonts w:eastAsia="Times New Roman"/>
            <w:noProof/>
            <w:lang w:val="cs-CZ"/>
          </w:rPr>
          <w:t>8.1</w:t>
        </w:r>
        <w:r w:rsidR="00393A22">
          <w:rPr>
            <w:noProof/>
            <w:lang w:val="cs-CZ" w:eastAsia="cs-CZ"/>
          </w:rPr>
          <w:tab/>
        </w:r>
        <w:r w:rsidR="00393A22" w:rsidRPr="00A65EEB">
          <w:rPr>
            <w:rStyle w:val="Hypertextovodkaz"/>
            <w:noProof/>
            <w:lang w:val="cs-CZ"/>
          </w:rPr>
          <w:t>Výpočet variabilní odměny</w:t>
        </w:r>
        <w:r w:rsidR="00393A22">
          <w:rPr>
            <w:noProof/>
            <w:webHidden/>
          </w:rPr>
          <w:tab/>
        </w:r>
        <w:r w:rsidR="00393A22">
          <w:rPr>
            <w:noProof/>
            <w:webHidden/>
          </w:rPr>
          <w:fldChar w:fldCharType="begin"/>
        </w:r>
        <w:r w:rsidR="00393A22">
          <w:rPr>
            <w:noProof/>
            <w:webHidden/>
          </w:rPr>
          <w:instrText xml:space="preserve"> PAGEREF _Toc108689220 \h </w:instrText>
        </w:r>
        <w:r w:rsidR="00393A22">
          <w:rPr>
            <w:noProof/>
            <w:webHidden/>
          </w:rPr>
        </w:r>
        <w:r w:rsidR="00393A22">
          <w:rPr>
            <w:noProof/>
            <w:webHidden/>
          </w:rPr>
          <w:fldChar w:fldCharType="separate"/>
        </w:r>
        <w:r w:rsidR="00F80A66">
          <w:rPr>
            <w:noProof/>
            <w:webHidden/>
          </w:rPr>
          <w:t>26</w:t>
        </w:r>
        <w:r w:rsidR="00393A22">
          <w:rPr>
            <w:noProof/>
            <w:webHidden/>
          </w:rPr>
          <w:fldChar w:fldCharType="end"/>
        </w:r>
      </w:hyperlink>
    </w:p>
    <w:p w14:paraId="621753D2" w14:textId="50C9690C" w:rsidR="00393A22" w:rsidRDefault="005D3B21">
      <w:pPr>
        <w:pStyle w:val="Obsah2"/>
        <w:tabs>
          <w:tab w:val="left" w:pos="880"/>
          <w:tab w:val="right" w:leader="dot" w:pos="9350"/>
        </w:tabs>
        <w:rPr>
          <w:noProof/>
          <w:lang w:val="cs-CZ" w:eastAsia="cs-CZ"/>
        </w:rPr>
      </w:pPr>
      <w:hyperlink w:anchor="_Toc108689221" w:history="1">
        <w:r w:rsidR="00393A22" w:rsidRPr="00A65EEB">
          <w:rPr>
            <w:rStyle w:val="Hypertextovodkaz"/>
            <w:rFonts w:eastAsia="Times New Roman"/>
            <w:noProof/>
            <w:lang w:val="cs-CZ"/>
          </w:rPr>
          <w:t>8.2</w:t>
        </w:r>
        <w:r w:rsidR="00393A22">
          <w:rPr>
            <w:noProof/>
            <w:lang w:val="cs-CZ" w:eastAsia="cs-CZ"/>
          </w:rPr>
          <w:tab/>
        </w:r>
        <w:r w:rsidR="00393A22" w:rsidRPr="00A65EEB">
          <w:rPr>
            <w:rStyle w:val="Hypertextovodkaz"/>
            <w:noProof/>
            <w:lang w:val="cs-CZ"/>
          </w:rPr>
          <w:t>Doba odkladu</w:t>
        </w:r>
        <w:r w:rsidR="00393A22">
          <w:rPr>
            <w:noProof/>
            <w:webHidden/>
          </w:rPr>
          <w:tab/>
        </w:r>
        <w:r w:rsidR="00393A22">
          <w:rPr>
            <w:noProof/>
            <w:webHidden/>
          </w:rPr>
          <w:fldChar w:fldCharType="begin"/>
        </w:r>
        <w:r w:rsidR="00393A22">
          <w:rPr>
            <w:noProof/>
            <w:webHidden/>
          </w:rPr>
          <w:instrText xml:space="preserve"> PAGEREF _Toc108689221 \h </w:instrText>
        </w:r>
        <w:r w:rsidR="00393A22">
          <w:rPr>
            <w:noProof/>
            <w:webHidden/>
          </w:rPr>
        </w:r>
        <w:r w:rsidR="00393A22">
          <w:rPr>
            <w:noProof/>
            <w:webHidden/>
          </w:rPr>
          <w:fldChar w:fldCharType="separate"/>
        </w:r>
        <w:r w:rsidR="00F80A66">
          <w:rPr>
            <w:noProof/>
            <w:webHidden/>
          </w:rPr>
          <w:t>26</w:t>
        </w:r>
        <w:r w:rsidR="00393A22">
          <w:rPr>
            <w:noProof/>
            <w:webHidden/>
          </w:rPr>
          <w:fldChar w:fldCharType="end"/>
        </w:r>
      </w:hyperlink>
    </w:p>
    <w:p w14:paraId="33F792C1" w14:textId="17568B4D" w:rsidR="00393A22" w:rsidRDefault="005D3B21">
      <w:pPr>
        <w:pStyle w:val="Obsah2"/>
        <w:tabs>
          <w:tab w:val="left" w:pos="880"/>
          <w:tab w:val="right" w:leader="dot" w:pos="9350"/>
        </w:tabs>
        <w:rPr>
          <w:noProof/>
          <w:lang w:val="cs-CZ" w:eastAsia="cs-CZ"/>
        </w:rPr>
      </w:pPr>
      <w:hyperlink w:anchor="_Toc108689222" w:history="1">
        <w:r w:rsidR="00393A22" w:rsidRPr="00A65EEB">
          <w:rPr>
            <w:rStyle w:val="Hypertextovodkaz"/>
            <w:rFonts w:eastAsia="Times New Roman"/>
            <w:noProof/>
            <w:lang w:val="cs-CZ"/>
          </w:rPr>
          <w:t>8.3</w:t>
        </w:r>
        <w:r w:rsidR="00393A22">
          <w:rPr>
            <w:noProof/>
            <w:lang w:val="cs-CZ" w:eastAsia="cs-CZ"/>
          </w:rPr>
          <w:tab/>
        </w:r>
        <w:r w:rsidR="00393A22" w:rsidRPr="00A65EEB">
          <w:rPr>
            <w:rStyle w:val="Hypertextovodkaz"/>
            <w:noProof/>
            <w:lang w:val="cs-CZ"/>
          </w:rPr>
          <w:t>Nepeněžité instrumenty</w:t>
        </w:r>
        <w:r w:rsidR="00393A22">
          <w:rPr>
            <w:noProof/>
            <w:webHidden/>
          </w:rPr>
          <w:tab/>
        </w:r>
        <w:r w:rsidR="00393A22">
          <w:rPr>
            <w:noProof/>
            <w:webHidden/>
          </w:rPr>
          <w:fldChar w:fldCharType="begin"/>
        </w:r>
        <w:r w:rsidR="00393A22">
          <w:rPr>
            <w:noProof/>
            <w:webHidden/>
          </w:rPr>
          <w:instrText xml:space="preserve"> PAGEREF _Toc108689222 \h </w:instrText>
        </w:r>
        <w:r w:rsidR="00393A22">
          <w:rPr>
            <w:noProof/>
            <w:webHidden/>
          </w:rPr>
        </w:r>
        <w:r w:rsidR="00393A22">
          <w:rPr>
            <w:noProof/>
            <w:webHidden/>
          </w:rPr>
          <w:fldChar w:fldCharType="separate"/>
        </w:r>
        <w:r w:rsidR="00F80A66">
          <w:rPr>
            <w:noProof/>
            <w:webHidden/>
          </w:rPr>
          <w:t>26</w:t>
        </w:r>
        <w:r w:rsidR="00393A22">
          <w:rPr>
            <w:noProof/>
            <w:webHidden/>
          </w:rPr>
          <w:fldChar w:fldCharType="end"/>
        </w:r>
      </w:hyperlink>
    </w:p>
    <w:p w14:paraId="3BC5CC6E" w14:textId="799A8D4A" w:rsidR="00393A22" w:rsidRDefault="005D3B21">
      <w:pPr>
        <w:pStyle w:val="Obsah3"/>
        <w:tabs>
          <w:tab w:val="left" w:pos="1320"/>
          <w:tab w:val="right" w:leader="dot" w:pos="9350"/>
        </w:tabs>
        <w:rPr>
          <w:noProof/>
          <w:lang w:val="cs-CZ" w:eastAsia="cs-CZ"/>
        </w:rPr>
      </w:pPr>
      <w:hyperlink w:anchor="_Toc108689223" w:history="1">
        <w:r w:rsidR="00393A22" w:rsidRPr="00A65EEB">
          <w:rPr>
            <w:rStyle w:val="Hypertextovodkaz"/>
            <w:rFonts w:eastAsia="Times New Roman"/>
            <w:noProof/>
            <w:lang w:val="cs-CZ"/>
          </w:rPr>
          <w:t>8.3.1</w:t>
        </w:r>
        <w:r w:rsidR="00393A22">
          <w:rPr>
            <w:noProof/>
            <w:lang w:val="cs-CZ" w:eastAsia="cs-CZ"/>
          </w:rPr>
          <w:tab/>
        </w:r>
        <w:r w:rsidR="00393A22" w:rsidRPr="00A65EEB">
          <w:rPr>
            <w:rStyle w:val="Hypertextovodkaz"/>
            <w:noProof/>
            <w:lang w:val="cs-CZ"/>
          </w:rPr>
          <w:t>Retenční období</w:t>
        </w:r>
        <w:r w:rsidR="00393A22">
          <w:rPr>
            <w:noProof/>
            <w:webHidden/>
          </w:rPr>
          <w:tab/>
        </w:r>
        <w:r w:rsidR="00393A22">
          <w:rPr>
            <w:noProof/>
            <w:webHidden/>
          </w:rPr>
          <w:fldChar w:fldCharType="begin"/>
        </w:r>
        <w:r w:rsidR="00393A22">
          <w:rPr>
            <w:noProof/>
            <w:webHidden/>
          </w:rPr>
          <w:instrText xml:space="preserve"> PAGEREF _Toc108689223 \h </w:instrText>
        </w:r>
        <w:r w:rsidR="00393A22">
          <w:rPr>
            <w:noProof/>
            <w:webHidden/>
          </w:rPr>
        </w:r>
        <w:r w:rsidR="00393A22">
          <w:rPr>
            <w:noProof/>
            <w:webHidden/>
          </w:rPr>
          <w:fldChar w:fldCharType="separate"/>
        </w:r>
        <w:r w:rsidR="00F80A66">
          <w:rPr>
            <w:noProof/>
            <w:webHidden/>
          </w:rPr>
          <w:t>27</w:t>
        </w:r>
        <w:r w:rsidR="00393A22">
          <w:rPr>
            <w:noProof/>
            <w:webHidden/>
          </w:rPr>
          <w:fldChar w:fldCharType="end"/>
        </w:r>
      </w:hyperlink>
    </w:p>
    <w:p w14:paraId="2E407B64" w14:textId="4D0B34FB" w:rsidR="00393A22" w:rsidRDefault="005D3B21">
      <w:pPr>
        <w:pStyle w:val="Obsah3"/>
        <w:tabs>
          <w:tab w:val="left" w:pos="1320"/>
          <w:tab w:val="right" w:leader="dot" w:pos="9350"/>
        </w:tabs>
        <w:rPr>
          <w:noProof/>
          <w:lang w:val="cs-CZ" w:eastAsia="cs-CZ"/>
        </w:rPr>
      </w:pPr>
      <w:hyperlink w:anchor="_Toc108689224" w:history="1">
        <w:r w:rsidR="00393A22" w:rsidRPr="00A65EEB">
          <w:rPr>
            <w:rStyle w:val="Hypertextovodkaz"/>
            <w:rFonts w:eastAsia="Times New Roman"/>
            <w:noProof/>
            <w:lang w:val="cs-CZ"/>
          </w:rPr>
          <w:t>8.3.2</w:t>
        </w:r>
        <w:r w:rsidR="00393A22">
          <w:rPr>
            <w:noProof/>
            <w:lang w:val="cs-CZ" w:eastAsia="cs-CZ"/>
          </w:rPr>
          <w:tab/>
        </w:r>
        <w:r w:rsidR="00393A22" w:rsidRPr="00A65EEB">
          <w:rPr>
            <w:rStyle w:val="Hypertextovodkaz"/>
            <w:noProof/>
            <w:lang w:val="cs-CZ"/>
          </w:rPr>
          <w:t>Fiktivní akciový plán</w:t>
        </w:r>
        <w:r w:rsidR="00393A22">
          <w:rPr>
            <w:noProof/>
            <w:webHidden/>
          </w:rPr>
          <w:tab/>
        </w:r>
        <w:r w:rsidR="00393A22">
          <w:rPr>
            <w:noProof/>
            <w:webHidden/>
          </w:rPr>
          <w:fldChar w:fldCharType="begin"/>
        </w:r>
        <w:r w:rsidR="00393A22">
          <w:rPr>
            <w:noProof/>
            <w:webHidden/>
          </w:rPr>
          <w:instrText xml:space="preserve"> PAGEREF _Toc108689224 \h </w:instrText>
        </w:r>
        <w:r w:rsidR="00393A22">
          <w:rPr>
            <w:noProof/>
            <w:webHidden/>
          </w:rPr>
        </w:r>
        <w:r w:rsidR="00393A22">
          <w:rPr>
            <w:noProof/>
            <w:webHidden/>
          </w:rPr>
          <w:fldChar w:fldCharType="separate"/>
        </w:r>
        <w:r w:rsidR="00F80A66">
          <w:rPr>
            <w:noProof/>
            <w:webHidden/>
          </w:rPr>
          <w:t>27</w:t>
        </w:r>
        <w:r w:rsidR="00393A22">
          <w:rPr>
            <w:noProof/>
            <w:webHidden/>
          </w:rPr>
          <w:fldChar w:fldCharType="end"/>
        </w:r>
      </w:hyperlink>
    </w:p>
    <w:p w14:paraId="7ACA8696" w14:textId="0A4DDA92" w:rsidR="00393A22" w:rsidRDefault="005D3B21">
      <w:pPr>
        <w:pStyle w:val="Obsah2"/>
        <w:tabs>
          <w:tab w:val="left" w:pos="880"/>
          <w:tab w:val="right" w:leader="dot" w:pos="9350"/>
        </w:tabs>
        <w:rPr>
          <w:noProof/>
          <w:lang w:val="cs-CZ" w:eastAsia="cs-CZ"/>
        </w:rPr>
      </w:pPr>
      <w:hyperlink w:anchor="_Toc108689225" w:history="1">
        <w:r w:rsidR="00393A22" w:rsidRPr="00A65EEB">
          <w:rPr>
            <w:rStyle w:val="Hypertextovodkaz"/>
            <w:rFonts w:eastAsia="Times New Roman"/>
            <w:noProof/>
            <w:lang w:val="cs-CZ"/>
          </w:rPr>
          <w:t>8.4</w:t>
        </w:r>
        <w:r w:rsidR="00393A22">
          <w:rPr>
            <w:noProof/>
            <w:lang w:val="cs-CZ" w:eastAsia="cs-CZ"/>
          </w:rPr>
          <w:tab/>
        </w:r>
        <w:r w:rsidR="00393A22" w:rsidRPr="00A65EEB">
          <w:rPr>
            <w:rStyle w:val="Hypertextovodkaz"/>
            <w:noProof/>
            <w:lang w:val="cs-CZ"/>
          </w:rPr>
          <w:t>Práh významnosti</w:t>
        </w:r>
        <w:r w:rsidR="00393A22">
          <w:rPr>
            <w:noProof/>
            <w:webHidden/>
          </w:rPr>
          <w:tab/>
        </w:r>
        <w:r w:rsidR="00393A22">
          <w:rPr>
            <w:noProof/>
            <w:webHidden/>
          </w:rPr>
          <w:fldChar w:fldCharType="begin"/>
        </w:r>
        <w:r w:rsidR="00393A22">
          <w:rPr>
            <w:noProof/>
            <w:webHidden/>
          </w:rPr>
          <w:instrText xml:space="preserve"> PAGEREF _Toc108689225 \h </w:instrText>
        </w:r>
        <w:r w:rsidR="00393A22">
          <w:rPr>
            <w:noProof/>
            <w:webHidden/>
          </w:rPr>
        </w:r>
        <w:r w:rsidR="00393A22">
          <w:rPr>
            <w:noProof/>
            <w:webHidden/>
          </w:rPr>
          <w:fldChar w:fldCharType="separate"/>
        </w:r>
        <w:r w:rsidR="00F80A66">
          <w:rPr>
            <w:noProof/>
            <w:webHidden/>
          </w:rPr>
          <w:t>28</w:t>
        </w:r>
        <w:r w:rsidR="00393A22">
          <w:rPr>
            <w:noProof/>
            <w:webHidden/>
          </w:rPr>
          <w:fldChar w:fldCharType="end"/>
        </w:r>
      </w:hyperlink>
    </w:p>
    <w:p w14:paraId="469A31D6" w14:textId="4E7B75FB" w:rsidR="00393A22" w:rsidRDefault="005D3B21">
      <w:pPr>
        <w:pStyle w:val="Obsah2"/>
        <w:tabs>
          <w:tab w:val="left" w:pos="880"/>
          <w:tab w:val="right" w:leader="dot" w:pos="9350"/>
        </w:tabs>
        <w:rPr>
          <w:noProof/>
          <w:lang w:val="cs-CZ" w:eastAsia="cs-CZ"/>
        </w:rPr>
      </w:pPr>
      <w:hyperlink w:anchor="_Toc108689226" w:history="1">
        <w:r w:rsidR="00393A22" w:rsidRPr="00A65EEB">
          <w:rPr>
            <w:rStyle w:val="Hypertextovodkaz"/>
            <w:rFonts w:eastAsia="Times New Roman"/>
            <w:noProof/>
            <w:lang w:val="cs-CZ"/>
          </w:rPr>
          <w:t>8.5</w:t>
        </w:r>
        <w:r w:rsidR="00393A22">
          <w:rPr>
            <w:noProof/>
            <w:lang w:val="cs-CZ" w:eastAsia="cs-CZ"/>
          </w:rPr>
          <w:tab/>
        </w:r>
        <w:r w:rsidR="00393A22" w:rsidRPr="00A65EEB">
          <w:rPr>
            <w:rStyle w:val="Hypertextovodkaz"/>
            <w:noProof/>
            <w:lang w:val="cs-CZ"/>
          </w:rPr>
          <w:t>Příklad bonusové platby</w:t>
        </w:r>
        <w:r w:rsidR="00393A22">
          <w:rPr>
            <w:noProof/>
            <w:webHidden/>
          </w:rPr>
          <w:tab/>
        </w:r>
        <w:r w:rsidR="00393A22">
          <w:rPr>
            <w:noProof/>
            <w:webHidden/>
          </w:rPr>
          <w:fldChar w:fldCharType="begin"/>
        </w:r>
        <w:r w:rsidR="00393A22">
          <w:rPr>
            <w:noProof/>
            <w:webHidden/>
          </w:rPr>
          <w:instrText xml:space="preserve"> PAGEREF _Toc108689226 \h </w:instrText>
        </w:r>
        <w:r w:rsidR="00393A22">
          <w:rPr>
            <w:noProof/>
            <w:webHidden/>
          </w:rPr>
        </w:r>
        <w:r w:rsidR="00393A22">
          <w:rPr>
            <w:noProof/>
            <w:webHidden/>
          </w:rPr>
          <w:fldChar w:fldCharType="separate"/>
        </w:r>
        <w:r w:rsidR="00F80A66">
          <w:rPr>
            <w:noProof/>
            <w:webHidden/>
          </w:rPr>
          <w:t>28</w:t>
        </w:r>
        <w:r w:rsidR="00393A22">
          <w:rPr>
            <w:noProof/>
            <w:webHidden/>
          </w:rPr>
          <w:fldChar w:fldCharType="end"/>
        </w:r>
      </w:hyperlink>
    </w:p>
    <w:p w14:paraId="2476B6A3" w14:textId="08DB75AD" w:rsidR="00393A22" w:rsidRDefault="005D3B21">
      <w:pPr>
        <w:pStyle w:val="Obsah1"/>
        <w:tabs>
          <w:tab w:val="left" w:pos="440"/>
          <w:tab w:val="right" w:leader="dot" w:pos="9350"/>
        </w:tabs>
        <w:rPr>
          <w:noProof/>
          <w:lang w:val="cs-CZ" w:eastAsia="cs-CZ"/>
        </w:rPr>
      </w:pPr>
      <w:hyperlink w:anchor="_Toc108689227" w:history="1">
        <w:r w:rsidR="00393A22" w:rsidRPr="00A65EEB">
          <w:rPr>
            <w:rStyle w:val="Hypertextovodkaz"/>
            <w:rFonts w:eastAsia="Times New Roman"/>
            <w:noProof/>
            <w:lang w:val="cs-CZ"/>
          </w:rPr>
          <w:t>9.</w:t>
        </w:r>
        <w:r w:rsidR="00393A22">
          <w:rPr>
            <w:noProof/>
            <w:lang w:val="cs-CZ" w:eastAsia="cs-CZ"/>
          </w:rPr>
          <w:tab/>
        </w:r>
        <w:r w:rsidR="00393A22" w:rsidRPr="00A65EEB">
          <w:rPr>
            <w:rStyle w:val="Hypertextovodkaz"/>
            <w:noProof/>
            <w:lang w:val="cs-CZ"/>
          </w:rPr>
          <w:t>Pravidla pro odcházející zaměstnance a důchodové dávky</w:t>
        </w:r>
        <w:r w:rsidR="00393A22">
          <w:rPr>
            <w:noProof/>
            <w:webHidden/>
          </w:rPr>
          <w:tab/>
        </w:r>
        <w:r w:rsidR="00393A22">
          <w:rPr>
            <w:noProof/>
            <w:webHidden/>
          </w:rPr>
          <w:fldChar w:fldCharType="begin"/>
        </w:r>
        <w:r w:rsidR="00393A22">
          <w:rPr>
            <w:noProof/>
            <w:webHidden/>
          </w:rPr>
          <w:instrText xml:space="preserve"> PAGEREF _Toc108689227 \h </w:instrText>
        </w:r>
        <w:r w:rsidR="00393A22">
          <w:rPr>
            <w:noProof/>
            <w:webHidden/>
          </w:rPr>
        </w:r>
        <w:r w:rsidR="00393A22">
          <w:rPr>
            <w:noProof/>
            <w:webHidden/>
          </w:rPr>
          <w:fldChar w:fldCharType="separate"/>
        </w:r>
        <w:r w:rsidR="00F80A66">
          <w:rPr>
            <w:noProof/>
            <w:webHidden/>
          </w:rPr>
          <w:t>29</w:t>
        </w:r>
        <w:r w:rsidR="00393A22">
          <w:rPr>
            <w:noProof/>
            <w:webHidden/>
          </w:rPr>
          <w:fldChar w:fldCharType="end"/>
        </w:r>
      </w:hyperlink>
    </w:p>
    <w:p w14:paraId="79494129" w14:textId="778E8A76" w:rsidR="00393A22" w:rsidRDefault="005D3B21">
      <w:pPr>
        <w:pStyle w:val="Obsah2"/>
        <w:tabs>
          <w:tab w:val="left" w:pos="880"/>
          <w:tab w:val="right" w:leader="dot" w:pos="9350"/>
        </w:tabs>
        <w:rPr>
          <w:noProof/>
          <w:lang w:val="cs-CZ" w:eastAsia="cs-CZ"/>
        </w:rPr>
      </w:pPr>
      <w:hyperlink w:anchor="_Toc108689228" w:history="1">
        <w:r w:rsidR="00393A22" w:rsidRPr="00A65EEB">
          <w:rPr>
            <w:rStyle w:val="Hypertextovodkaz"/>
            <w:rFonts w:eastAsia="Times New Roman"/>
            <w:noProof/>
            <w:lang w:val="cs-CZ"/>
          </w:rPr>
          <w:t>9.1</w:t>
        </w:r>
        <w:r w:rsidR="00393A22">
          <w:rPr>
            <w:noProof/>
            <w:lang w:val="cs-CZ" w:eastAsia="cs-CZ"/>
          </w:rPr>
          <w:tab/>
        </w:r>
        <w:r w:rsidR="00393A22" w:rsidRPr="00A65EEB">
          <w:rPr>
            <w:rStyle w:val="Hypertextovodkaz"/>
            <w:noProof/>
            <w:lang w:val="cs-CZ"/>
          </w:rPr>
          <w:t>Obecná ustanovení pro zaměstnance, jejichž pracovní poměr skončil v dobré víře</w:t>
        </w:r>
        <w:r w:rsidR="00393A22">
          <w:rPr>
            <w:noProof/>
            <w:webHidden/>
          </w:rPr>
          <w:tab/>
        </w:r>
        <w:r w:rsidR="00393A22">
          <w:rPr>
            <w:noProof/>
            <w:webHidden/>
          </w:rPr>
          <w:fldChar w:fldCharType="begin"/>
        </w:r>
        <w:r w:rsidR="00393A22">
          <w:rPr>
            <w:noProof/>
            <w:webHidden/>
          </w:rPr>
          <w:instrText xml:space="preserve"> PAGEREF _Toc108689228 \h </w:instrText>
        </w:r>
        <w:r w:rsidR="00393A22">
          <w:rPr>
            <w:noProof/>
            <w:webHidden/>
          </w:rPr>
        </w:r>
        <w:r w:rsidR="00393A22">
          <w:rPr>
            <w:noProof/>
            <w:webHidden/>
          </w:rPr>
          <w:fldChar w:fldCharType="separate"/>
        </w:r>
        <w:r w:rsidR="00F80A66">
          <w:rPr>
            <w:noProof/>
            <w:webHidden/>
          </w:rPr>
          <w:t>29</w:t>
        </w:r>
        <w:r w:rsidR="00393A22">
          <w:rPr>
            <w:noProof/>
            <w:webHidden/>
          </w:rPr>
          <w:fldChar w:fldCharType="end"/>
        </w:r>
      </w:hyperlink>
    </w:p>
    <w:p w14:paraId="0A55B9B5" w14:textId="1201880D" w:rsidR="00393A22" w:rsidRDefault="005D3B21">
      <w:pPr>
        <w:pStyle w:val="Obsah2"/>
        <w:tabs>
          <w:tab w:val="left" w:pos="880"/>
          <w:tab w:val="right" w:leader="dot" w:pos="9350"/>
        </w:tabs>
        <w:rPr>
          <w:noProof/>
          <w:lang w:val="cs-CZ" w:eastAsia="cs-CZ"/>
        </w:rPr>
      </w:pPr>
      <w:hyperlink w:anchor="_Toc108689229" w:history="1">
        <w:r w:rsidR="00393A22" w:rsidRPr="00A65EEB">
          <w:rPr>
            <w:rStyle w:val="Hypertextovodkaz"/>
            <w:rFonts w:eastAsia="Times New Roman"/>
            <w:noProof/>
            <w:lang w:val="cs-CZ"/>
          </w:rPr>
          <w:t>9.2</w:t>
        </w:r>
        <w:r w:rsidR="00393A22">
          <w:rPr>
            <w:noProof/>
            <w:lang w:val="cs-CZ" w:eastAsia="cs-CZ"/>
          </w:rPr>
          <w:tab/>
        </w:r>
        <w:r w:rsidR="00393A22" w:rsidRPr="00A65EEB">
          <w:rPr>
            <w:rStyle w:val="Hypertextovodkaz"/>
            <w:noProof/>
            <w:lang w:val="cs-CZ"/>
          </w:rPr>
          <w:t>Obecná ustanovení pro zaměstnance, jejichž pracovní poměr neskončil v dobré víře</w:t>
        </w:r>
        <w:r w:rsidR="00393A22">
          <w:rPr>
            <w:noProof/>
            <w:webHidden/>
          </w:rPr>
          <w:tab/>
        </w:r>
        <w:r w:rsidR="00393A22">
          <w:rPr>
            <w:noProof/>
            <w:webHidden/>
          </w:rPr>
          <w:fldChar w:fldCharType="begin"/>
        </w:r>
        <w:r w:rsidR="00393A22">
          <w:rPr>
            <w:noProof/>
            <w:webHidden/>
          </w:rPr>
          <w:instrText xml:space="preserve"> PAGEREF _Toc108689229 \h </w:instrText>
        </w:r>
        <w:r w:rsidR="00393A22">
          <w:rPr>
            <w:noProof/>
            <w:webHidden/>
          </w:rPr>
        </w:r>
        <w:r w:rsidR="00393A22">
          <w:rPr>
            <w:noProof/>
            <w:webHidden/>
          </w:rPr>
          <w:fldChar w:fldCharType="separate"/>
        </w:r>
        <w:r w:rsidR="00F80A66">
          <w:rPr>
            <w:noProof/>
            <w:webHidden/>
          </w:rPr>
          <w:t>30</w:t>
        </w:r>
        <w:r w:rsidR="00393A22">
          <w:rPr>
            <w:noProof/>
            <w:webHidden/>
          </w:rPr>
          <w:fldChar w:fldCharType="end"/>
        </w:r>
      </w:hyperlink>
    </w:p>
    <w:p w14:paraId="15C21951" w14:textId="5916A727" w:rsidR="00393A22" w:rsidRDefault="005D3B21">
      <w:pPr>
        <w:pStyle w:val="Obsah1"/>
        <w:tabs>
          <w:tab w:val="right" w:leader="dot" w:pos="9350"/>
        </w:tabs>
        <w:rPr>
          <w:noProof/>
          <w:lang w:val="cs-CZ" w:eastAsia="cs-CZ"/>
        </w:rPr>
      </w:pPr>
      <w:hyperlink w:anchor="_Toc108689230" w:history="1">
        <w:r w:rsidR="00393A22" w:rsidRPr="00A65EEB">
          <w:rPr>
            <w:rStyle w:val="Hypertextovodkaz"/>
            <w:noProof/>
            <w:lang w:val="cs-CZ"/>
          </w:rPr>
          <w:t>Příloha č. 1 Pravidla pro přípravu materiálů a body k diskusi předkládané Komisi pro odměňování</w:t>
        </w:r>
        <w:r w:rsidR="00393A22">
          <w:rPr>
            <w:noProof/>
            <w:webHidden/>
          </w:rPr>
          <w:tab/>
        </w:r>
        <w:r w:rsidR="00393A22">
          <w:rPr>
            <w:noProof/>
            <w:webHidden/>
          </w:rPr>
          <w:fldChar w:fldCharType="begin"/>
        </w:r>
        <w:r w:rsidR="00393A22">
          <w:rPr>
            <w:noProof/>
            <w:webHidden/>
          </w:rPr>
          <w:instrText xml:space="preserve"> PAGEREF _Toc108689230 \h </w:instrText>
        </w:r>
        <w:r w:rsidR="00393A22">
          <w:rPr>
            <w:noProof/>
            <w:webHidden/>
          </w:rPr>
        </w:r>
        <w:r w:rsidR="00393A22">
          <w:rPr>
            <w:noProof/>
            <w:webHidden/>
          </w:rPr>
          <w:fldChar w:fldCharType="separate"/>
        </w:r>
        <w:r w:rsidR="00F80A66">
          <w:rPr>
            <w:noProof/>
            <w:webHidden/>
          </w:rPr>
          <w:t>30</w:t>
        </w:r>
        <w:r w:rsidR="00393A22">
          <w:rPr>
            <w:noProof/>
            <w:webHidden/>
          </w:rPr>
          <w:fldChar w:fldCharType="end"/>
        </w:r>
      </w:hyperlink>
    </w:p>
    <w:p w14:paraId="5251F39E" w14:textId="00EF9282" w:rsidR="00393A22" w:rsidRDefault="005D3B21">
      <w:pPr>
        <w:pStyle w:val="Obsah1"/>
        <w:tabs>
          <w:tab w:val="right" w:leader="dot" w:pos="9350"/>
        </w:tabs>
        <w:rPr>
          <w:noProof/>
          <w:lang w:val="cs-CZ" w:eastAsia="cs-CZ"/>
        </w:rPr>
      </w:pPr>
      <w:hyperlink w:anchor="_Toc108689231" w:history="1">
        <w:r w:rsidR="00393A22" w:rsidRPr="00A65EEB">
          <w:rPr>
            <w:rStyle w:val="Hypertextovodkaz"/>
            <w:noProof/>
            <w:lang w:val="cs-CZ"/>
          </w:rPr>
          <w:t>Příloha č. 2 Odměňování členů dozorčí rady</w:t>
        </w:r>
        <w:r w:rsidR="00393A22">
          <w:rPr>
            <w:noProof/>
            <w:webHidden/>
          </w:rPr>
          <w:tab/>
        </w:r>
        <w:r w:rsidR="00393A22">
          <w:rPr>
            <w:noProof/>
            <w:webHidden/>
          </w:rPr>
          <w:fldChar w:fldCharType="begin"/>
        </w:r>
        <w:r w:rsidR="00393A22">
          <w:rPr>
            <w:noProof/>
            <w:webHidden/>
          </w:rPr>
          <w:instrText xml:space="preserve"> PAGEREF _Toc108689231 \h </w:instrText>
        </w:r>
        <w:r w:rsidR="00393A22">
          <w:rPr>
            <w:noProof/>
            <w:webHidden/>
          </w:rPr>
        </w:r>
        <w:r w:rsidR="00393A22">
          <w:rPr>
            <w:noProof/>
            <w:webHidden/>
          </w:rPr>
          <w:fldChar w:fldCharType="separate"/>
        </w:r>
        <w:r w:rsidR="00F80A66">
          <w:rPr>
            <w:noProof/>
            <w:webHidden/>
          </w:rPr>
          <w:t>31</w:t>
        </w:r>
        <w:r w:rsidR="00393A22">
          <w:rPr>
            <w:noProof/>
            <w:webHidden/>
          </w:rPr>
          <w:fldChar w:fldCharType="end"/>
        </w:r>
      </w:hyperlink>
    </w:p>
    <w:p w14:paraId="3D505791" w14:textId="2CFBE145" w:rsidR="00ED1567" w:rsidRPr="0055589B" w:rsidRDefault="00224561" w:rsidP="007F006A">
      <w:pPr>
        <w:spacing w:after="120" w:line="276" w:lineRule="auto"/>
        <w:jc w:val="both"/>
        <w:rPr>
          <w:rFonts w:ascii="Arial" w:eastAsia="Times New Roman" w:hAnsi="Arial" w:cs="Arial"/>
          <w:b/>
          <w:color w:val="000000" w:themeColor="text1"/>
          <w:sz w:val="32"/>
          <w:szCs w:val="32"/>
          <w:lang w:val="cs-CZ" w:eastAsia="de-AT"/>
        </w:rPr>
      </w:pPr>
      <w:r w:rsidRPr="0055589B">
        <w:rPr>
          <w:rFonts w:ascii="Arial" w:hAnsi="Arial" w:cs="Arial"/>
          <w:color w:val="000000" w:themeColor="text1"/>
          <w:sz w:val="32"/>
          <w:szCs w:val="32"/>
          <w:lang w:val="cs-CZ" w:eastAsia="de-AT"/>
        </w:rPr>
        <w:fldChar w:fldCharType="end"/>
      </w:r>
    </w:p>
    <w:p w14:paraId="42C91ED1" w14:textId="77777777" w:rsidR="00ED1567" w:rsidRPr="0055589B" w:rsidRDefault="00ED1567" w:rsidP="00ED1567">
      <w:pPr>
        <w:rPr>
          <w:rFonts w:ascii="Arial" w:eastAsia="Times New Roman" w:hAnsi="Arial" w:cs="Arial"/>
          <w:color w:val="000000" w:themeColor="text1"/>
          <w:sz w:val="32"/>
          <w:szCs w:val="32"/>
          <w:lang w:val="cs-CZ" w:eastAsia="de-AT"/>
        </w:rPr>
      </w:pPr>
    </w:p>
    <w:p w14:paraId="2AEB7FC1" w14:textId="2F5991AF" w:rsidR="00224561" w:rsidRPr="0055589B" w:rsidRDefault="00ED1567" w:rsidP="00ED1567">
      <w:pPr>
        <w:tabs>
          <w:tab w:val="left" w:pos="1113"/>
        </w:tabs>
        <w:rPr>
          <w:rFonts w:ascii="Arial" w:eastAsia="Times New Roman" w:hAnsi="Arial" w:cs="Arial"/>
          <w:color w:val="000000" w:themeColor="text1"/>
          <w:sz w:val="32"/>
          <w:szCs w:val="32"/>
          <w:lang w:val="cs-CZ" w:eastAsia="de-AT"/>
        </w:rPr>
        <w:sectPr w:rsidR="00224561" w:rsidRPr="0055589B" w:rsidSect="007F006A">
          <w:headerReference w:type="default" r:id="rId8"/>
          <w:footerReference w:type="default" r:id="rId9"/>
          <w:pgSz w:w="12240" w:h="15840"/>
          <w:pgMar w:top="1440" w:right="1440" w:bottom="1440" w:left="1440" w:header="720" w:footer="720" w:gutter="0"/>
          <w:cols w:space="720"/>
          <w:docGrid w:linePitch="360"/>
        </w:sectPr>
      </w:pPr>
      <w:r w:rsidRPr="0055589B">
        <w:rPr>
          <w:rFonts w:ascii="Arial" w:eastAsia="Times New Roman" w:hAnsi="Arial" w:cs="Arial"/>
          <w:color w:val="000000" w:themeColor="text1"/>
          <w:sz w:val="32"/>
          <w:szCs w:val="32"/>
          <w:lang w:val="cs-CZ" w:eastAsia="de-AT"/>
        </w:rPr>
        <w:tab/>
      </w:r>
    </w:p>
    <w:p w14:paraId="1F6AE09D" w14:textId="6237B09D" w:rsidR="002000EE" w:rsidRDefault="002000EE" w:rsidP="002000EE">
      <w:pPr>
        <w:pStyle w:val="Nadpis1"/>
        <w:numPr>
          <w:ilvl w:val="0"/>
          <w:numId w:val="0"/>
        </w:numPr>
        <w:ind w:left="432"/>
        <w:rPr>
          <w:color w:val="000000" w:themeColor="text1"/>
          <w:lang w:val="cs-CZ"/>
        </w:rPr>
      </w:pPr>
      <w:bookmarkStart w:id="2" w:name="_Toc108689189"/>
      <w:bookmarkEnd w:id="0"/>
      <w:bookmarkEnd w:id="1"/>
    </w:p>
    <w:p w14:paraId="4E3C1EE1" w14:textId="2A29C4AD" w:rsidR="00224561" w:rsidRPr="0055589B" w:rsidRDefault="00224561" w:rsidP="00694A20">
      <w:pPr>
        <w:pStyle w:val="Nadpis1"/>
        <w:rPr>
          <w:color w:val="000000" w:themeColor="text1"/>
          <w:lang w:val="cs-CZ"/>
        </w:rPr>
      </w:pPr>
      <w:r w:rsidRPr="0055589B">
        <w:rPr>
          <w:color w:val="000000" w:themeColor="text1"/>
          <w:lang w:val="cs-CZ"/>
        </w:rPr>
        <w:t>Preamb</w:t>
      </w:r>
      <w:r w:rsidR="00A12244" w:rsidRPr="0055589B">
        <w:rPr>
          <w:color w:val="000000" w:themeColor="text1"/>
          <w:lang w:val="cs-CZ"/>
        </w:rPr>
        <w:t>ule</w:t>
      </w:r>
      <w:bookmarkEnd w:id="2"/>
    </w:p>
    <w:p w14:paraId="048C9557" w14:textId="77777777" w:rsidR="00510BF9" w:rsidRPr="0055589B" w:rsidRDefault="00510BF9" w:rsidP="00510BF9">
      <w:pPr>
        <w:pStyle w:val="Default"/>
        <w:jc w:val="both"/>
        <w:rPr>
          <w:color w:val="000000" w:themeColor="text1"/>
          <w:sz w:val="22"/>
          <w:szCs w:val="22"/>
        </w:rPr>
      </w:pPr>
      <w:r w:rsidRPr="0055589B">
        <w:rPr>
          <w:color w:val="000000" w:themeColor="text1"/>
          <w:sz w:val="22"/>
          <w:szCs w:val="22"/>
        </w:rPr>
        <w:t>Erste Asset Management GmbH („Společnost“) chce být atraktivním zaměstnavatelem, u něhož se mohou zaměstnanci rozvíjet, růst a angažovat se. Výsledky zaměstnanců se uznávají a odměňují.</w:t>
      </w:r>
    </w:p>
    <w:p w14:paraId="2049E042" w14:textId="77777777" w:rsidR="00510BF9" w:rsidRPr="0055589B" w:rsidRDefault="00510BF9" w:rsidP="00510BF9">
      <w:pPr>
        <w:pStyle w:val="Default"/>
        <w:jc w:val="both"/>
        <w:rPr>
          <w:color w:val="000000" w:themeColor="text1"/>
          <w:sz w:val="22"/>
          <w:szCs w:val="22"/>
        </w:rPr>
      </w:pPr>
      <w:r w:rsidRPr="0055589B">
        <w:rPr>
          <w:color w:val="000000" w:themeColor="text1"/>
          <w:sz w:val="22"/>
          <w:szCs w:val="22"/>
        </w:rPr>
        <w:t xml:space="preserve"> </w:t>
      </w:r>
    </w:p>
    <w:p w14:paraId="4D2CF98D" w14:textId="77777777" w:rsidR="00510BF9" w:rsidRPr="0055589B" w:rsidRDefault="00510BF9" w:rsidP="00510BF9">
      <w:pPr>
        <w:pStyle w:val="Default"/>
        <w:jc w:val="both"/>
        <w:rPr>
          <w:color w:val="000000" w:themeColor="text1"/>
          <w:sz w:val="22"/>
          <w:szCs w:val="22"/>
        </w:rPr>
      </w:pPr>
      <w:r w:rsidRPr="0055589B">
        <w:rPr>
          <w:color w:val="000000" w:themeColor="text1"/>
          <w:sz w:val="22"/>
          <w:szCs w:val="22"/>
        </w:rPr>
        <w:t xml:space="preserve">Společnost </w:t>
      </w:r>
      <w:proofErr w:type="gramStart"/>
      <w:r w:rsidRPr="0055589B">
        <w:rPr>
          <w:color w:val="000000" w:themeColor="text1"/>
          <w:sz w:val="22"/>
          <w:szCs w:val="22"/>
        </w:rPr>
        <w:t>věří</w:t>
      </w:r>
      <w:proofErr w:type="gramEnd"/>
      <w:r w:rsidRPr="0055589B">
        <w:rPr>
          <w:color w:val="000000" w:themeColor="text1"/>
          <w:sz w:val="22"/>
          <w:szCs w:val="22"/>
        </w:rPr>
        <w:t xml:space="preserve"> v rovnováhu mezi finančním a nefinančním odměňováním a v pevnou i variabilní složku odměn. Finanční a nefinanční odměňování souvisí s hodnotami a strategií Společnosti. Odměna se vyplácí buď jako pevná, nebo variabilní, žádná jiná kategorie odměn neexistuje. Pevná odměna odráží příslušné odborné zkušenosti, kompetence a organizační odpovědnost zaměstnanců. Variabilní odměna vychází z výsledků a ve výjimečných případech z jiných podmínek; variabilní složka odměn </w:t>
      </w:r>
      <w:proofErr w:type="gramStart"/>
      <w:r w:rsidRPr="0055589B">
        <w:rPr>
          <w:color w:val="000000" w:themeColor="text1"/>
          <w:sz w:val="22"/>
          <w:szCs w:val="22"/>
        </w:rPr>
        <w:t>slouží</w:t>
      </w:r>
      <w:proofErr w:type="gramEnd"/>
      <w:r w:rsidRPr="0055589B">
        <w:rPr>
          <w:color w:val="000000" w:themeColor="text1"/>
          <w:sz w:val="22"/>
          <w:szCs w:val="22"/>
        </w:rPr>
        <w:t xml:space="preserve"> jako motivace k dlouhodobě rozumnému riskování a zdravému řízení rizik.</w:t>
      </w:r>
    </w:p>
    <w:p w14:paraId="516E6B31" w14:textId="77777777" w:rsidR="00510BF9" w:rsidRPr="0055589B" w:rsidRDefault="00510BF9" w:rsidP="00510BF9">
      <w:pPr>
        <w:pStyle w:val="Default"/>
        <w:jc w:val="both"/>
        <w:rPr>
          <w:color w:val="000000" w:themeColor="text1"/>
          <w:sz w:val="22"/>
          <w:szCs w:val="22"/>
        </w:rPr>
      </w:pPr>
    </w:p>
    <w:p w14:paraId="14130FE5" w14:textId="77777777" w:rsidR="00510BF9" w:rsidRPr="0055589B" w:rsidRDefault="00510BF9" w:rsidP="00510BF9">
      <w:pPr>
        <w:pStyle w:val="Default"/>
        <w:jc w:val="both"/>
        <w:rPr>
          <w:color w:val="000000" w:themeColor="text1"/>
          <w:sz w:val="22"/>
          <w:szCs w:val="22"/>
        </w:rPr>
      </w:pPr>
      <w:r w:rsidRPr="0055589B">
        <w:rPr>
          <w:color w:val="000000" w:themeColor="text1"/>
          <w:sz w:val="22"/>
          <w:szCs w:val="22"/>
        </w:rPr>
        <w:t>Tato politika upravuje všechny složky odměňování s výjimkou školení, věcných benefitů, zdravotní péče a zabezpečení a dalších podobných benefitů.</w:t>
      </w:r>
    </w:p>
    <w:p w14:paraId="3A55768B" w14:textId="77777777" w:rsidR="00510BF9" w:rsidRPr="0055589B" w:rsidRDefault="00510BF9" w:rsidP="00510BF9">
      <w:pPr>
        <w:pStyle w:val="Default"/>
        <w:jc w:val="both"/>
        <w:rPr>
          <w:color w:val="000000" w:themeColor="text1"/>
          <w:sz w:val="22"/>
          <w:szCs w:val="22"/>
        </w:rPr>
      </w:pPr>
    </w:p>
    <w:p w14:paraId="65BD8CC6" w14:textId="77777777" w:rsidR="00510BF9" w:rsidRPr="0055589B" w:rsidRDefault="00510BF9" w:rsidP="00510BF9">
      <w:pPr>
        <w:pStyle w:val="Default"/>
        <w:jc w:val="both"/>
        <w:rPr>
          <w:color w:val="000000" w:themeColor="text1"/>
          <w:sz w:val="22"/>
          <w:szCs w:val="22"/>
        </w:rPr>
      </w:pPr>
      <w:r w:rsidRPr="0055589B">
        <w:rPr>
          <w:color w:val="000000" w:themeColor="text1"/>
          <w:sz w:val="22"/>
          <w:szCs w:val="22"/>
        </w:rPr>
        <w:t xml:space="preserve">Rovnost je zásadním prvkem strategie odměňování u EAM a má rozměr interní, externí a rozměr v oblasti diverzity. Interní rovnost znamená, že zaměstnanci by měli cítit, že jsou odměňováni spravedlivě v souladu s relativní hodnotou jejich práce v rámci EAM. Zaměstnanci pracující na podobných pozicích na různých místech naší Společnosti by měli dostávat stejnou mzdu. Externí rovnost znamená, že EAM se </w:t>
      </w:r>
      <w:proofErr w:type="gramStart"/>
      <w:r w:rsidRPr="0055589B">
        <w:rPr>
          <w:color w:val="000000" w:themeColor="text1"/>
          <w:sz w:val="22"/>
          <w:szCs w:val="22"/>
        </w:rPr>
        <w:t>snaží</w:t>
      </w:r>
      <w:proofErr w:type="gramEnd"/>
      <w:r w:rsidRPr="0055589B">
        <w:rPr>
          <w:color w:val="000000" w:themeColor="text1"/>
          <w:sz w:val="22"/>
          <w:szCs w:val="22"/>
        </w:rPr>
        <w:t>, aby odměny jejích zaměstnanců byly konkurenceschopné odměnám pracovníků na podobných pozicích v jiných organizacích na daném trhu a/nebo v daném sektoru. Struktura odměňování založená na konkurenceschopném základním platu je klíčová.</w:t>
      </w:r>
    </w:p>
    <w:p w14:paraId="33CE770D" w14:textId="77777777" w:rsidR="00510BF9" w:rsidRPr="0055589B" w:rsidRDefault="00510BF9" w:rsidP="00510BF9">
      <w:pPr>
        <w:pStyle w:val="Default"/>
        <w:jc w:val="both"/>
        <w:rPr>
          <w:color w:val="000000" w:themeColor="text1"/>
          <w:sz w:val="22"/>
          <w:szCs w:val="22"/>
        </w:rPr>
      </w:pPr>
    </w:p>
    <w:p w14:paraId="12B9EF83" w14:textId="77777777" w:rsidR="00510BF9" w:rsidRPr="0055589B" w:rsidRDefault="00510BF9" w:rsidP="00510BF9">
      <w:pPr>
        <w:pStyle w:val="Default"/>
        <w:jc w:val="both"/>
        <w:rPr>
          <w:color w:val="000000" w:themeColor="text1"/>
          <w:sz w:val="22"/>
          <w:szCs w:val="22"/>
        </w:rPr>
      </w:pPr>
      <w:r w:rsidRPr="0055589B">
        <w:rPr>
          <w:color w:val="000000" w:themeColor="text1"/>
          <w:sz w:val="22"/>
          <w:szCs w:val="22"/>
        </w:rPr>
        <w:t xml:space="preserve">Všichni zaměstnanci mají nárok na rovné a příznivé pracovní podmínky, se zvláštním zaměřením na odměňování. Abychom identifikovali a eliminovali rozdíly v odměňování mezi pohlavími, HR bude každoročně provádět interní analýzu a aplikuje nápravná opatření ke zúžení mezery tam, kde existuje. </w:t>
      </w:r>
    </w:p>
    <w:p w14:paraId="59EBB468" w14:textId="77777777" w:rsidR="00694A20" w:rsidRPr="0055589B" w:rsidRDefault="00694A20" w:rsidP="00510BF9">
      <w:pPr>
        <w:pStyle w:val="Default"/>
        <w:jc w:val="both"/>
        <w:rPr>
          <w:color w:val="000000" w:themeColor="text1"/>
        </w:rPr>
      </w:pPr>
    </w:p>
    <w:p w14:paraId="099D516C" w14:textId="77777777" w:rsidR="00224561" w:rsidRPr="0055589B" w:rsidRDefault="00224561" w:rsidP="00694A20">
      <w:pPr>
        <w:pStyle w:val="Nadpis1"/>
        <w:rPr>
          <w:rFonts w:eastAsia="Times New Roman"/>
          <w:color w:val="000000" w:themeColor="text1"/>
          <w:lang w:val="cs-CZ"/>
        </w:rPr>
      </w:pPr>
      <w:r w:rsidRPr="0055589B">
        <w:rPr>
          <w:color w:val="000000" w:themeColor="text1"/>
          <w:lang w:val="cs-CZ"/>
        </w:rPr>
        <w:tab/>
      </w:r>
      <w:bookmarkStart w:id="3" w:name="_Toc490657383"/>
      <w:bookmarkStart w:id="4" w:name="_Toc108689190"/>
      <w:r w:rsidRPr="0055589B">
        <w:rPr>
          <w:color w:val="000000" w:themeColor="text1"/>
          <w:lang w:val="cs-CZ"/>
        </w:rPr>
        <w:t>Přehled rolí a odpovědností</w:t>
      </w:r>
      <w:bookmarkEnd w:id="3"/>
      <w:bookmarkEnd w:id="4"/>
    </w:p>
    <w:p w14:paraId="734946DE" w14:textId="412742C9" w:rsidR="00224561" w:rsidRPr="0055589B" w:rsidRDefault="00224561" w:rsidP="007F006A">
      <w:pPr>
        <w:spacing w:after="120" w:line="288" w:lineRule="auto"/>
        <w:jc w:val="both"/>
        <w:rPr>
          <w:rFonts w:ascii="Arial" w:eastAsia="Times New Roman" w:hAnsi="Arial" w:cs="Arial"/>
          <w:color w:val="000000" w:themeColor="text1"/>
          <w:szCs w:val="20"/>
          <w:lang w:val="cs-CZ" w:eastAsia="de-AT"/>
        </w:rPr>
      </w:pPr>
      <w:r w:rsidRPr="0055589B">
        <w:rPr>
          <w:rFonts w:ascii="Arial" w:hAnsi="Arial" w:cs="Arial"/>
          <w:color w:val="000000" w:themeColor="text1"/>
          <w:szCs w:val="20"/>
          <w:lang w:val="cs-CZ" w:eastAsia="de-AT"/>
        </w:rPr>
        <w:t xml:space="preserve">Odpovědnost </w:t>
      </w:r>
      <w:r w:rsidR="007E4DE3" w:rsidRPr="0055589B">
        <w:rPr>
          <w:rFonts w:ascii="Arial" w:hAnsi="Arial" w:cs="Arial"/>
          <w:color w:val="000000" w:themeColor="text1"/>
          <w:szCs w:val="20"/>
          <w:lang w:val="cs-CZ" w:eastAsia="de-AT"/>
        </w:rPr>
        <w:t>Dozorčí ra</w:t>
      </w:r>
      <w:r w:rsidRPr="0055589B">
        <w:rPr>
          <w:rFonts w:ascii="Arial" w:hAnsi="Arial" w:cs="Arial"/>
          <w:color w:val="000000" w:themeColor="text1"/>
          <w:szCs w:val="20"/>
          <w:lang w:val="cs-CZ" w:eastAsia="de-AT"/>
        </w:rPr>
        <w:t xml:space="preserve">dy a </w:t>
      </w:r>
      <w:r w:rsidR="00B05A31" w:rsidRPr="0055589B">
        <w:rPr>
          <w:rFonts w:ascii="Arial" w:hAnsi="Arial" w:cs="Arial"/>
          <w:color w:val="000000" w:themeColor="text1"/>
          <w:szCs w:val="20"/>
          <w:lang w:val="cs-CZ" w:eastAsia="de-AT"/>
        </w:rPr>
        <w:t>V</w:t>
      </w:r>
      <w:r w:rsidRPr="0055589B">
        <w:rPr>
          <w:rFonts w:ascii="Arial" w:hAnsi="Arial" w:cs="Arial"/>
          <w:color w:val="000000" w:themeColor="text1"/>
          <w:szCs w:val="20"/>
          <w:lang w:val="cs-CZ" w:eastAsia="de-AT"/>
        </w:rPr>
        <w:t>ýboru pro odměňování týkající se této politiky j</w:t>
      </w:r>
      <w:r w:rsidR="00B05A31" w:rsidRPr="0055589B">
        <w:rPr>
          <w:rFonts w:ascii="Arial" w:hAnsi="Arial" w:cs="Arial"/>
          <w:color w:val="000000" w:themeColor="text1"/>
          <w:szCs w:val="20"/>
          <w:lang w:val="cs-CZ" w:eastAsia="de-AT"/>
        </w:rPr>
        <w:t>e</w:t>
      </w:r>
      <w:r w:rsidRPr="0055589B">
        <w:rPr>
          <w:rFonts w:ascii="Arial" w:hAnsi="Arial" w:cs="Arial"/>
          <w:color w:val="000000" w:themeColor="text1"/>
          <w:szCs w:val="20"/>
          <w:lang w:val="cs-CZ" w:eastAsia="de-AT"/>
        </w:rPr>
        <w:t xml:space="preserve"> popsán</w:t>
      </w:r>
      <w:r w:rsidR="00B05A31" w:rsidRPr="0055589B">
        <w:rPr>
          <w:rFonts w:ascii="Arial" w:hAnsi="Arial" w:cs="Arial"/>
          <w:color w:val="000000" w:themeColor="text1"/>
          <w:szCs w:val="20"/>
          <w:lang w:val="cs-CZ" w:eastAsia="de-AT"/>
        </w:rPr>
        <w:t>a</w:t>
      </w:r>
      <w:r w:rsidRPr="0055589B">
        <w:rPr>
          <w:rFonts w:ascii="Arial" w:hAnsi="Arial" w:cs="Arial"/>
          <w:color w:val="000000" w:themeColor="text1"/>
          <w:szCs w:val="20"/>
          <w:lang w:val="cs-CZ" w:eastAsia="de-AT"/>
        </w:rPr>
        <w:t xml:space="preserve"> v kapitole 5</w:t>
      </w:r>
      <w:r w:rsidR="00924810" w:rsidRPr="0055589B">
        <w:rPr>
          <w:rFonts w:ascii="Arial" w:hAnsi="Arial" w:cs="Arial"/>
          <w:color w:val="000000" w:themeColor="text1"/>
          <w:szCs w:val="20"/>
          <w:lang w:val="cs-CZ" w:eastAsia="de-AT"/>
        </w:rPr>
        <w:t xml:space="preserve"> a 6</w:t>
      </w:r>
      <w:r w:rsidRPr="0055589B">
        <w:rPr>
          <w:rFonts w:ascii="Arial" w:hAnsi="Arial" w:cs="Arial"/>
          <w:color w:val="000000" w:themeColor="text1"/>
          <w:szCs w:val="20"/>
          <w:lang w:val="cs-CZ" w:eastAsia="de-AT"/>
        </w:rPr>
        <w:t xml:space="preserve">. </w:t>
      </w:r>
    </w:p>
    <w:p w14:paraId="5D309A0C" w14:textId="0F84F986" w:rsidR="00224561" w:rsidRPr="0055589B" w:rsidRDefault="006033BF" w:rsidP="007F006A">
      <w:pPr>
        <w:spacing w:after="120" w:line="288" w:lineRule="auto"/>
        <w:jc w:val="both"/>
        <w:rPr>
          <w:rFonts w:ascii="Arial" w:eastAsia="Times New Roman" w:hAnsi="Arial" w:cs="Arial"/>
          <w:color w:val="000000" w:themeColor="text1"/>
          <w:szCs w:val="20"/>
          <w:lang w:val="cs-CZ" w:eastAsia="de-AT"/>
        </w:rPr>
      </w:pPr>
      <w:r w:rsidRPr="0055589B">
        <w:rPr>
          <w:rFonts w:ascii="Arial" w:hAnsi="Arial" w:cs="Arial"/>
          <w:color w:val="000000" w:themeColor="text1"/>
          <w:szCs w:val="20"/>
          <w:lang w:val="cs-CZ" w:eastAsia="de-AT"/>
        </w:rPr>
        <w:t>Obchodní úseky</w:t>
      </w:r>
      <w:r w:rsidR="00224561" w:rsidRPr="0055589B">
        <w:rPr>
          <w:rFonts w:ascii="Arial" w:hAnsi="Arial" w:cs="Arial"/>
          <w:color w:val="000000" w:themeColor="text1"/>
          <w:szCs w:val="20"/>
          <w:lang w:val="cs-CZ" w:eastAsia="de-AT"/>
        </w:rPr>
        <w:t xml:space="preserve"> jsou zodpovědné za </w:t>
      </w:r>
      <w:r w:rsidR="00D72310" w:rsidRPr="0055589B">
        <w:rPr>
          <w:rFonts w:ascii="Arial" w:hAnsi="Arial" w:cs="Arial"/>
          <w:color w:val="000000" w:themeColor="text1"/>
          <w:szCs w:val="20"/>
          <w:lang w:val="cs-CZ" w:eastAsia="de-AT"/>
        </w:rPr>
        <w:t xml:space="preserve">vytvoření </w:t>
      </w:r>
      <w:r w:rsidR="00224561" w:rsidRPr="0055589B">
        <w:rPr>
          <w:rFonts w:ascii="Arial" w:hAnsi="Arial" w:cs="Arial"/>
          <w:color w:val="000000" w:themeColor="text1"/>
          <w:szCs w:val="20"/>
          <w:lang w:val="cs-CZ" w:eastAsia="de-AT"/>
        </w:rPr>
        <w:t xml:space="preserve">variabilních systémů odměňování, pobídkových </w:t>
      </w:r>
      <w:r w:rsidR="00D72310" w:rsidRPr="0055589B">
        <w:rPr>
          <w:rFonts w:ascii="Arial" w:hAnsi="Arial" w:cs="Arial"/>
          <w:color w:val="000000" w:themeColor="text1"/>
          <w:szCs w:val="20"/>
          <w:lang w:val="cs-CZ" w:eastAsia="de-AT"/>
        </w:rPr>
        <w:t xml:space="preserve">systémů </w:t>
      </w:r>
      <w:r w:rsidR="00224561" w:rsidRPr="0055589B">
        <w:rPr>
          <w:rFonts w:ascii="Arial" w:hAnsi="Arial" w:cs="Arial"/>
          <w:color w:val="000000" w:themeColor="text1"/>
          <w:szCs w:val="20"/>
          <w:lang w:val="cs-CZ" w:eastAsia="de-AT"/>
        </w:rPr>
        <w:t>založených na provizích a maloobchod</w:t>
      </w:r>
      <w:r w:rsidR="00D72310" w:rsidRPr="0055589B">
        <w:rPr>
          <w:rFonts w:ascii="Arial" w:hAnsi="Arial" w:cs="Arial"/>
          <w:color w:val="000000" w:themeColor="text1"/>
          <w:szCs w:val="20"/>
          <w:lang w:val="cs-CZ" w:eastAsia="de-AT"/>
        </w:rPr>
        <w:t xml:space="preserve">ních pobídkových systémů, a to </w:t>
      </w:r>
      <w:r w:rsidRPr="0055589B">
        <w:rPr>
          <w:rFonts w:ascii="Arial" w:hAnsi="Arial" w:cs="Arial"/>
          <w:color w:val="000000" w:themeColor="text1"/>
          <w:szCs w:val="20"/>
          <w:lang w:val="cs-CZ" w:eastAsia="de-AT"/>
        </w:rPr>
        <w:t>ve spolupráci s oddělením</w:t>
      </w:r>
      <w:r w:rsidR="00D72310" w:rsidRPr="0055589B">
        <w:rPr>
          <w:rFonts w:ascii="Arial" w:hAnsi="Arial" w:cs="Arial"/>
          <w:color w:val="000000" w:themeColor="text1"/>
          <w:szCs w:val="20"/>
          <w:lang w:val="cs-CZ" w:eastAsia="de-AT"/>
        </w:rPr>
        <w:t xml:space="preserve"> </w:t>
      </w:r>
      <w:r w:rsidR="00224561" w:rsidRPr="0055589B">
        <w:rPr>
          <w:rFonts w:ascii="Arial" w:hAnsi="Arial" w:cs="Arial"/>
          <w:color w:val="000000" w:themeColor="text1"/>
          <w:szCs w:val="20"/>
          <w:lang w:val="cs-CZ" w:eastAsia="de-AT"/>
        </w:rPr>
        <w:t>lidský</w:t>
      </w:r>
      <w:r w:rsidR="00D72310" w:rsidRPr="0055589B">
        <w:rPr>
          <w:rFonts w:ascii="Arial" w:hAnsi="Arial" w:cs="Arial"/>
          <w:color w:val="000000" w:themeColor="text1"/>
          <w:szCs w:val="20"/>
          <w:lang w:val="cs-CZ" w:eastAsia="de-AT"/>
        </w:rPr>
        <w:t>ch</w:t>
      </w:r>
      <w:r w:rsidR="00224561" w:rsidRPr="0055589B">
        <w:rPr>
          <w:rFonts w:ascii="Arial" w:hAnsi="Arial" w:cs="Arial"/>
          <w:color w:val="000000" w:themeColor="text1"/>
          <w:szCs w:val="20"/>
          <w:lang w:val="cs-CZ" w:eastAsia="de-AT"/>
        </w:rPr>
        <w:t xml:space="preserve"> zdroj</w:t>
      </w:r>
      <w:r w:rsidR="00D72310" w:rsidRPr="0055589B">
        <w:rPr>
          <w:rFonts w:ascii="Arial" w:hAnsi="Arial" w:cs="Arial"/>
          <w:color w:val="000000" w:themeColor="text1"/>
          <w:szCs w:val="20"/>
          <w:lang w:val="cs-CZ" w:eastAsia="de-AT"/>
        </w:rPr>
        <w:t>ů</w:t>
      </w:r>
      <w:r w:rsidR="00224561" w:rsidRPr="0055589B">
        <w:rPr>
          <w:rFonts w:ascii="Arial" w:hAnsi="Arial" w:cs="Arial"/>
          <w:color w:val="000000" w:themeColor="text1"/>
          <w:szCs w:val="20"/>
          <w:lang w:val="cs-CZ" w:eastAsia="de-AT"/>
        </w:rPr>
        <w:t xml:space="preserve"> a funkcemi Compliance</w:t>
      </w:r>
      <w:r w:rsidR="00D72310" w:rsidRPr="0055589B">
        <w:rPr>
          <w:rFonts w:ascii="Arial" w:hAnsi="Arial" w:cs="Arial"/>
          <w:color w:val="000000" w:themeColor="text1"/>
          <w:szCs w:val="20"/>
          <w:lang w:val="cs-CZ" w:eastAsia="de-AT"/>
        </w:rPr>
        <w:t xml:space="preserve"> a v souladu s jejich postupy</w:t>
      </w:r>
      <w:r w:rsidR="00224561" w:rsidRPr="0055589B">
        <w:rPr>
          <w:rFonts w:ascii="Arial" w:hAnsi="Arial" w:cs="Arial"/>
          <w:color w:val="000000" w:themeColor="text1"/>
          <w:szCs w:val="20"/>
          <w:lang w:val="cs-CZ" w:eastAsia="de-AT"/>
        </w:rPr>
        <w:t>.</w:t>
      </w:r>
    </w:p>
    <w:p w14:paraId="2C92B1AD" w14:textId="4D776610" w:rsidR="00224561" w:rsidRPr="0055589B" w:rsidRDefault="006033BF" w:rsidP="007F006A">
      <w:pPr>
        <w:spacing w:after="120" w:line="288" w:lineRule="auto"/>
        <w:jc w:val="both"/>
        <w:rPr>
          <w:rFonts w:ascii="Arial" w:eastAsia="Times New Roman" w:hAnsi="Arial" w:cs="Arial"/>
          <w:color w:val="000000" w:themeColor="text1"/>
          <w:szCs w:val="20"/>
          <w:lang w:val="cs-CZ" w:eastAsia="de-AT"/>
        </w:rPr>
      </w:pPr>
      <w:r w:rsidRPr="0055589B">
        <w:rPr>
          <w:rFonts w:ascii="Arial" w:hAnsi="Arial" w:cs="Arial"/>
          <w:color w:val="000000" w:themeColor="text1"/>
          <w:szCs w:val="20"/>
          <w:lang w:val="cs-CZ" w:eastAsia="de-AT"/>
        </w:rPr>
        <w:t>Návrh objemu</w:t>
      </w:r>
      <w:r w:rsidR="00D72310" w:rsidRPr="0055589B">
        <w:rPr>
          <w:rFonts w:ascii="Arial" w:hAnsi="Arial" w:cs="Arial"/>
          <w:color w:val="000000" w:themeColor="text1"/>
          <w:szCs w:val="20"/>
          <w:lang w:val="cs-CZ" w:eastAsia="de-AT"/>
        </w:rPr>
        <w:t xml:space="preserve"> </w:t>
      </w:r>
      <w:r w:rsidR="00224561" w:rsidRPr="0055589B">
        <w:rPr>
          <w:rFonts w:ascii="Arial" w:hAnsi="Arial" w:cs="Arial"/>
          <w:color w:val="000000" w:themeColor="text1"/>
          <w:szCs w:val="20"/>
          <w:lang w:val="cs-CZ" w:eastAsia="de-AT"/>
        </w:rPr>
        <w:t>bonus</w:t>
      </w:r>
      <w:r w:rsidR="00D72310" w:rsidRPr="0055589B">
        <w:rPr>
          <w:rFonts w:ascii="Arial" w:hAnsi="Arial" w:cs="Arial"/>
          <w:color w:val="000000" w:themeColor="text1"/>
          <w:szCs w:val="20"/>
          <w:lang w:val="cs-CZ" w:eastAsia="de-AT"/>
        </w:rPr>
        <w:t xml:space="preserve">ů ve Společnosti je povinností oddělení </w:t>
      </w:r>
      <w:r w:rsidR="00224561" w:rsidRPr="0055589B">
        <w:rPr>
          <w:rFonts w:ascii="Arial" w:hAnsi="Arial" w:cs="Arial"/>
          <w:color w:val="000000" w:themeColor="text1"/>
          <w:szCs w:val="20"/>
          <w:lang w:val="cs-CZ" w:eastAsia="de-AT"/>
        </w:rPr>
        <w:t xml:space="preserve">lidských zdrojů. </w:t>
      </w:r>
      <w:r w:rsidR="008C4408" w:rsidRPr="0055589B">
        <w:rPr>
          <w:rFonts w:ascii="Arial" w:hAnsi="Arial" w:cs="Arial"/>
          <w:color w:val="000000" w:themeColor="text1"/>
          <w:szCs w:val="20"/>
          <w:lang w:val="cs-CZ" w:eastAsia="de-AT"/>
        </w:rPr>
        <w:t xml:space="preserve">Představenstvo </w:t>
      </w:r>
      <w:r w:rsidR="00224561" w:rsidRPr="0055589B">
        <w:rPr>
          <w:rFonts w:ascii="Arial" w:hAnsi="Arial" w:cs="Arial"/>
          <w:color w:val="000000" w:themeColor="text1"/>
          <w:szCs w:val="20"/>
          <w:lang w:val="cs-CZ" w:eastAsia="de-AT"/>
        </w:rPr>
        <w:t xml:space="preserve">schvaluje konečnou </w:t>
      </w:r>
      <w:r w:rsidR="008C4408" w:rsidRPr="0055589B">
        <w:rPr>
          <w:rFonts w:ascii="Arial" w:hAnsi="Arial" w:cs="Arial"/>
          <w:color w:val="000000" w:themeColor="text1"/>
          <w:szCs w:val="20"/>
          <w:lang w:val="cs-CZ" w:eastAsia="de-AT"/>
        </w:rPr>
        <w:t>výši</w:t>
      </w:r>
      <w:r w:rsidR="00224561" w:rsidRPr="0055589B">
        <w:rPr>
          <w:rFonts w:ascii="Arial" w:hAnsi="Arial" w:cs="Arial"/>
          <w:color w:val="000000" w:themeColor="text1"/>
          <w:szCs w:val="20"/>
          <w:lang w:val="cs-CZ" w:eastAsia="de-AT"/>
        </w:rPr>
        <w:t xml:space="preserve"> bonusového fondu.</w:t>
      </w:r>
    </w:p>
    <w:p w14:paraId="12B7023B" w14:textId="73F459F2" w:rsidR="00224561" w:rsidRPr="0055589B" w:rsidRDefault="008C4408" w:rsidP="007F006A">
      <w:pPr>
        <w:spacing w:after="120" w:line="288" w:lineRule="auto"/>
        <w:jc w:val="both"/>
        <w:rPr>
          <w:rFonts w:ascii="Arial" w:eastAsia="Times New Roman" w:hAnsi="Arial" w:cs="Arial"/>
          <w:color w:val="000000" w:themeColor="text1"/>
          <w:szCs w:val="20"/>
          <w:lang w:val="cs-CZ" w:eastAsia="de-AT"/>
        </w:rPr>
      </w:pPr>
      <w:r w:rsidRPr="0055589B">
        <w:rPr>
          <w:rFonts w:ascii="Arial" w:hAnsi="Arial" w:cs="Arial"/>
          <w:color w:val="000000" w:themeColor="text1"/>
          <w:szCs w:val="20"/>
          <w:lang w:val="cs-CZ" w:eastAsia="de-AT"/>
        </w:rPr>
        <w:t>Představenstvo</w:t>
      </w:r>
      <w:r w:rsidR="00224561" w:rsidRPr="0055589B">
        <w:rPr>
          <w:rFonts w:ascii="Arial" w:hAnsi="Arial" w:cs="Arial"/>
          <w:color w:val="000000" w:themeColor="text1"/>
          <w:szCs w:val="20"/>
          <w:lang w:val="cs-CZ" w:eastAsia="de-AT"/>
        </w:rPr>
        <w:t xml:space="preserve"> určuje </w:t>
      </w:r>
      <w:r w:rsidR="005A154A" w:rsidRPr="0055589B">
        <w:rPr>
          <w:rFonts w:ascii="Arial" w:hAnsi="Arial" w:cs="Arial"/>
          <w:color w:val="000000" w:themeColor="text1"/>
          <w:szCs w:val="20"/>
          <w:lang w:val="cs-CZ" w:eastAsia="de-AT"/>
        </w:rPr>
        <w:t xml:space="preserve">cíle jednotlivých rolí, spolu se členy </w:t>
      </w:r>
      <w:r w:rsidR="008159B7" w:rsidRPr="0055589B">
        <w:rPr>
          <w:rFonts w:ascii="Arial" w:hAnsi="Arial" w:cs="Arial"/>
          <w:color w:val="000000" w:themeColor="text1"/>
          <w:szCs w:val="20"/>
          <w:lang w:val="cs-CZ" w:eastAsia="de-AT"/>
        </w:rPr>
        <w:t>V</w:t>
      </w:r>
      <w:r w:rsidR="005A154A" w:rsidRPr="0055589B">
        <w:rPr>
          <w:rFonts w:ascii="Arial" w:hAnsi="Arial" w:cs="Arial"/>
          <w:color w:val="000000" w:themeColor="text1"/>
          <w:szCs w:val="20"/>
          <w:lang w:val="cs-CZ" w:eastAsia="de-AT"/>
        </w:rPr>
        <w:t>ýboru pro odměňování schvaluje vyplněné individuální výkonnostní skórovací karty, stanoví dohody o výkonnosti spolu s</w:t>
      </w:r>
      <w:r w:rsidR="00224561" w:rsidRPr="0055589B">
        <w:rPr>
          <w:rFonts w:ascii="Arial" w:hAnsi="Arial" w:cs="Arial"/>
          <w:color w:val="000000" w:themeColor="text1"/>
          <w:szCs w:val="20"/>
          <w:lang w:val="cs-CZ" w:eastAsia="de-AT"/>
        </w:rPr>
        <w:t xml:space="preserve"> přímými </w:t>
      </w:r>
      <w:r w:rsidR="00224561" w:rsidRPr="0055589B">
        <w:rPr>
          <w:rFonts w:ascii="Arial" w:hAnsi="Arial" w:cs="Arial"/>
          <w:color w:val="000000" w:themeColor="text1"/>
          <w:szCs w:val="20"/>
          <w:lang w:val="cs-CZ" w:eastAsia="de-AT"/>
        </w:rPr>
        <w:lastRenderedPageBreak/>
        <w:t>podřízenými a hodnotí výkon</w:t>
      </w:r>
      <w:r w:rsidR="005A154A" w:rsidRPr="0055589B">
        <w:rPr>
          <w:rFonts w:ascii="Arial" w:hAnsi="Arial" w:cs="Arial"/>
          <w:color w:val="000000" w:themeColor="text1"/>
          <w:szCs w:val="20"/>
          <w:lang w:val="cs-CZ" w:eastAsia="de-AT"/>
        </w:rPr>
        <w:t>y</w:t>
      </w:r>
      <w:r w:rsidR="00224561" w:rsidRPr="0055589B">
        <w:rPr>
          <w:rFonts w:ascii="Arial" w:hAnsi="Arial" w:cs="Arial"/>
          <w:color w:val="000000" w:themeColor="text1"/>
          <w:szCs w:val="20"/>
          <w:lang w:val="cs-CZ" w:eastAsia="de-AT"/>
        </w:rPr>
        <w:t xml:space="preserve"> podřízen</w:t>
      </w:r>
      <w:r w:rsidR="005A154A" w:rsidRPr="0055589B">
        <w:rPr>
          <w:rFonts w:ascii="Arial" w:hAnsi="Arial" w:cs="Arial"/>
          <w:color w:val="000000" w:themeColor="text1"/>
          <w:szCs w:val="20"/>
          <w:lang w:val="cs-CZ" w:eastAsia="de-AT"/>
        </w:rPr>
        <w:t>ých</w:t>
      </w:r>
      <w:r w:rsidR="00224561" w:rsidRPr="0055589B">
        <w:rPr>
          <w:rFonts w:ascii="Arial" w:hAnsi="Arial" w:cs="Arial"/>
          <w:color w:val="000000" w:themeColor="text1"/>
          <w:szCs w:val="20"/>
          <w:lang w:val="cs-CZ" w:eastAsia="de-AT"/>
        </w:rPr>
        <w:t xml:space="preserve"> prostřednictvím zpětné vazby </w:t>
      </w:r>
      <w:r w:rsidR="0086783A" w:rsidRPr="0055589B">
        <w:rPr>
          <w:rFonts w:ascii="Arial" w:hAnsi="Arial" w:cs="Arial"/>
          <w:color w:val="000000" w:themeColor="text1"/>
          <w:szCs w:val="20"/>
          <w:lang w:val="cs-CZ" w:eastAsia="de-AT"/>
        </w:rPr>
        <w:t>z</w:t>
      </w:r>
      <w:r w:rsidR="00224561" w:rsidRPr="0055589B">
        <w:rPr>
          <w:rFonts w:ascii="Arial" w:hAnsi="Arial" w:cs="Arial"/>
          <w:color w:val="000000" w:themeColor="text1"/>
          <w:szCs w:val="20"/>
          <w:lang w:val="cs-CZ" w:eastAsia="de-AT"/>
        </w:rPr>
        <w:t xml:space="preserve"> více zdroj</w:t>
      </w:r>
      <w:r w:rsidR="005A154A" w:rsidRPr="0055589B">
        <w:rPr>
          <w:rFonts w:ascii="Arial" w:hAnsi="Arial" w:cs="Arial"/>
          <w:color w:val="000000" w:themeColor="text1"/>
          <w:szCs w:val="20"/>
          <w:lang w:val="cs-CZ" w:eastAsia="de-AT"/>
        </w:rPr>
        <w:t>ů</w:t>
      </w:r>
      <w:r w:rsidR="00224561" w:rsidRPr="0055589B">
        <w:rPr>
          <w:rFonts w:ascii="Arial" w:hAnsi="Arial" w:cs="Arial"/>
          <w:color w:val="000000" w:themeColor="text1"/>
          <w:szCs w:val="20"/>
          <w:lang w:val="cs-CZ" w:eastAsia="de-AT"/>
        </w:rPr>
        <w:t xml:space="preserve">. </w:t>
      </w:r>
      <w:r w:rsidR="0029310A" w:rsidRPr="0055589B">
        <w:rPr>
          <w:rFonts w:ascii="Arial" w:hAnsi="Arial" w:cs="Arial"/>
          <w:color w:val="000000" w:themeColor="text1"/>
          <w:szCs w:val="20"/>
          <w:lang w:val="cs-CZ" w:eastAsia="de-AT"/>
        </w:rPr>
        <w:t>Oddělení lidských zdrojů poskytuje v rámci p</w:t>
      </w:r>
      <w:r w:rsidR="00224561" w:rsidRPr="0055589B">
        <w:rPr>
          <w:rFonts w:ascii="Arial" w:hAnsi="Arial" w:cs="Arial"/>
          <w:color w:val="000000" w:themeColor="text1"/>
          <w:szCs w:val="20"/>
          <w:lang w:val="cs-CZ" w:eastAsia="de-AT"/>
        </w:rPr>
        <w:t>roces</w:t>
      </w:r>
      <w:r w:rsidR="0029310A" w:rsidRPr="0055589B">
        <w:rPr>
          <w:rFonts w:ascii="Arial" w:hAnsi="Arial" w:cs="Arial"/>
          <w:color w:val="000000" w:themeColor="text1"/>
          <w:szCs w:val="20"/>
          <w:lang w:val="cs-CZ" w:eastAsia="de-AT"/>
        </w:rPr>
        <w:t>u</w:t>
      </w:r>
      <w:r w:rsidR="00224561" w:rsidRPr="0055589B">
        <w:rPr>
          <w:rFonts w:ascii="Arial" w:hAnsi="Arial" w:cs="Arial"/>
          <w:color w:val="000000" w:themeColor="text1"/>
          <w:szCs w:val="20"/>
          <w:lang w:val="cs-CZ" w:eastAsia="de-AT"/>
        </w:rPr>
        <w:t xml:space="preserve"> stanovení cílů výkonnosti </w:t>
      </w:r>
      <w:r w:rsidR="005A154A" w:rsidRPr="0055589B">
        <w:rPr>
          <w:rFonts w:ascii="Arial" w:hAnsi="Arial" w:cs="Arial"/>
          <w:color w:val="000000" w:themeColor="text1"/>
          <w:szCs w:val="20"/>
          <w:lang w:val="cs-CZ" w:eastAsia="de-AT"/>
        </w:rPr>
        <w:t>p</w:t>
      </w:r>
      <w:r w:rsidR="0029310A" w:rsidRPr="0055589B">
        <w:rPr>
          <w:rFonts w:ascii="Arial" w:hAnsi="Arial" w:cs="Arial"/>
          <w:color w:val="000000" w:themeColor="text1"/>
          <w:szCs w:val="20"/>
          <w:lang w:val="cs-CZ" w:eastAsia="de-AT"/>
        </w:rPr>
        <w:t>odporu</w:t>
      </w:r>
      <w:r w:rsidR="005A154A" w:rsidRPr="0055589B">
        <w:rPr>
          <w:rFonts w:ascii="Arial" w:hAnsi="Arial" w:cs="Arial"/>
          <w:color w:val="000000" w:themeColor="text1"/>
          <w:szCs w:val="20"/>
          <w:lang w:val="cs-CZ" w:eastAsia="de-AT"/>
        </w:rPr>
        <w:t xml:space="preserve">.  </w:t>
      </w:r>
    </w:p>
    <w:p w14:paraId="11DD56BF" w14:textId="55A119FC" w:rsidR="00224561" w:rsidRPr="0055589B" w:rsidRDefault="00F9687F" w:rsidP="007F006A">
      <w:pPr>
        <w:spacing w:after="120" w:line="288" w:lineRule="auto"/>
        <w:jc w:val="both"/>
        <w:rPr>
          <w:rFonts w:ascii="Arial" w:eastAsia="Times New Roman" w:hAnsi="Arial" w:cs="Arial"/>
          <w:color w:val="000000" w:themeColor="text1"/>
          <w:szCs w:val="20"/>
          <w:lang w:val="cs-CZ" w:eastAsia="de-AT"/>
        </w:rPr>
      </w:pPr>
      <w:r w:rsidRPr="0055589B">
        <w:rPr>
          <w:rFonts w:ascii="Arial" w:hAnsi="Arial" w:cs="Arial"/>
          <w:color w:val="000000" w:themeColor="text1"/>
          <w:szCs w:val="20"/>
          <w:lang w:val="cs-CZ" w:eastAsia="de-AT"/>
        </w:rPr>
        <w:t xml:space="preserve">Rozhodnutí o malusu a krácení bonusů přijímá v každém jednotlivém případě </w:t>
      </w:r>
      <w:r w:rsidR="007E4DE3" w:rsidRPr="0055589B">
        <w:rPr>
          <w:rFonts w:ascii="Arial" w:hAnsi="Arial" w:cs="Arial"/>
          <w:color w:val="000000" w:themeColor="text1"/>
          <w:szCs w:val="20"/>
          <w:lang w:val="cs-CZ" w:eastAsia="de-AT"/>
        </w:rPr>
        <w:t>Představenst</w:t>
      </w:r>
      <w:r w:rsidRPr="0055589B">
        <w:rPr>
          <w:rFonts w:ascii="Arial" w:hAnsi="Arial" w:cs="Arial"/>
          <w:color w:val="000000" w:themeColor="text1"/>
          <w:szCs w:val="20"/>
          <w:lang w:val="cs-CZ" w:eastAsia="de-AT"/>
        </w:rPr>
        <w:t xml:space="preserve">vo, oddělení </w:t>
      </w:r>
      <w:r w:rsidR="00224561" w:rsidRPr="0055589B">
        <w:rPr>
          <w:rFonts w:ascii="Arial" w:hAnsi="Arial" w:cs="Arial"/>
          <w:color w:val="000000" w:themeColor="text1"/>
          <w:szCs w:val="20"/>
          <w:lang w:val="cs-CZ" w:eastAsia="de-AT"/>
        </w:rPr>
        <w:t xml:space="preserve">lidských zdrojů a </w:t>
      </w:r>
      <w:r w:rsidRPr="0055589B">
        <w:rPr>
          <w:rFonts w:ascii="Arial" w:hAnsi="Arial" w:cs="Arial"/>
          <w:color w:val="000000" w:themeColor="text1"/>
          <w:szCs w:val="20"/>
          <w:lang w:val="cs-CZ" w:eastAsia="de-AT"/>
        </w:rPr>
        <w:t>complian</w:t>
      </w:r>
      <w:r w:rsidR="00560BD9" w:rsidRPr="0055589B">
        <w:rPr>
          <w:rFonts w:ascii="Arial" w:hAnsi="Arial" w:cs="Arial"/>
          <w:color w:val="000000" w:themeColor="text1"/>
          <w:szCs w:val="20"/>
          <w:lang w:val="cs-CZ" w:eastAsia="de-AT"/>
        </w:rPr>
        <w:t>c</w:t>
      </w:r>
      <w:r w:rsidRPr="0055589B">
        <w:rPr>
          <w:rFonts w:ascii="Arial" w:hAnsi="Arial" w:cs="Arial"/>
          <w:color w:val="000000" w:themeColor="text1"/>
          <w:szCs w:val="20"/>
          <w:lang w:val="cs-CZ" w:eastAsia="de-AT"/>
        </w:rPr>
        <w:t xml:space="preserve">e.  </w:t>
      </w:r>
      <w:r w:rsidR="00224561" w:rsidRPr="0055589B">
        <w:rPr>
          <w:rFonts w:ascii="Arial" w:hAnsi="Arial" w:cs="Arial"/>
          <w:color w:val="000000" w:themeColor="text1"/>
          <w:szCs w:val="20"/>
          <w:lang w:val="cs-CZ" w:eastAsia="de-AT"/>
        </w:rPr>
        <w:t xml:space="preserve">Ve zvláštních případech může být zapojen </w:t>
      </w:r>
      <w:r w:rsidR="00560BD9" w:rsidRPr="0055589B">
        <w:rPr>
          <w:rFonts w:ascii="Arial" w:hAnsi="Arial" w:cs="Arial"/>
          <w:color w:val="000000" w:themeColor="text1"/>
          <w:szCs w:val="20"/>
          <w:lang w:val="cs-CZ" w:eastAsia="de-AT"/>
        </w:rPr>
        <w:t>rovněž V</w:t>
      </w:r>
      <w:r w:rsidR="00224561" w:rsidRPr="0055589B">
        <w:rPr>
          <w:rFonts w:ascii="Arial" w:hAnsi="Arial" w:cs="Arial"/>
          <w:color w:val="000000" w:themeColor="text1"/>
          <w:szCs w:val="20"/>
          <w:lang w:val="cs-CZ" w:eastAsia="de-AT"/>
        </w:rPr>
        <w:t xml:space="preserve">ýbor pro odměňování. </w:t>
      </w:r>
    </w:p>
    <w:p w14:paraId="73559189" w14:textId="6209D896" w:rsidR="00224561" w:rsidRPr="0055589B" w:rsidRDefault="00224561" w:rsidP="007F006A">
      <w:pPr>
        <w:spacing w:after="120" w:line="288" w:lineRule="auto"/>
        <w:jc w:val="both"/>
        <w:rPr>
          <w:rFonts w:ascii="Arial" w:hAnsi="Arial" w:cs="Arial"/>
          <w:color w:val="000000" w:themeColor="text1"/>
          <w:szCs w:val="20"/>
          <w:lang w:val="cs-CZ" w:eastAsia="de-AT"/>
        </w:rPr>
      </w:pPr>
      <w:r w:rsidRPr="0055589B">
        <w:rPr>
          <w:rFonts w:ascii="Arial" w:hAnsi="Arial" w:cs="Arial"/>
          <w:color w:val="000000" w:themeColor="text1"/>
          <w:szCs w:val="20"/>
          <w:lang w:val="cs-CZ" w:eastAsia="de-AT"/>
        </w:rPr>
        <w:t xml:space="preserve">Identifikace zaměstnanců, </w:t>
      </w:r>
      <w:r w:rsidR="00FC6A17" w:rsidRPr="0055589B">
        <w:rPr>
          <w:rFonts w:ascii="Arial" w:hAnsi="Arial" w:cs="Arial"/>
          <w:color w:val="000000" w:themeColor="text1"/>
          <w:szCs w:val="20"/>
          <w:lang w:val="cs-CZ" w:eastAsia="de-AT"/>
        </w:rPr>
        <w:t xml:space="preserve">jichž se rizika týkají především, je </w:t>
      </w:r>
      <w:r w:rsidRPr="0055589B">
        <w:rPr>
          <w:rFonts w:ascii="Arial" w:hAnsi="Arial" w:cs="Arial"/>
          <w:color w:val="000000" w:themeColor="text1"/>
          <w:szCs w:val="20"/>
          <w:lang w:val="cs-CZ" w:eastAsia="de-AT"/>
        </w:rPr>
        <w:t>koordinována lidskými zdroji ve spolupráci s</w:t>
      </w:r>
      <w:r w:rsidR="0047230E" w:rsidRPr="0055589B">
        <w:rPr>
          <w:rFonts w:ascii="Arial" w:hAnsi="Arial" w:cs="Arial"/>
          <w:color w:val="000000" w:themeColor="text1"/>
          <w:szCs w:val="20"/>
          <w:lang w:val="cs-CZ" w:eastAsia="de-AT"/>
        </w:rPr>
        <w:t> </w:t>
      </w:r>
      <w:r w:rsidRPr="0055589B">
        <w:rPr>
          <w:rFonts w:ascii="Arial" w:hAnsi="Arial" w:cs="Arial"/>
          <w:color w:val="000000" w:themeColor="text1"/>
          <w:szCs w:val="20"/>
          <w:lang w:val="cs-CZ" w:eastAsia="de-AT"/>
        </w:rPr>
        <w:t>obchodní</w:t>
      </w:r>
      <w:r w:rsidR="0047230E" w:rsidRPr="0055589B">
        <w:rPr>
          <w:rFonts w:ascii="Arial" w:hAnsi="Arial" w:cs="Arial"/>
          <w:color w:val="000000" w:themeColor="text1"/>
          <w:szCs w:val="20"/>
          <w:lang w:val="cs-CZ" w:eastAsia="de-AT"/>
        </w:rPr>
        <w:t xml:space="preserve"> a </w:t>
      </w:r>
      <w:r w:rsidRPr="0055589B">
        <w:rPr>
          <w:rFonts w:ascii="Arial" w:hAnsi="Arial" w:cs="Arial"/>
          <w:color w:val="000000" w:themeColor="text1"/>
          <w:szCs w:val="20"/>
          <w:lang w:val="cs-CZ" w:eastAsia="de-AT"/>
        </w:rPr>
        <w:t>právní</w:t>
      </w:r>
      <w:r w:rsidR="0047230E" w:rsidRPr="0055589B">
        <w:rPr>
          <w:rFonts w:ascii="Arial" w:hAnsi="Arial" w:cs="Arial"/>
          <w:color w:val="000000" w:themeColor="text1"/>
          <w:szCs w:val="20"/>
          <w:lang w:val="cs-CZ" w:eastAsia="de-AT"/>
        </w:rPr>
        <w:t xml:space="preserve"> funkcí a s řízením rizik.</w:t>
      </w:r>
    </w:p>
    <w:p w14:paraId="3F95F34E" w14:textId="77777777" w:rsidR="00924810" w:rsidRPr="0055589B" w:rsidRDefault="00924810" w:rsidP="00924810">
      <w:pPr>
        <w:spacing w:after="0" w:line="288" w:lineRule="auto"/>
        <w:jc w:val="both"/>
        <w:rPr>
          <w:rFonts w:ascii="Arial" w:eastAsia="Times New Roman" w:hAnsi="Arial" w:cs="Arial"/>
          <w:color w:val="000000" w:themeColor="text1"/>
          <w:szCs w:val="20"/>
          <w:lang w:val="cs-CZ" w:eastAsia="de-AT"/>
        </w:rPr>
      </w:pPr>
    </w:p>
    <w:p w14:paraId="56532C7C" w14:textId="7C018F0E" w:rsidR="00224561" w:rsidRPr="0055589B" w:rsidRDefault="00647533" w:rsidP="00694A20">
      <w:pPr>
        <w:pStyle w:val="Nadpis1"/>
        <w:rPr>
          <w:color w:val="000000" w:themeColor="text1"/>
          <w:lang w:val="cs-CZ"/>
        </w:rPr>
      </w:pPr>
      <w:bookmarkStart w:id="5" w:name="_Toc108689191"/>
      <w:r w:rsidRPr="0055589B">
        <w:rPr>
          <w:color w:val="000000" w:themeColor="text1"/>
          <w:lang w:val="cs-CZ"/>
        </w:rPr>
        <w:t>Působnost</w:t>
      </w:r>
      <w:bookmarkEnd w:id="5"/>
      <w:r w:rsidRPr="0055589B">
        <w:rPr>
          <w:color w:val="000000" w:themeColor="text1"/>
          <w:lang w:val="cs-CZ"/>
        </w:rPr>
        <w:t xml:space="preserve"> </w:t>
      </w:r>
    </w:p>
    <w:p w14:paraId="4FDE699D" w14:textId="62DA0099" w:rsidR="00224561" w:rsidRPr="0055589B" w:rsidRDefault="00224561" w:rsidP="006033BF">
      <w:pPr>
        <w:pStyle w:val="Nadpis2"/>
        <w:rPr>
          <w:color w:val="000000" w:themeColor="text1"/>
          <w:lang w:val="cs-CZ"/>
        </w:rPr>
      </w:pPr>
      <w:bookmarkStart w:id="6" w:name="_Toc108689192"/>
      <w:r w:rsidRPr="0055589B">
        <w:rPr>
          <w:color w:val="000000" w:themeColor="text1"/>
          <w:lang w:val="cs-CZ"/>
        </w:rPr>
        <w:t>Společnost</w:t>
      </w:r>
      <w:bookmarkEnd w:id="6"/>
    </w:p>
    <w:p w14:paraId="22867A56" w14:textId="08E66369"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Tato politika odměňování se vztahuje na </w:t>
      </w:r>
      <w:r w:rsidR="006C742E"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polečnost a její pobočky.</w:t>
      </w:r>
    </w:p>
    <w:p w14:paraId="1C1007F7" w14:textId="590DD130" w:rsidR="00224561" w:rsidRPr="0055589B" w:rsidRDefault="005401C8" w:rsidP="006033BF">
      <w:pPr>
        <w:pStyle w:val="Nadpis2"/>
        <w:rPr>
          <w:rFonts w:eastAsia="Times New Roman"/>
          <w:color w:val="000000" w:themeColor="text1"/>
          <w:lang w:val="cs-CZ"/>
        </w:rPr>
      </w:pPr>
      <w:bookmarkStart w:id="7" w:name="_Toc108689193"/>
      <w:r w:rsidRPr="0055589B">
        <w:rPr>
          <w:color w:val="000000" w:themeColor="text1"/>
          <w:lang w:val="cs-CZ"/>
        </w:rPr>
        <w:t>Pracovníci, kteří podstupují největší rizika</w:t>
      </w:r>
      <w:bookmarkEnd w:id="7"/>
      <w:r w:rsidRPr="0055589B">
        <w:rPr>
          <w:color w:val="000000" w:themeColor="text1"/>
          <w:lang w:val="cs-CZ"/>
        </w:rPr>
        <w:t xml:space="preserve"> </w:t>
      </w:r>
      <w:r w:rsidR="007F006A" w:rsidRPr="0055589B">
        <w:rPr>
          <w:color w:val="000000" w:themeColor="text1"/>
          <w:lang w:val="cs-CZ"/>
        </w:rPr>
        <w:t xml:space="preserve"> </w:t>
      </w:r>
    </w:p>
    <w:p w14:paraId="0260A21A" w14:textId="77777777" w:rsidR="00510BF9" w:rsidRPr="0055589B" w:rsidRDefault="00510BF9" w:rsidP="00510BF9">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Tato Politika odměňování se vztahuje na všechny zaměstnance a představenstvo Společnosti a na všechny typy odměn vyplácené Společností, na veškeré částky vyplácené přímo UCITS a/nebo AIF, včetně převedených úroků a poplatků za výkonnost, a na veškeré převody jednotek nebo akcií v UCITS a/nebo AIF ve prospěch těch kategorií pracovníků, včetně všech členů představenstva, vrcholového vedení, zaměstnanců dotčených riziky, zaměstnanců s kontrolní funkcí a zaměstnanců, kteří jsou ve stejné platové třídě jako členové představenstva a zaměstnanci dotčení riziky vzhledem k jejich celkové odměně a jejichž činnost má podstatný vliv na rizikový profil Společnosti nebo UCITS a/nebo AIF spravovaných Společností.</w:t>
      </w:r>
    </w:p>
    <w:p w14:paraId="5037825B" w14:textId="77777777" w:rsidR="00510BF9" w:rsidRPr="0055589B" w:rsidRDefault="00510BF9" w:rsidP="00510BF9">
      <w:pPr>
        <w:spacing w:after="120" w:line="276" w:lineRule="auto"/>
        <w:jc w:val="both"/>
        <w:rPr>
          <w:rFonts w:ascii="Arial" w:hAnsi="Arial" w:cs="Arial"/>
          <w:color w:val="000000" w:themeColor="text1"/>
          <w:szCs w:val="24"/>
          <w:lang w:val="cs-CZ" w:eastAsia="de-AT"/>
        </w:rPr>
      </w:pPr>
    </w:p>
    <w:p w14:paraId="7C90BEC4" w14:textId="77777777" w:rsidR="00510BF9" w:rsidRPr="0055589B" w:rsidRDefault="00510BF9" w:rsidP="00510BF9">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Za účelem aplikace specifických zásad odměňování Společnost definuje své zaměstnance dotčené riziky takto („Zaměstnanci dotčení riziky“): </w:t>
      </w:r>
    </w:p>
    <w:p w14:paraId="57F350A6" w14:textId="493DD8B8" w:rsidR="00510BF9" w:rsidRPr="0055589B" w:rsidRDefault="00510BF9" w:rsidP="0055589B">
      <w:pPr>
        <w:pStyle w:val="Odstavecseseznamem"/>
        <w:numPr>
          <w:ilvl w:val="0"/>
          <w:numId w:val="28"/>
        </w:numPr>
        <w:spacing w:after="120" w:line="276" w:lineRule="auto"/>
        <w:ind w:left="426" w:hanging="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Všichni členové představenstva;</w:t>
      </w:r>
    </w:p>
    <w:p w14:paraId="0911C1AE" w14:textId="7D059BEC" w:rsidR="00174E55" w:rsidRPr="0055589B" w:rsidRDefault="00174E55" w:rsidP="0055589B">
      <w:pPr>
        <w:pStyle w:val="Odstavecseseznamem"/>
        <w:numPr>
          <w:ilvl w:val="0"/>
          <w:numId w:val="28"/>
        </w:numPr>
        <w:spacing w:after="120" w:line="276" w:lineRule="auto"/>
        <w:ind w:left="426" w:hanging="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Všichni členové dozorčí rady</w:t>
      </w:r>
    </w:p>
    <w:p w14:paraId="2C69DC6D" w14:textId="5B30AE19" w:rsidR="00510BF9" w:rsidRPr="0055589B" w:rsidRDefault="00510BF9" w:rsidP="0055589B">
      <w:pPr>
        <w:pStyle w:val="Odstavecseseznamem"/>
        <w:numPr>
          <w:ilvl w:val="0"/>
          <w:numId w:val="28"/>
        </w:numPr>
        <w:spacing w:after="120" w:line="276" w:lineRule="auto"/>
        <w:ind w:left="426" w:hanging="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Vrcholové vedení: ved</w:t>
      </w:r>
      <w:r w:rsidR="00174E55" w:rsidRPr="0055589B">
        <w:rPr>
          <w:rFonts w:ascii="Arial" w:hAnsi="Arial" w:cs="Arial"/>
          <w:color w:val="000000" w:themeColor="text1"/>
          <w:szCs w:val="24"/>
          <w:lang w:val="cs-CZ" w:eastAsia="de-AT"/>
        </w:rPr>
        <w:t>oucí osoby v pozici</w:t>
      </w:r>
      <w:r w:rsidRPr="0055589B">
        <w:rPr>
          <w:rFonts w:ascii="Arial" w:hAnsi="Arial" w:cs="Arial"/>
          <w:color w:val="000000" w:themeColor="text1"/>
          <w:szCs w:val="24"/>
          <w:lang w:val="cs-CZ" w:eastAsia="de-AT"/>
        </w:rPr>
        <w:t xml:space="preserve"> představenstvo </w:t>
      </w:r>
      <w:r w:rsidRPr="0055589B">
        <w:rPr>
          <w:rFonts w:ascii="Cambria Math" w:hAnsi="Cambria Math" w:cs="Cambria Math"/>
          <w:color w:val="000000" w:themeColor="text1"/>
          <w:szCs w:val="24"/>
          <w:lang w:val="cs-CZ" w:eastAsia="de-AT"/>
        </w:rPr>
        <w:t>‐</w:t>
      </w:r>
      <w:r w:rsidRPr="0055589B">
        <w:rPr>
          <w:rFonts w:ascii="Arial" w:hAnsi="Arial" w:cs="Arial"/>
          <w:color w:val="000000" w:themeColor="text1"/>
          <w:szCs w:val="24"/>
          <w:lang w:val="cs-CZ" w:eastAsia="de-AT"/>
        </w:rPr>
        <w:t xml:space="preserve">1, bez ohledu na to, jaké oddělení vedou a jaké mají případně zástupce; </w:t>
      </w:r>
    </w:p>
    <w:p w14:paraId="743A1F8E" w14:textId="7593EDF0" w:rsidR="00510BF9" w:rsidRPr="0055589B" w:rsidRDefault="00510BF9" w:rsidP="0055589B">
      <w:pPr>
        <w:pStyle w:val="Odstavecseseznamem"/>
        <w:numPr>
          <w:ilvl w:val="0"/>
          <w:numId w:val="28"/>
        </w:numPr>
        <w:spacing w:after="120" w:line="276" w:lineRule="auto"/>
        <w:ind w:left="426" w:hanging="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Kontrolní funkce a jejich případní zástupci;</w:t>
      </w:r>
    </w:p>
    <w:p w14:paraId="74D9823E" w14:textId="77777777" w:rsidR="00510BF9" w:rsidRPr="0055589B" w:rsidRDefault="00510BF9" w:rsidP="0055589B">
      <w:pPr>
        <w:spacing w:after="120" w:line="276" w:lineRule="auto"/>
        <w:ind w:left="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a) Ředitel oddělení řízení rizik; </w:t>
      </w:r>
    </w:p>
    <w:p w14:paraId="576687DF" w14:textId="77777777" w:rsidR="00510BF9" w:rsidRPr="0055589B" w:rsidRDefault="00510BF9" w:rsidP="0055589B">
      <w:pPr>
        <w:spacing w:after="120" w:line="276" w:lineRule="auto"/>
        <w:ind w:left="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b) Ředitel oddělení compliance (u poboček „Compliance Officer“) a</w:t>
      </w:r>
    </w:p>
    <w:p w14:paraId="13775FE3" w14:textId="77777777" w:rsidR="00510BF9" w:rsidRPr="0055589B" w:rsidRDefault="00510BF9" w:rsidP="0055589B">
      <w:pPr>
        <w:spacing w:after="120" w:line="276" w:lineRule="auto"/>
        <w:ind w:left="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c) Ředitel oddělení interního auditu.</w:t>
      </w:r>
    </w:p>
    <w:p w14:paraId="65A65430" w14:textId="471C0FDD" w:rsidR="00510BF9" w:rsidRPr="0055589B" w:rsidRDefault="00510BF9" w:rsidP="0055589B">
      <w:pPr>
        <w:pStyle w:val="Odstavecseseznamem"/>
        <w:numPr>
          <w:ilvl w:val="0"/>
          <w:numId w:val="28"/>
        </w:numPr>
        <w:spacing w:after="120" w:line="276" w:lineRule="auto"/>
        <w:ind w:left="426" w:hanging="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Pracovníci odpovědní za řízení následujících divizí a jejich případní zástupci: </w:t>
      </w:r>
    </w:p>
    <w:p w14:paraId="38F8B5A4" w14:textId="77777777" w:rsidR="00510BF9" w:rsidRPr="0055589B" w:rsidRDefault="00510BF9" w:rsidP="0055589B">
      <w:pPr>
        <w:spacing w:after="120" w:line="276" w:lineRule="auto"/>
        <w:ind w:left="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a) Ředitel oddělení financí; </w:t>
      </w:r>
    </w:p>
    <w:p w14:paraId="385D2640" w14:textId="77777777" w:rsidR="00510BF9" w:rsidRPr="0055589B" w:rsidRDefault="00510BF9" w:rsidP="0055589B">
      <w:pPr>
        <w:spacing w:after="120" w:line="276" w:lineRule="auto"/>
        <w:ind w:left="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b) Ředitel oddělení právních služeb (u poboček „Právní specialista“); </w:t>
      </w:r>
    </w:p>
    <w:p w14:paraId="68913EA3" w14:textId="77777777" w:rsidR="00510BF9" w:rsidRPr="0055589B" w:rsidRDefault="00510BF9" w:rsidP="0055589B">
      <w:pPr>
        <w:spacing w:after="120" w:line="276" w:lineRule="auto"/>
        <w:ind w:left="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lastRenderedPageBreak/>
        <w:t xml:space="preserve">c) Ředitel oddělení HR; </w:t>
      </w:r>
    </w:p>
    <w:p w14:paraId="271CE7CE" w14:textId="77777777" w:rsidR="00510BF9" w:rsidRPr="0055589B" w:rsidRDefault="00510BF9" w:rsidP="0055589B">
      <w:pPr>
        <w:spacing w:after="120" w:line="276" w:lineRule="auto"/>
        <w:ind w:left="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d) Ředitel oddělení investičního managementu;</w:t>
      </w:r>
    </w:p>
    <w:p w14:paraId="1AF59597" w14:textId="77777777" w:rsidR="00510BF9" w:rsidRPr="0055589B" w:rsidRDefault="00510BF9" w:rsidP="0055589B">
      <w:pPr>
        <w:spacing w:after="120" w:line="276" w:lineRule="auto"/>
        <w:ind w:left="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e) Ředitel oddělení marketingu. </w:t>
      </w:r>
    </w:p>
    <w:p w14:paraId="5A788DD5" w14:textId="6E84F788" w:rsidR="00510BF9" w:rsidRPr="0055589B" w:rsidRDefault="00510BF9" w:rsidP="0055589B">
      <w:pPr>
        <w:pStyle w:val="Odstavecseseznamem"/>
        <w:numPr>
          <w:ilvl w:val="0"/>
          <w:numId w:val="28"/>
        </w:numPr>
        <w:spacing w:after="120" w:line="276" w:lineRule="auto"/>
        <w:ind w:left="426" w:hanging="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Ostatní zaměstnanci dotčení riziky: Aby byly v co nejširší míře splněny regulační požadavky, rozhodla se společnost identifikovat všechny správce fondů, správce portfolií, všechny analytiky v oddělen</w:t>
      </w:r>
      <w:r w:rsidR="006D2134" w:rsidRPr="0055589B">
        <w:rPr>
          <w:rFonts w:ascii="Arial" w:hAnsi="Arial" w:cs="Arial"/>
          <w:color w:val="000000" w:themeColor="text1"/>
          <w:szCs w:val="24"/>
          <w:lang w:val="cs-CZ" w:eastAsia="de-AT"/>
        </w:rPr>
        <w:t>í</w:t>
      </w:r>
      <w:r w:rsidRPr="0055589B">
        <w:rPr>
          <w:rFonts w:ascii="Arial" w:hAnsi="Arial" w:cs="Arial"/>
          <w:color w:val="000000" w:themeColor="text1"/>
          <w:szCs w:val="24"/>
          <w:lang w:val="cs-CZ" w:eastAsia="de-AT"/>
        </w:rPr>
        <w:t xml:space="preserve"> </w:t>
      </w:r>
      <w:r w:rsidR="006D2134" w:rsidRPr="0055589B">
        <w:rPr>
          <w:rFonts w:ascii="Arial" w:hAnsi="Arial" w:cs="Arial"/>
          <w:color w:val="000000" w:themeColor="text1"/>
          <w:szCs w:val="24"/>
          <w:lang w:val="cs-CZ" w:eastAsia="de-AT"/>
        </w:rPr>
        <w:t>průzkumu trhů</w:t>
      </w:r>
      <w:r w:rsidR="00174E55"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a všechny zaměstnance v kontrole fondů (u poboček všechny manažery rizik, kteří se podílejí na kontrole limitů)</w:t>
      </w:r>
      <w:r w:rsidR="00C86D25">
        <w:rPr>
          <w:rFonts w:ascii="Arial" w:hAnsi="Arial" w:cs="Arial"/>
          <w:color w:val="000000" w:themeColor="text1"/>
          <w:szCs w:val="24"/>
          <w:lang w:val="cs-CZ" w:eastAsia="de-AT"/>
        </w:rPr>
        <w:t xml:space="preserve">, </w:t>
      </w:r>
      <w:r w:rsidR="00C86D25" w:rsidRPr="00C86D25">
        <w:rPr>
          <w:rFonts w:ascii="Arial" w:hAnsi="Arial" w:cs="Arial"/>
          <w:color w:val="000000" w:themeColor="text1"/>
          <w:szCs w:val="24"/>
          <w:lang w:val="cs-CZ" w:eastAsia="de-AT"/>
        </w:rPr>
        <w:t xml:space="preserve">stejně jako zaměstnanci podílející se na správě nemovitostních fondů </w:t>
      </w:r>
      <w:r w:rsidR="00C86D25">
        <w:rPr>
          <w:rFonts w:ascii="Arial" w:hAnsi="Arial" w:cs="Arial"/>
          <w:color w:val="000000" w:themeColor="text1"/>
          <w:szCs w:val="24"/>
          <w:lang w:val="cs-CZ" w:eastAsia="de-AT"/>
        </w:rPr>
        <w:t xml:space="preserve">společnosti </w:t>
      </w:r>
      <w:r w:rsidR="00C86D25" w:rsidRPr="00C86D25">
        <w:rPr>
          <w:rFonts w:ascii="Arial" w:hAnsi="Arial" w:cs="Arial"/>
          <w:color w:val="000000" w:themeColor="text1"/>
          <w:szCs w:val="24"/>
          <w:lang w:val="cs-CZ" w:eastAsia="de-AT"/>
        </w:rPr>
        <w:t xml:space="preserve">a </w:t>
      </w:r>
      <w:r w:rsidR="00C86D25">
        <w:rPr>
          <w:rFonts w:ascii="Arial" w:hAnsi="Arial" w:cs="Arial"/>
          <w:color w:val="000000" w:themeColor="text1"/>
          <w:szCs w:val="24"/>
          <w:lang w:val="cs-CZ" w:eastAsia="de-AT"/>
        </w:rPr>
        <w:t xml:space="preserve">správě </w:t>
      </w:r>
      <w:r w:rsidR="00C86D25" w:rsidRPr="00C86D25">
        <w:rPr>
          <w:rFonts w:ascii="Arial" w:hAnsi="Arial" w:cs="Arial"/>
          <w:color w:val="000000" w:themeColor="text1"/>
          <w:szCs w:val="24"/>
          <w:lang w:val="cs-CZ" w:eastAsia="de-AT"/>
        </w:rPr>
        <w:t>transakcí</w:t>
      </w:r>
    </w:p>
    <w:p w14:paraId="722BAB2D" w14:textId="1F8A98A9" w:rsidR="006D2134" w:rsidRPr="0055589B" w:rsidRDefault="006D2134" w:rsidP="0055589B">
      <w:pPr>
        <w:pStyle w:val="Odstavecseseznamem"/>
        <w:numPr>
          <w:ilvl w:val="0"/>
          <w:numId w:val="28"/>
        </w:numPr>
        <w:spacing w:after="120" w:line="276" w:lineRule="auto"/>
        <w:ind w:left="426" w:hanging="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Osoby, které mají manažerskou odpovědnost za zaměstnance, který splňuje jedno z kritérií stanovených v bodech 1 až 6.</w:t>
      </w:r>
    </w:p>
    <w:p w14:paraId="5DE60542" w14:textId="68F008C1" w:rsidR="00510BF9" w:rsidRPr="0055589B" w:rsidRDefault="00510BF9" w:rsidP="0055589B">
      <w:pPr>
        <w:pStyle w:val="Odstavecseseznamem"/>
        <w:numPr>
          <w:ilvl w:val="0"/>
          <w:numId w:val="28"/>
        </w:numPr>
        <w:spacing w:after="120" w:line="276" w:lineRule="auto"/>
        <w:ind w:left="426" w:hanging="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Zaměstnanci s vysokou odměnou, pokud mají podstatný vliv na rizikový profil příslušného subjektu / UCITS / AIF:</w:t>
      </w:r>
    </w:p>
    <w:p w14:paraId="5C64AFDC" w14:textId="77777777" w:rsidR="00510BF9" w:rsidRPr="0055589B" w:rsidRDefault="00510BF9" w:rsidP="0055589B">
      <w:pPr>
        <w:spacing w:after="120" w:line="276" w:lineRule="auto"/>
        <w:ind w:left="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a) všichni pracovníci, kteří </w:t>
      </w:r>
      <w:proofErr w:type="gramStart"/>
      <w:r w:rsidRPr="0055589B">
        <w:rPr>
          <w:rFonts w:ascii="Arial" w:hAnsi="Arial" w:cs="Arial"/>
          <w:color w:val="000000" w:themeColor="text1"/>
          <w:szCs w:val="24"/>
          <w:lang w:val="cs-CZ" w:eastAsia="de-AT"/>
        </w:rPr>
        <w:t>tvoří</w:t>
      </w:r>
      <w:proofErr w:type="gramEnd"/>
      <w:r w:rsidRPr="0055589B">
        <w:rPr>
          <w:rFonts w:ascii="Arial" w:hAnsi="Arial" w:cs="Arial"/>
          <w:color w:val="000000" w:themeColor="text1"/>
          <w:szCs w:val="24"/>
          <w:lang w:val="cs-CZ" w:eastAsia="de-AT"/>
        </w:rPr>
        <w:t xml:space="preserve"> 0,3 % počtu zaměstnanců, zaokrouhleno na nejbližší celé číslo nahoru, jimž byla v minulém finančním roce poskytnuta nejvyšší celková odměna;</w:t>
      </w:r>
    </w:p>
    <w:p w14:paraId="1DBB6091" w14:textId="77777777" w:rsidR="00510BF9" w:rsidRPr="0055589B" w:rsidRDefault="00510BF9" w:rsidP="0055589B">
      <w:pPr>
        <w:spacing w:after="120" w:line="276" w:lineRule="auto"/>
        <w:ind w:left="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b) všichni pracovníci, jimž byla v uplynulém finančním roce poskytnuta celková odměna rovnající se nebo vyšší než nejnižší celková odměna poskytnutá v uvedeném finančním roce členovi představenstva nebo vrcholového vedení.</w:t>
      </w:r>
    </w:p>
    <w:p w14:paraId="387465C1" w14:textId="5B8CBD3C" w:rsidR="00510BF9" w:rsidRPr="0055589B" w:rsidRDefault="006D2134" w:rsidP="0055589B">
      <w:pPr>
        <w:spacing w:after="120" w:line="276" w:lineRule="auto"/>
        <w:ind w:left="426"/>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c) zaměstnanci, kteří získali v předchozím účetním období celkové finanční ohodnocení min. 500 000 EUR;</w:t>
      </w:r>
    </w:p>
    <w:p w14:paraId="591081EE" w14:textId="6470771A" w:rsidR="00510BF9" w:rsidRPr="0055589B" w:rsidRDefault="00510BF9" w:rsidP="00510BF9">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Všechny další funkce v rámci Společnosti nemají podstatný vliv na rizikový profil Společnosti nebo investičních fondů, které Společnost spravuje.</w:t>
      </w:r>
    </w:p>
    <w:p w14:paraId="69557F92" w14:textId="77777777" w:rsidR="00510BF9" w:rsidRPr="0055589B" w:rsidRDefault="00510BF9" w:rsidP="00924810">
      <w:pPr>
        <w:spacing w:after="0" w:line="276" w:lineRule="auto"/>
        <w:jc w:val="both"/>
        <w:rPr>
          <w:rFonts w:ascii="Arial" w:hAnsi="Arial" w:cs="Arial"/>
          <w:color w:val="000000" w:themeColor="text1"/>
          <w:szCs w:val="24"/>
          <w:lang w:val="cs-CZ" w:eastAsia="de-AT"/>
        </w:rPr>
      </w:pPr>
    </w:p>
    <w:p w14:paraId="69AD1E06" w14:textId="66925D61" w:rsidR="00224561" w:rsidRPr="0055589B" w:rsidRDefault="00224561" w:rsidP="00694A20">
      <w:pPr>
        <w:pStyle w:val="Nadpis1"/>
        <w:rPr>
          <w:rFonts w:eastAsia="Times New Roman"/>
          <w:color w:val="000000" w:themeColor="text1"/>
          <w:lang w:val="cs-CZ"/>
        </w:rPr>
      </w:pPr>
      <w:bookmarkStart w:id="8" w:name="_Toc108689194"/>
      <w:r w:rsidRPr="0055589B">
        <w:rPr>
          <w:color w:val="000000" w:themeColor="text1"/>
          <w:lang w:val="cs-CZ"/>
        </w:rPr>
        <w:t>Právní základ a předpisy</w:t>
      </w:r>
      <w:r w:rsidR="00BF0C42" w:rsidRPr="0055589B">
        <w:rPr>
          <w:color w:val="000000" w:themeColor="text1"/>
          <w:lang w:val="cs-CZ"/>
        </w:rPr>
        <w:t xml:space="preserve"> upravující dohled</w:t>
      </w:r>
      <w:bookmarkEnd w:id="8"/>
    </w:p>
    <w:p w14:paraId="3165A891" w14:textId="3676EEF8" w:rsidR="00224561" w:rsidRPr="0055589B" w:rsidRDefault="00BF0C42"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Na </w:t>
      </w:r>
      <w:r w:rsidR="00224561" w:rsidRPr="0055589B">
        <w:rPr>
          <w:rFonts w:ascii="Arial" w:hAnsi="Arial" w:cs="Arial"/>
          <w:color w:val="000000" w:themeColor="text1"/>
          <w:szCs w:val="24"/>
          <w:lang w:val="cs-CZ" w:eastAsia="de-AT"/>
        </w:rPr>
        <w:t>Společnost, která je mezinárodním správcem akti</w:t>
      </w:r>
      <w:r w:rsidRPr="0055589B">
        <w:rPr>
          <w:rFonts w:ascii="Arial" w:hAnsi="Arial" w:cs="Arial"/>
          <w:color w:val="000000" w:themeColor="text1"/>
          <w:szCs w:val="24"/>
          <w:lang w:val="cs-CZ" w:eastAsia="de-AT"/>
        </w:rPr>
        <w:t>v a</w:t>
      </w:r>
      <w:r w:rsidR="00224561"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podstatnou měrou se podílí na správě</w:t>
      </w:r>
      <w:r w:rsidR="00224561" w:rsidRPr="0055589B">
        <w:rPr>
          <w:rFonts w:ascii="Arial" w:hAnsi="Arial" w:cs="Arial"/>
          <w:color w:val="000000" w:themeColor="text1"/>
          <w:szCs w:val="24"/>
          <w:lang w:val="cs-CZ" w:eastAsia="de-AT"/>
        </w:rPr>
        <w:t xml:space="preserve"> investičních fondů, </w:t>
      </w:r>
      <w:r w:rsidRPr="0055589B">
        <w:rPr>
          <w:rFonts w:ascii="Arial" w:hAnsi="Arial" w:cs="Arial"/>
          <w:color w:val="000000" w:themeColor="text1"/>
          <w:szCs w:val="24"/>
          <w:lang w:val="cs-CZ" w:eastAsia="de-AT"/>
        </w:rPr>
        <w:t xml:space="preserve">se vztahují </w:t>
      </w:r>
      <w:r w:rsidR="00224561" w:rsidRPr="0055589B">
        <w:rPr>
          <w:rFonts w:ascii="Arial" w:hAnsi="Arial" w:cs="Arial"/>
          <w:color w:val="000000" w:themeColor="text1"/>
          <w:szCs w:val="24"/>
          <w:lang w:val="cs-CZ" w:eastAsia="de-AT"/>
        </w:rPr>
        <w:t>následující</w:t>
      </w:r>
      <w:r w:rsidRPr="0055589B">
        <w:rPr>
          <w:rFonts w:ascii="Arial" w:hAnsi="Arial" w:cs="Arial"/>
          <w:color w:val="000000" w:themeColor="text1"/>
          <w:szCs w:val="24"/>
          <w:lang w:val="cs-CZ" w:eastAsia="de-AT"/>
        </w:rPr>
        <w:t xml:space="preserve"> předpisy</w:t>
      </w:r>
      <w:r w:rsidR="00224561" w:rsidRPr="0055589B">
        <w:rPr>
          <w:rFonts w:ascii="Arial" w:hAnsi="Arial" w:cs="Arial"/>
          <w:color w:val="000000" w:themeColor="text1"/>
          <w:szCs w:val="24"/>
          <w:lang w:val="cs-CZ" w:eastAsia="de-AT"/>
        </w:rPr>
        <w:t>:</w:t>
      </w:r>
    </w:p>
    <w:p w14:paraId="24009B18" w14:textId="3BA8FD57" w:rsidR="00224561" w:rsidRPr="0055589B" w:rsidRDefault="00224561" w:rsidP="0018227C">
      <w:pPr>
        <w:numPr>
          <w:ilvl w:val="0"/>
          <w:numId w:val="6"/>
        </w:numPr>
        <w:spacing w:after="120" w:line="276" w:lineRule="auto"/>
        <w:ind w:hanging="502"/>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Články </w:t>
      </w:r>
      <w:proofErr w:type="gramStart"/>
      <w:r w:rsidRPr="0055589B">
        <w:rPr>
          <w:rFonts w:ascii="Arial" w:hAnsi="Arial" w:cs="Arial"/>
          <w:color w:val="000000" w:themeColor="text1"/>
          <w:lang w:val="cs-CZ" w:eastAsia="de-AT"/>
        </w:rPr>
        <w:t>17a</w:t>
      </w:r>
      <w:proofErr w:type="gramEnd"/>
      <w:r w:rsidRPr="0055589B">
        <w:rPr>
          <w:rFonts w:ascii="Arial" w:hAnsi="Arial" w:cs="Arial"/>
          <w:color w:val="000000" w:themeColor="text1"/>
          <w:lang w:val="cs-CZ" w:eastAsia="de-AT"/>
        </w:rPr>
        <w:t>, 17b a 17c rakouského zákona o investičních fondech</w:t>
      </w:r>
      <w:r w:rsidR="00BF0C42" w:rsidRPr="0055589B">
        <w:rPr>
          <w:rFonts w:ascii="Arial" w:hAnsi="Arial" w:cs="Arial"/>
          <w:color w:val="000000" w:themeColor="text1"/>
          <w:lang w:val="cs-CZ" w:eastAsia="de-AT"/>
        </w:rPr>
        <w:t xml:space="preserve"> z roku</w:t>
      </w:r>
      <w:r w:rsidRPr="0055589B">
        <w:rPr>
          <w:rFonts w:ascii="Arial" w:hAnsi="Arial" w:cs="Arial"/>
          <w:color w:val="000000" w:themeColor="text1"/>
          <w:lang w:val="cs-CZ" w:eastAsia="de-AT"/>
        </w:rPr>
        <w:t xml:space="preserve"> 2011 – </w:t>
      </w:r>
      <w:r w:rsidR="001D382A" w:rsidRPr="0055589B">
        <w:rPr>
          <w:rFonts w:ascii="Arial" w:hAnsi="Arial" w:cs="Arial"/>
          <w:color w:val="000000" w:themeColor="text1"/>
          <w:lang w:val="cs-CZ" w:eastAsia="de-AT"/>
        </w:rPr>
        <w:t>„</w:t>
      </w:r>
      <w:r w:rsidRPr="0055589B">
        <w:rPr>
          <w:rFonts w:ascii="Arial" w:hAnsi="Arial" w:cs="Arial"/>
          <w:color w:val="000000" w:themeColor="text1"/>
          <w:lang w:val="cs-CZ" w:eastAsia="de-AT"/>
        </w:rPr>
        <w:t>InvFG 2011</w:t>
      </w:r>
      <w:r w:rsidR="001D382A" w:rsidRPr="0055589B">
        <w:rPr>
          <w:rFonts w:ascii="Arial" w:hAnsi="Arial" w:cs="Arial"/>
          <w:color w:val="000000" w:themeColor="text1"/>
          <w:lang w:val="cs-CZ" w:eastAsia="de-AT"/>
        </w:rPr>
        <w:t>“</w:t>
      </w:r>
      <w:r w:rsidRPr="0055589B">
        <w:rPr>
          <w:rFonts w:ascii="Arial" w:hAnsi="Arial" w:cs="Arial"/>
          <w:color w:val="000000" w:themeColor="text1"/>
          <w:lang w:val="cs-CZ" w:eastAsia="de-AT"/>
        </w:rPr>
        <w:t>;</w:t>
      </w:r>
    </w:p>
    <w:p w14:paraId="464AA815" w14:textId="176B6043" w:rsidR="00224561" w:rsidRPr="0055589B" w:rsidRDefault="00224561" w:rsidP="0018227C">
      <w:pPr>
        <w:numPr>
          <w:ilvl w:val="0"/>
          <w:numId w:val="6"/>
        </w:numPr>
        <w:spacing w:after="120" w:line="276" w:lineRule="auto"/>
        <w:ind w:hanging="502"/>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Článek 11 a příloha 2 k článku 11 rakouského </w:t>
      </w:r>
      <w:r w:rsidR="001D382A" w:rsidRPr="0055589B">
        <w:rPr>
          <w:rFonts w:ascii="Arial" w:hAnsi="Arial" w:cs="Arial"/>
          <w:color w:val="000000" w:themeColor="text1"/>
          <w:lang w:val="cs-CZ" w:eastAsia="de-AT"/>
        </w:rPr>
        <w:t xml:space="preserve">zákona o správcích </w:t>
      </w:r>
      <w:r w:rsidRPr="0055589B">
        <w:rPr>
          <w:rFonts w:ascii="Arial" w:hAnsi="Arial" w:cs="Arial"/>
          <w:color w:val="000000" w:themeColor="text1"/>
          <w:lang w:val="cs-CZ" w:eastAsia="de-AT"/>
        </w:rPr>
        <w:t>alternativní</w:t>
      </w:r>
      <w:r w:rsidR="001D382A" w:rsidRPr="0055589B">
        <w:rPr>
          <w:rFonts w:ascii="Arial" w:hAnsi="Arial" w:cs="Arial"/>
          <w:color w:val="000000" w:themeColor="text1"/>
          <w:lang w:val="cs-CZ" w:eastAsia="de-AT"/>
        </w:rPr>
        <w:t>c</w:t>
      </w:r>
      <w:r w:rsidRPr="0055589B">
        <w:rPr>
          <w:rFonts w:ascii="Arial" w:hAnsi="Arial" w:cs="Arial"/>
          <w:color w:val="000000" w:themeColor="text1"/>
          <w:lang w:val="cs-CZ" w:eastAsia="de-AT"/>
        </w:rPr>
        <w:t>h investiční</w:t>
      </w:r>
      <w:r w:rsidR="001D382A" w:rsidRPr="0055589B">
        <w:rPr>
          <w:rFonts w:ascii="Arial" w:hAnsi="Arial" w:cs="Arial"/>
          <w:color w:val="000000" w:themeColor="text1"/>
          <w:lang w:val="cs-CZ" w:eastAsia="de-AT"/>
        </w:rPr>
        <w:t>c</w:t>
      </w:r>
      <w:r w:rsidRPr="0055589B">
        <w:rPr>
          <w:rFonts w:ascii="Arial" w:hAnsi="Arial" w:cs="Arial"/>
          <w:color w:val="000000" w:themeColor="text1"/>
          <w:lang w:val="cs-CZ" w:eastAsia="de-AT"/>
        </w:rPr>
        <w:t>h fond</w:t>
      </w:r>
      <w:r w:rsidR="001D382A" w:rsidRPr="0055589B">
        <w:rPr>
          <w:rFonts w:ascii="Arial" w:hAnsi="Arial" w:cs="Arial"/>
          <w:color w:val="000000" w:themeColor="text1"/>
          <w:lang w:val="cs-CZ" w:eastAsia="de-AT"/>
        </w:rPr>
        <w:t>ů – „</w:t>
      </w:r>
      <w:r w:rsidRPr="0055589B">
        <w:rPr>
          <w:rFonts w:ascii="Arial" w:hAnsi="Arial" w:cs="Arial"/>
          <w:color w:val="000000" w:themeColor="text1"/>
          <w:lang w:val="cs-CZ" w:eastAsia="de-AT"/>
        </w:rPr>
        <w:t>AIFMG";</w:t>
      </w:r>
    </w:p>
    <w:p w14:paraId="391F0898" w14:textId="7619CFE0" w:rsidR="00224561" w:rsidRPr="0055589B" w:rsidRDefault="00224561" w:rsidP="0018227C">
      <w:pPr>
        <w:numPr>
          <w:ilvl w:val="0"/>
          <w:numId w:val="6"/>
        </w:numPr>
        <w:spacing w:after="120" w:line="276" w:lineRule="auto"/>
        <w:ind w:hanging="502"/>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Články </w:t>
      </w:r>
      <w:proofErr w:type="gramStart"/>
      <w:r w:rsidRPr="0055589B">
        <w:rPr>
          <w:rFonts w:ascii="Arial" w:hAnsi="Arial" w:cs="Arial"/>
          <w:color w:val="000000" w:themeColor="text1"/>
          <w:lang w:val="cs-CZ" w:eastAsia="de-AT"/>
        </w:rPr>
        <w:t>14a</w:t>
      </w:r>
      <w:proofErr w:type="gramEnd"/>
      <w:r w:rsidRPr="0055589B">
        <w:rPr>
          <w:rFonts w:ascii="Arial" w:hAnsi="Arial" w:cs="Arial"/>
          <w:color w:val="000000" w:themeColor="text1"/>
          <w:lang w:val="cs-CZ" w:eastAsia="de-AT"/>
        </w:rPr>
        <w:t xml:space="preserve"> a 14b směrnice 2014/91/EU – "V-směrnice </w:t>
      </w:r>
      <w:r w:rsidR="00C05D6C" w:rsidRPr="0055589B">
        <w:rPr>
          <w:rFonts w:ascii="Arial" w:hAnsi="Arial" w:cs="Arial"/>
          <w:color w:val="000000" w:themeColor="text1"/>
          <w:lang w:val="cs-CZ" w:eastAsia="de-AT"/>
        </w:rPr>
        <w:t>SKIPCP</w:t>
      </w:r>
      <w:r w:rsidRPr="0055589B">
        <w:rPr>
          <w:rFonts w:ascii="Arial" w:hAnsi="Arial" w:cs="Arial"/>
          <w:color w:val="000000" w:themeColor="text1"/>
          <w:lang w:val="cs-CZ" w:eastAsia="de-AT"/>
        </w:rPr>
        <w:t>"</w:t>
      </w:r>
      <w:r w:rsidR="00C05D6C" w:rsidRPr="0055589B">
        <w:rPr>
          <w:rFonts w:ascii="Arial" w:hAnsi="Arial" w:cs="Arial"/>
          <w:color w:val="000000" w:themeColor="text1"/>
          <w:lang w:val="cs-CZ" w:eastAsia="de-AT"/>
        </w:rPr>
        <w:t>“</w:t>
      </w:r>
      <w:r w:rsidRPr="0055589B">
        <w:rPr>
          <w:rFonts w:ascii="Arial" w:hAnsi="Arial" w:cs="Arial"/>
          <w:color w:val="000000" w:themeColor="text1"/>
          <w:lang w:val="cs-CZ" w:eastAsia="de-AT"/>
        </w:rPr>
        <w:t>;</w:t>
      </w:r>
    </w:p>
    <w:p w14:paraId="76997653" w14:textId="76BD179B" w:rsidR="00224561" w:rsidRPr="0055589B" w:rsidRDefault="00224561" w:rsidP="0018227C">
      <w:pPr>
        <w:numPr>
          <w:ilvl w:val="0"/>
          <w:numId w:val="6"/>
        </w:numPr>
        <w:spacing w:after="120" w:line="276" w:lineRule="auto"/>
        <w:ind w:hanging="502"/>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Pokyny ESMA týkající se politik </w:t>
      </w:r>
      <w:r w:rsidR="00C05D6C" w:rsidRPr="0055589B">
        <w:rPr>
          <w:rFonts w:ascii="Arial" w:hAnsi="Arial" w:cs="Arial"/>
          <w:color w:val="000000" w:themeColor="text1"/>
          <w:lang w:val="cs-CZ" w:eastAsia="de-AT"/>
        </w:rPr>
        <w:t xml:space="preserve">řádného </w:t>
      </w:r>
      <w:r w:rsidRPr="0055589B">
        <w:rPr>
          <w:rFonts w:ascii="Arial" w:hAnsi="Arial" w:cs="Arial"/>
          <w:color w:val="000000" w:themeColor="text1"/>
          <w:lang w:val="cs-CZ" w:eastAsia="de-AT"/>
        </w:rPr>
        <w:t xml:space="preserve">odměňování podle směrnice </w:t>
      </w:r>
      <w:r w:rsidR="00C05D6C" w:rsidRPr="0055589B">
        <w:rPr>
          <w:rFonts w:ascii="Arial" w:hAnsi="Arial" w:cs="Arial"/>
          <w:color w:val="000000" w:themeColor="text1"/>
          <w:lang w:val="cs-CZ" w:eastAsia="de-AT"/>
        </w:rPr>
        <w:t>SKIPCP</w:t>
      </w:r>
      <w:r w:rsidRPr="0055589B">
        <w:rPr>
          <w:rFonts w:ascii="Arial" w:hAnsi="Arial" w:cs="Arial"/>
          <w:color w:val="000000" w:themeColor="text1"/>
          <w:lang w:val="cs-CZ" w:eastAsia="de-AT"/>
        </w:rPr>
        <w:t xml:space="preserve"> z</w:t>
      </w:r>
      <w:r w:rsidR="001B3607" w:rsidRPr="0055589B">
        <w:rPr>
          <w:rFonts w:ascii="Arial" w:hAnsi="Arial" w:cs="Arial"/>
          <w:color w:val="000000" w:themeColor="text1"/>
          <w:lang w:val="cs-CZ" w:eastAsia="de-AT"/>
        </w:rPr>
        <w:t> </w:t>
      </w:r>
      <w:r w:rsidRPr="0055589B">
        <w:rPr>
          <w:rFonts w:ascii="Arial" w:hAnsi="Arial" w:cs="Arial"/>
          <w:color w:val="000000" w:themeColor="text1"/>
          <w:lang w:val="cs-CZ" w:eastAsia="de-AT"/>
        </w:rPr>
        <w:t>října</w:t>
      </w:r>
      <w:r w:rsidR="001B3607" w:rsidRPr="0055589B">
        <w:rPr>
          <w:rFonts w:ascii="Arial" w:hAnsi="Arial" w:cs="Arial"/>
          <w:color w:val="000000" w:themeColor="text1"/>
          <w:lang w:val="cs-CZ" w:eastAsia="de-AT"/>
        </w:rPr>
        <w:t xml:space="preserve"> roku </w:t>
      </w:r>
      <w:r w:rsidRPr="0055589B">
        <w:rPr>
          <w:rFonts w:ascii="Arial" w:hAnsi="Arial" w:cs="Arial"/>
          <w:color w:val="000000" w:themeColor="text1"/>
          <w:lang w:val="cs-CZ" w:eastAsia="de-AT"/>
        </w:rPr>
        <w:t xml:space="preserve">2016 (ESMA/2016/575) – </w:t>
      </w:r>
      <w:r w:rsidR="005F14FF" w:rsidRPr="0055589B">
        <w:rPr>
          <w:rFonts w:ascii="Arial" w:hAnsi="Arial" w:cs="Arial"/>
          <w:color w:val="000000" w:themeColor="text1"/>
          <w:lang w:val="cs-CZ" w:eastAsia="de-AT"/>
        </w:rPr>
        <w:t>„Pokyny</w:t>
      </w:r>
      <w:r w:rsidR="00E238A6" w:rsidRPr="0055589B">
        <w:rPr>
          <w:rFonts w:ascii="Arial" w:hAnsi="Arial" w:cs="Arial"/>
          <w:color w:val="000000" w:themeColor="text1"/>
          <w:lang w:val="cs-CZ" w:eastAsia="de-AT"/>
        </w:rPr>
        <w:t xml:space="preserve"> ESMA o odměňování </w:t>
      </w:r>
      <w:r w:rsidR="005F14FF" w:rsidRPr="0055589B">
        <w:rPr>
          <w:rFonts w:ascii="Arial" w:hAnsi="Arial" w:cs="Arial"/>
          <w:color w:val="000000" w:themeColor="text1"/>
          <w:lang w:val="cs-CZ" w:eastAsia="de-AT"/>
        </w:rPr>
        <w:t xml:space="preserve">podle </w:t>
      </w:r>
      <w:r w:rsidR="00E238A6" w:rsidRPr="0055589B">
        <w:rPr>
          <w:rFonts w:ascii="Arial" w:hAnsi="Arial" w:cs="Arial"/>
          <w:color w:val="000000" w:themeColor="text1"/>
          <w:lang w:val="cs-CZ" w:eastAsia="de-AT"/>
        </w:rPr>
        <w:t>SKIPCP</w:t>
      </w:r>
      <w:r w:rsidRPr="0055589B">
        <w:rPr>
          <w:rFonts w:ascii="Arial" w:hAnsi="Arial" w:cs="Arial"/>
          <w:color w:val="000000" w:themeColor="text1"/>
          <w:lang w:val="cs-CZ" w:eastAsia="de-AT"/>
        </w:rPr>
        <w:t xml:space="preserve">"; </w:t>
      </w:r>
    </w:p>
    <w:p w14:paraId="785D3673" w14:textId="4D99936D" w:rsidR="00224561" w:rsidRPr="0055589B" w:rsidRDefault="00224561" w:rsidP="0018227C">
      <w:pPr>
        <w:numPr>
          <w:ilvl w:val="0"/>
          <w:numId w:val="6"/>
        </w:numPr>
        <w:spacing w:after="120" w:line="276" w:lineRule="auto"/>
        <w:ind w:hanging="502"/>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Pokyny ESMA týkající </w:t>
      </w:r>
      <w:r w:rsidR="005F14FF" w:rsidRPr="0055589B">
        <w:rPr>
          <w:rFonts w:ascii="Arial" w:hAnsi="Arial" w:cs="Arial"/>
          <w:color w:val="000000" w:themeColor="text1"/>
          <w:lang w:val="cs-CZ" w:eastAsia="de-AT"/>
        </w:rPr>
        <w:t>se politik řádného odměňování podle</w:t>
      </w:r>
      <w:r w:rsidRPr="0055589B">
        <w:rPr>
          <w:rFonts w:ascii="Arial" w:hAnsi="Arial" w:cs="Arial"/>
          <w:color w:val="000000" w:themeColor="text1"/>
          <w:lang w:val="cs-CZ" w:eastAsia="de-AT"/>
        </w:rPr>
        <w:t xml:space="preserve"> AIFMD (ESMA/2013/232) z července 2013 – </w:t>
      </w:r>
      <w:r w:rsidR="005F14FF" w:rsidRPr="0055589B">
        <w:rPr>
          <w:rFonts w:ascii="Arial" w:hAnsi="Arial" w:cs="Arial"/>
          <w:color w:val="000000" w:themeColor="text1"/>
          <w:lang w:val="cs-CZ" w:eastAsia="de-AT"/>
        </w:rPr>
        <w:t>„Pokyny ESMA o odměňování podle A</w:t>
      </w:r>
      <w:r w:rsidRPr="0055589B">
        <w:rPr>
          <w:rFonts w:ascii="Arial" w:hAnsi="Arial" w:cs="Arial"/>
          <w:color w:val="000000" w:themeColor="text1"/>
          <w:lang w:val="cs-CZ" w:eastAsia="de-AT"/>
        </w:rPr>
        <w:t>IFM";</w:t>
      </w:r>
    </w:p>
    <w:p w14:paraId="2AFED3FD" w14:textId="5C934CDD" w:rsidR="00224561" w:rsidRPr="0055589B" w:rsidRDefault="00224561" w:rsidP="0018227C">
      <w:pPr>
        <w:numPr>
          <w:ilvl w:val="0"/>
          <w:numId w:val="6"/>
        </w:numPr>
        <w:spacing w:after="120" w:line="276" w:lineRule="auto"/>
        <w:ind w:hanging="502"/>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Pokyny ESMA týkající </w:t>
      </w:r>
      <w:r w:rsidR="00303A68" w:rsidRPr="0055589B">
        <w:rPr>
          <w:rFonts w:ascii="Arial" w:hAnsi="Arial" w:cs="Arial"/>
          <w:color w:val="000000" w:themeColor="text1"/>
          <w:lang w:val="cs-CZ" w:eastAsia="de-AT"/>
        </w:rPr>
        <w:t>se politik řádného odměňování podle</w:t>
      </w:r>
      <w:r w:rsidRPr="0055589B">
        <w:rPr>
          <w:rFonts w:ascii="Arial" w:hAnsi="Arial" w:cs="Arial"/>
          <w:color w:val="000000" w:themeColor="text1"/>
          <w:lang w:val="cs-CZ" w:eastAsia="de-AT"/>
        </w:rPr>
        <w:t xml:space="preserve"> směrnice </w:t>
      </w:r>
      <w:r w:rsidR="00C05D6C" w:rsidRPr="0055589B">
        <w:rPr>
          <w:rFonts w:ascii="Arial" w:hAnsi="Arial" w:cs="Arial"/>
          <w:color w:val="000000" w:themeColor="text1"/>
          <w:lang w:val="cs-CZ" w:eastAsia="de-AT"/>
        </w:rPr>
        <w:t>SKIPCP</w:t>
      </w:r>
      <w:r w:rsidRPr="0055589B">
        <w:rPr>
          <w:rFonts w:ascii="Arial" w:hAnsi="Arial" w:cs="Arial"/>
          <w:color w:val="000000" w:themeColor="text1"/>
          <w:lang w:val="cs-CZ" w:eastAsia="de-AT"/>
        </w:rPr>
        <w:t xml:space="preserve"> a AIFMD (ESMA/2016/411) z března </w:t>
      </w:r>
      <w:r w:rsidR="00303A68" w:rsidRPr="0055589B">
        <w:rPr>
          <w:rFonts w:ascii="Arial" w:hAnsi="Arial" w:cs="Arial"/>
          <w:color w:val="000000" w:themeColor="text1"/>
          <w:lang w:val="cs-CZ" w:eastAsia="de-AT"/>
        </w:rPr>
        <w:t xml:space="preserve">roku </w:t>
      </w:r>
      <w:r w:rsidRPr="0055589B">
        <w:rPr>
          <w:rFonts w:ascii="Arial" w:hAnsi="Arial" w:cs="Arial"/>
          <w:color w:val="000000" w:themeColor="text1"/>
          <w:lang w:val="cs-CZ" w:eastAsia="de-AT"/>
        </w:rPr>
        <w:t xml:space="preserve">2016 – </w:t>
      </w:r>
      <w:r w:rsidR="00303A68" w:rsidRPr="0055589B">
        <w:rPr>
          <w:rFonts w:ascii="Arial" w:hAnsi="Arial" w:cs="Arial"/>
          <w:color w:val="000000" w:themeColor="text1"/>
          <w:lang w:val="cs-CZ" w:eastAsia="de-AT"/>
        </w:rPr>
        <w:t xml:space="preserve">„Pokyny </w:t>
      </w:r>
      <w:r w:rsidRPr="0055589B">
        <w:rPr>
          <w:rFonts w:ascii="Arial" w:hAnsi="Arial" w:cs="Arial"/>
          <w:color w:val="000000" w:themeColor="text1"/>
          <w:lang w:val="cs-CZ" w:eastAsia="de-AT"/>
        </w:rPr>
        <w:t xml:space="preserve">ESMA </w:t>
      </w:r>
      <w:r w:rsidR="00303A68" w:rsidRPr="0055589B">
        <w:rPr>
          <w:rFonts w:ascii="Arial" w:hAnsi="Arial" w:cs="Arial"/>
          <w:color w:val="000000" w:themeColor="text1"/>
          <w:lang w:val="cs-CZ" w:eastAsia="de-AT"/>
        </w:rPr>
        <w:t xml:space="preserve">podle </w:t>
      </w:r>
      <w:r w:rsidR="00C05D6C" w:rsidRPr="0055589B">
        <w:rPr>
          <w:rFonts w:ascii="Arial" w:hAnsi="Arial" w:cs="Arial"/>
          <w:color w:val="000000" w:themeColor="text1"/>
          <w:lang w:val="cs-CZ" w:eastAsia="de-AT"/>
        </w:rPr>
        <w:t>SKIPCP</w:t>
      </w:r>
      <w:r w:rsidRPr="0055589B">
        <w:rPr>
          <w:rFonts w:ascii="Arial" w:hAnsi="Arial" w:cs="Arial"/>
          <w:color w:val="000000" w:themeColor="text1"/>
          <w:lang w:val="cs-CZ" w:eastAsia="de-AT"/>
        </w:rPr>
        <w:t xml:space="preserve"> V a AIFMD"; </w:t>
      </w:r>
    </w:p>
    <w:p w14:paraId="0D174E48" w14:textId="230D9C23" w:rsidR="00224561" w:rsidRPr="0055589B" w:rsidRDefault="00224561" w:rsidP="0018227C">
      <w:pPr>
        <w:numPr>
          <w:ilvl w:val="0"/>
          <w:numId w:val="6"/>
        </w:numPr>
        <w:spacing w:after="120" w:line="276" w:lineRule="auto"/>
        <w:ind w:hanging="502"/>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lastRenderedPageBreak/>
        <w:t xml:space="preserve">Pokyny ESMA o politikách a postupech odměňování (MiFID) z června </w:t>
      </w:r>
      <w:r w:rsidR="00303A68" w:rsidRPr="0055589B">
        <w:rPr>
          <w:rFonts w:ascii="Arial" w:hAnsi="Arial" w:cs="Arial"/>
          <w:color w:val="000000" w:themeColor="text1"/>
          <w:lang w:val="cs-CZ" w:eastAsia="de-AT"/>
        </w:rPr>
        <w:t xml:space="preserve">roku </w:t>
      </w:r>
      <w:r w:rsidRPr="0055589B">
        <w:rPr>
          <w:rFonts w:ascii="Arial" w:hAnsi="Arial" w:cs="Arial"/>
          <w:color w:val="000000" w:themeColor="text1"/>
          <w:lang w:val="cs-CZ" w:eastAsia="de-AT"/>
        </w:rPr>
        <w:t xml:space="preserve">2013 (ESMA/2013/606) – </w:t>
      </w:r>
      <w:r w:rsidR="00303A68" w:rsidRPr="0055589B">
        <w:rPr>
          <w:rFonts w:ascii="Arial" w:hAnsi="Arial" w:cs="Arial"/>
          <w:color w:val="000000" w:themeColor="text1"/>
          <w:lang w:val="cs-CZ" w:eastAsia="de-AT"/>
        </w:rPr>
        <w:t xml:space="preserve">„Pokyny ESMA o </w:t>
      </w:r>
      <w:r w:rsidRPr="0055589B">
        <w:rPr>
          <w:rFonts w:ascii="Arial" w:hAnsi="Arial" w:cs="Arial"/>
          <w:color w:val="000000" w:themeColor="text1"/>
          <w:lang w:val="cs-CZ" w:eastAsia="de-AT"/>
        </w:rPr>
        <w:t xml:space="preserve">odměňování podle </w:t>
      </w:r>
      <w:r w:rsidR="00303A68" w:rsidRPr="0055589B">
        <w:rPr>
          <w:rFonts w:ascii="Arial" w:hAnsi="Arial" w:cs="Arial"/>
          <w:color w:val="000000" w:themeColor="text1"/>
          <w:lang w:val="cs-CZ" w:eastAsia="de-AT"/>
        </w:rPr>
        <w:t>MiFID“</w:t>
      </w:r>
      <w:r w:rsidRPr="0055589B">
        <w:rPr>
          <w:rFonts w:ascii="Arial" w:hAnsi="Arial" w:cs="Arial"/>
          <w:color w:val="000000" w:themeColor="text1"/>
          <w:lang w:val="cs-CZ" w:eastAsia="de-AT"/>
        </w:rPr>
        <w:t>;</w:t>
      </w:r>
    </w:p>
    <w:p w14:paraId="5222CA91" w14:textId="174EFFB4" w:rsidR="00224561" w:rsidRPr="0055589B" w:rsidRDefault="00224561" w:rsidP="0018227C">
      <w:pPr>
        <w:numPr>
          <w:ilvl w:val="0"/>
          <w:numId w:val="6"/>
        </w:numPr>
        <w:spacing w:after="120" w:line="276" w:lineRule="auto"/>
        <w:ind w:hanging="502"/>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FMA oběžník </w:t>
      </w:r>
      <w:r w:rsidR="00D253C9" w:rsidRPr="0055589B">
        <w:rPr>
          <w:rFonts w:ascii="Arial" w:hAnsi="Arial" w:cs="Arial"/>
          <w:color w:val="000000" w:themeColor="text1"/>
          <w:lang w:val="cs-CZ" w:eastAsia="de-AT"/>
        </w:rPr>
        <w:t xml:space="preserve">související s </w:t>
      </w:r>
      <w:r w:rsidRPr="0055589B">
        <w:rPr>
          <w:rFonts w:ascii="Arial" w:hAnsi="Arial" w:cs="Arial"/>
          <w:color w:val="000000" w:themeColor="text1"/>
          <w:lang w:val="cs-CZ" w:eastAsia="de-AT"/>
        </w:rPr>
        <w:t xml:space="preserve">otázkami střetu zájmů </w:t>
      </w:r>
      <w:r w:rsidR="00D253C9" w:rsidRPr="0055589B">
        <w:rPr>
          <w:rFonts w:ascii="Arial" w:hAnsi="Arial" w:cs="Arial"/>
          <w:color w:val="000000" w:themeColor="text1"/>
          <w:lang w:val="cs-CZ" w:eastAsia="de-AT"/>
        </w:rPr>
        <w:t xml:space="preserve">v </w:t>
      </w:r>
      <w:r w:rsidRPr="0055589B">
        <w:rPr>
          <w:rFonts w:ascii="Arial" w:hAnsi="Arial" w:cs="Arial"/>
          <w:color w:val="000000" w:themeColor="text1"/>
          <w:lang w:val="cs-CZ" w:eastAsia="de-AT"/>
        </w:rPr>
        <w:t>některých systém</w:t>
      </w:r>
      <w:r w:rsidR="00D253C9" w:rsidRPr="0055589B">
        <w:rPr>
          <w:rFonts w:ascii="Arial" w:hAnsi="Arial" w:cs="Arial"/>
          <w:color w:val="000000" w:themeColor="text1"/>
          <w:lang w:val="cs-CZ" w:eastAsia="de-AT"/>
        </w:rPr>
        <w:t>ech</w:t>
      </w:r>
      <w:r w:rsidRPr="0055589B">
        <w:rPr>
          <w:rFonts w:ascii="Arial" w:hAnsi="Arial" w:cs="Arial"/>
          <w:color w:val="000000" w:themeColor="text1"/>
          <w:lang w:val="cs-CZ" w:eastAsia="de-AT"/>
        </w:rPr>
        <w:t xml:space="preserve"> odměňování, které </w:t>
      </w:r>
      <w:r w:rsidR="00D253C9" w:rsidRPr="0055589B">
        <w:rPr>
          <w:rFonts w:ascii="Arial" w:hAnsi="Arial" w:cs="Arial"/>
          <w:color w:val="000000" w:themeColor="text1"/>
          <w:lang w:val="cs-CZ" w:eastAsia="de-AT"/>
        </w:rPr>
        <w:t>souvisejí s Pokyny ESMA o odměňování podle MiFID z</w:t>
      </w:r>
      <w:r w:rsidR="00186CFB" w:rsidRPr="0055589B">
        <w:rPr>
          <w:rFonts w:ascii="Arial" w:hAnsi="Arial" w:cs="Arial"/>
          <w:color w:val="000000" w:themeColor="text1"/>
          <w:lang w:val="cs-CZ" w:eastAsia="de-AT"/>
        </w:rPr>
        <w:t> dubna 2014 – „Oběžník FMA o střetu zájmů“.</w:t>
      </w:r>
    </w:p>
    <w:p w14:paraId="1BC1EF2D" w14:textId="4F1787B0" w:rsidR="00224561" w:rsidRPr="0055589B" w:rsidRDefault="00224561" w:rsidP="0018227C">
      <w:pPr>
        <w:numPr>
          <w:ilvl w:val="0"/>
          <w:numId w:val="6"/>
        </w:numPr>
        <w:spacing w:after="120" w:line="276" w:lineRule="auto"/>
        <w:ind w:hanging="502"/>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FMA oběžník </w:t>
      </w:r>
      <w:r w:rsidR="00C86D25">
        <w:rPr>
          <w:rFonts w:ascii="Arial" w:hAnsi="Arial" w:cs="Arial"/>
          <w:color w:val="000000" w:themeColor="text1"/>
          <w:lang w:val="cs-CZ" w:eastAsia="de-AT"/>
        </w:rPr>
        <w:t xml:space="preserve">Zásady a principy </w:t>
      </w:r>
      <w:proofErr w:type="gramStart"/>
      <w:r w:rsidR="00C86D25">
        <w:rPr>
          <w:rFonts w:ascii="Arial" w:hAnsi="Arial" w:cs="Arial"/>
          <w:color w:val="000000" w:themeColor="text1"/>
          <w:lang w:val="cs-CZ" w:eastAsia="de-AT"/>
        </w:rPr>
        <w:t xml:space="preserve">odměňování </w:t>
      </w:r>
      <w:r w:rsidR="00545644" w:rsidRPr="0055589B">
        <w:rPr>
          <w:rFonts w:ascii="Arial" w:hAnsi="Arial" w:cs="Arial"/>
          <w:color w:val="000000" w:themeColor="text1"/>
          <w:lang w:val="cs-CZ" w:eastAsia="de-AT"/>
        </w:rPr>
        <w:t xml:space="preserve"> podle</w:t>
      </w:r>
      <w:proofErr w:type="gramEnd"/>
      <w:r w:rsidR="00545644" w:rsidRPr="0055589B">
        <w:rPr>
          <w:rFonts w:ascii="Arial" w:hAnsi="Arial" w:cs="Arial"/>
          <w:color w:val="000000" w:themeColor="text1"/>
          <w:lang w:val="cs-CZ" w:eastAsia="de-AT"/>
        </w:rPr>
        <w:t xml:space="preserve"> </w:t>
      </w:r>
      <w:r w:rsidRPr="0055589B">
        <w:rPr>
          <w:rFonts w:ascii="Arial" w:hAnsi="Arial" w:cs="Arial"/>
          <w:color w:val="000000" w:themeColor="text1"/>
          <w:szCs w:val="24"/>
          <w:lang w:val="cs-CZ" w:eastAsia="de-AT"/>
        </w:rPr>
        <w:t>§ 17a</w:t>
      </w:r>
      <w:r w:rsidR="00545644" w:rsidRPr="0055589B">
        <w:rPr>
          <w:rFonts w:ascii="Arial" w:hAnsi="Arial" w:cs="Arial"/>
          <w:color w:val="000000" w:themeColor="text1"/>
          <w:szCs w:val="24"/>
          <w:lang w:val="cs-CZ" w:eastAsia="de-AT"/>
        </w:rPr>
        <w:t xml:space="preserve"> – </w:t>
      </w:r>
      <w:r w:rsidRPr="0055589B">
        <w:rPr>
          <w:rFonts w:ascii="Arial" w:hAnsi="Arial" w:cs="Arial"/>
          <w:color w:val="000000" w:themeColor="text1"/>
          <w:szCs w:val="24"/>
          <w:lang w:val="cs-CZ" w:eastAsia="de-AT"/>
        </w:rPr>
        <w:t>17c InvFG 2011 u</w:t>
      </w:r>
      <w:r w:rsidR="00545644"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 11 AIFM</w:t>
      </w:r>
      <w:r w:rsidR="00F53E6D" w:rsidRPr="0055589B">
        <w:rPr>
          <w:rFonts w:ascii="Arial" w:hAnsi="Arial" w:cs="Arial"/>
          <w:color w:val="000000" w:themeColor="text1"/>
          <w:szCs w:val="24"/>
          <w:lang w:val="cs-CZ" w:eastAsia="de-AT"/>
        </w:rPr>
        <w:t>G</w:t>
      </w:r>
      <w:r w:rsidR="00545644" w:rsidRPr="0055589B">
        <w:rPr>
          <w:rFonts w:ascii="Arial" w:hAnsi="Arial" w:cs="Arial"/>
          <w:color w:val="000000" w:themeColor="text1"/>
          <w:szCs w:val="24"/>
          <w:lang w:val="cs-CZ" w:eastAsia="de-AT"/>
        </w:rPr>
        <w:t xml:space="preserve"> – „Oběžník </w:t>
      </w:r>
      <w:r w:rsidRPr="0055589B">
        <w:rPr>
          <w:rFonts w:ascii="Arial" w:hAnsi="Arial" w:cs="Arial"/>
          <w:color w:val="000000" w:themeColor="text1"/>
          <w:szCs w:val="24"/>
          <w:lang w:val="cs-CZ" w:eastAsia="de-AT"/>
        </w:rPr>
        <w:t xml:space="preserve">FMA </w:t>
      </w:r>
      <w:r w:rsidR="00545644" w:rsidRPr="0055589B">
        <w:rPr>
          <w:rFonts w:ascii="Arial" w:hAnsi="Arial" w:cs="Arial"/>
          <w:color w:val="000000" w:themeColor="text1"/>
          <w:szCs w:val="24"/>
          <w:lang w:val="cs-CZ" w:eastAsia="de-AT"/>
        </w:rPr>
        <w:t>o významovém prahu“</w:t>
      </w:r>
      <w:r w:rsidRPr="0055589B">
        <w:rPr>
          <w:rFonts w:ascii="Arial" w:hAnsi="Arial" w:cs="Arial"/>
          <w:color w:val="000000" w:themeColor="text1"/>
          <w:szCs w:val="24"/>
          <w:lang w:val="cs-CZ" w:eastAsia="de-AT"/>
        </w:rPr>
        <w:t>;</w:t>
      </w:r>
    </w:p>
    <w:p w14:paraId="7A01444C" w14:textId="0EC65823" w:rsidR="00224561" w:rsidRPr="0055589B" w:rsidRDefault="00224561" w:rsidP="0018227C">
      <w:pPr>
        <w:numPr>
          <w:ilvl w:val="0"/>
          <w:numId w:val="6"/>
        </w:numPr>
        <w:spacing w:after="120" w:line="276" w:lineRule="auto"/>
        <w:ind w:hanging="502"/>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Článek 13 a příloha 2 směrnice o správcích alternativních investičních fondů – </w:t>
      </w:r>
      <w:r w:rsidR="00372C93" w:rsidRPr="0055589B">
        <w:rPr>
          <w:rFonts w:ascii="Arial" w:hAnsi="Arial" w:cs="Arial"/>
          <w:color w:val="000000" w:themeColor="text1"/>
          <w:lang w:val="cs-CZ" w:eastAsia="de-AT"/>
        </w:rPr>
        <w:t>„</w:t>
      </w:r>
      <w:r w:rsidRPr="0055589B">
        <w:rPr>
          <w:rFonts w:ascii="Arial" w:hAnsi="Arial" w:cs="Arial"/>
          <w:color w:val="000000" w:themeColor="text1"/>
          <w:lang w:val="cs-CZ" w:eastAsia="de-AT"/>
        </w:rPr>
        <w:t>AIFMD".</w:t>
      </w:r>
    </w:p>
    <w:p w14:paraId="443B3199" w14:textId="210A3CE0" w:rsidR="006D2134" w:rsidRDefault="007E7C09" w:rsidP="0018227C">
      <w:pPr>
        <w:numPr>
          <w:ilvl w:val="0"/>
          <w:numId w:val="6"/>
        </w:numPr>
        <w:spacing w:after="120" w:line="276" w:lineRule="auto"/>
        <w:ind w:hanging="502"/>
        <w:jc w:val="both"/>
        <w:rPr>
          <w:rFonts w:ascii="Arial" w:eastAsia="Times New Roman" w:hAnsi="Arial" w:cs="Arial"/>
          <w:color w:val="000000" w:themeColor="text1"/>
          <w:lang w:val="cs-CZ" w:eastAsia="de-AT"/>
        </w:rPr>
      </w:pPr>
      <w:r w:rsidRPr="0055589B">
        <w:rPr>
          <w:rFonts w:ascii="Arial" w:eastAsia="Times New Roman" w:hAnsi="Arial" w:cs="Arial"/>
          <w:color w:val="000000" w:themeColor="text1"/>
          <w:lang w:val="cs-CZ" w:eastAsia="de-AT"/>
        </w:rPr>
        <w:t xml:space="preserve">Směrnice o trzích s finančními nástroji II (MiFID II) - směrnice Evropského parlamentu a Rady 2014/65 / EU ze dne 15. května 2014 o trzích finančních nástrojů </w:t>
      </w:r>
    </w:p>
    <w:p w14:paraId="20CE1ECA" w14:textId="616516F4" w:rsidR="00A42D9E" w:rsidRPr="0055589B" w:rsidRDefault="00A42D9E" w:rsidP="00C86D25">
      <w:pPr>
        <w:numPr>
          <w:ilvl w:val="0"/>
          <w:numId w:val="6"/>
        </w:numPr>
        <w:spacing w:after="120" w:line="276" w:lineRule="auto"/>
        <w:ind w:hanging="502"/>
        <w:jc w:val="both"/>
        <w:rPr>
          <w:rFonts w:ascii="Arial" w:eastAsia="Times New Roman" w:hAnsi="Arial" w:cs="Arial"/>
          <w:color w:val="000000" w:themeColor="text1"/>
          <w:lang w:val="cs-CZ" w:eastAsia="de-AT"/>
        </w:rPr>
      </w:pPr>
      <w:r w:rsidRPr="00D0498C">
        <w:rPr>
          <w:rFonts w:ascii="Arial" w:eastAsia="Times New Roman" w:hAnsi="Arial" w:cs="Arial"/>
          <w:color w:val="000000" w:themeColor="text1"/>
          <w:lang w:val="cs-CZ" w:eastAsia="de-AT"/>
        </w:rPr>
        <w:t>Nařízení o zveřejňování informací souvisejících s udržitelností v odvětví finančních služeb (SFDR) - Nařízení Evropského parlamentu a Rady (EU) 2019/2088 ze dne 27. listopadu 2019</w:t>
      </w:r>
    </w:p>
    <w:p w14:paraId="1DA6053B" w14:textId="22C354EC" w:rsidR="00224561" w:rsidRPr="0055589B" w:rsidRDefault="00224561" w:rsidP="007F006A">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V případě, že politika odměňování </w:t>
      </w:r>
      <w:r w:rsidR="00C765C2" w:rsidRPr="0055589B">
        <w:rPr>
          <w:rFonts w:ascii="Arial" w:hAnsi="Arial" w:cs="Arial"/>
          <w:color w:val="000000" w:themeColor="text1"/>
          <w:szCs w:val="24"/>
          <w:lang w:val="cs-CZ" w:eastAsia="de-AT"/>
        </w:rPr>
        <w:t xml:space="preserve">odchyluje od </w:t>
      </w:r>
      <w:r w:rsidRPr="0055589B">
        <w:rPr>
          <w:rFonts w:ascii="Arial" w:hAnsi="Arial" w:cs="Arial"/>
          <w:color w:val="000000" w:themeColor="text1"/>
          <w:szCs w:val="24"/>
          <w:lang w:val="cs-CZ" w:eastAsia="de-AT"/>
        </w:rPr>
        <w:t>vnitrostátní</w:t>
      </w:r>
      <w:r w:rsidR="00C765C2" w:rsidRPr="0055589B">
        <w:rPr>
          <w:rFonts w:ascii="Arial" w:hAnsi="Arial" w:cs="Arial"/>
          <w:color w:val="000000" w:themeColor="text1"/>
          <w:szCs w:val="24"/>
          <w:lang w:val="cs-CZ" w:eastAsia="de-AT"/>
        </w:rPr>
        <w:t>ho</w:t>
      </w:r>
      <w:r w:rsidRPr="0055589B">
        <w:rPr>
          <w:rFonts w:ascii="Arial" w:hAnsi="Arial" w:cs="Arial"/>
          <w:color w:val="000000" w:themeColor="text1"/>
          <w:szCs w:val="24"/>
          <w:lang w:val="cs-CZ" w:eastAsia="de-AT"/>
        </w:rPr>
        <w:t xml:space="preserve"> práva nebo pokud vnitrostátní právní předpisy nebo výklad vnitrostátního </w:t>
      </w:r>
      <w:r w:rsidR="006D3F88" w:rsidRPr="0055589B">
        <w:rPr>
          <w:rFonts w:ascii="Arial" w:hAnsi="Arial" w:cs="Arial"/>
          <w:color w:val="000000" w:themeColor="text1"/>
          <w:szCs w:val="24"/>
          <w:lang w:val="cs-CZ" w:eastAsia="de-AT"/>
        </w:rPr>
        <w:t xml:space="preserve">orgánu </w:t>
      </w:r>
      <w:r w:rsidRPr="0055589B">
        <w:rPr>
          <w:rFonts w:ascii="Arial" w:hAnsi="Arial" w:cs="Arial"/>
          <w:color w:val="000000" w:themeColor="text1"/>
          <w:szCs w:val="24"/>
          <w:lang w:val="cs-CZ" w:eastAsia="de-AT"/>
        </w:rPr>
        <w:t>dozor</w:t>
      </w:r>
      <w:r w:rsidR="006D3F88" w:rsidRPr="0055589B">
        <w:rPr>
          <w:rFonts w:ascii="Arial" w:hAnsi="Arial" w:cs="Arial"/>
          <w:color w:val="000000" w:themeColor="text1"/>
          <w:szCs w:val="24"/>
          <w:lang w:val="cs-CZ" w:eastAsia="de-AT"/>
        </w:rPr>
        <w:t xml:space="preserve">u </w:t>
      </w:r>
      <w:r w:rsidRPr="0055589B">
        <w:rPr>
          <w:rFonts w:ascii="Arial" w:hAnsi="Arial" w:cs="Arial"/>
          <w:color w:val="000000" w:themeColor="text1"/>
          <w:szCs w:val="24"/>
          <w:lang w:val="cs-CZ" w:eastAsia="de-AT"/>
        </w:rPr>
        <w:t xml:space="preserve">jsou přísnější než </w:t>
      </w:r>
      <w:r w:rsidR="002338E7" w:rsidRPr="0055589B">
        <w:rPr>
          <w:rFonts w:ascii="Arial" w:hAnsi="Arial" w:cs="Arial"/>
          <w:color w:val="000000" w:themeColor="text1"/>
          <w:szCs w:val="24"/>
          <w:lang w:val="cs-CZ" w:eastAsia="de-AT"/>
        </w:rPr>
        <w:t>P</w:t>
      </w:r>
      <w:r w:rsidRPr="0055589B">
        <w:rPr>
          <w:rFonts w:ascii="Arial" w:hAnsi="Arial" w:cs="Arial"/>
          <w:color w:val="000000" w:themeColor="text1"/>
          <w:szCs w:val="24"/>
          <w:lang w:val="cs-CZ" w:eastAsia="de-AT"/>
        </w:rPr>
        <w:t xml:space="preserve">olitika odměňování, </w:t>
      </w:r>
      <w:r w:rsidR="002338E7" w:rsidRPr="0055589B">
        <w:rPr>
          <w:rFonts w:ascii="Arial" w:hAnsi="Arial" w:cs="Arial"/>
          <w:color w:val="000000" w:themeColor="text1"/>
          <w:szCs w:val="24"/>
          <w:lang w:val="cs-CZ" w:eastAsia="de-AT"/>
        </w:rPr>
        <w:t xml:space="preserve">použijí se </w:t>
      </w:r>
      <w:r w:rsidRPr="0055589B">
        <w:rPr>
          <w:rFonts w:ascii="Arial" w:hAnsi="Arial" w:cs="Arial"/>
          <w:color w:val="000000" w:themeColor="text1"/>
          <w:szCs w:val="24"/>
          <w:lang w:val="cs-CZ" w:eastAsia="de-AT"/>
        </w:rPr>
        <w:t xml:space="preserve">příslušné vnitrostátní právní předpisy a přísnější předpisy. </w:t>
      </w:r>
    </w:p>
    <w:p w14:paraId="29DB009D" w14:textId="77777777" w:rsidR="00924810" w:rsidRPr="0055589B" w:rsidRDefault="00924810" w:rsidP="00924810">
      <w:pPr>
        <w:spacing w:after="0" w:line="276" w:lineRule="auto"/>
        <w:jc w:val="both"/>
        <w:rPr>
          <w:rFonts w:ascii="Arial" w:eastAsia="Times New Roman" w:hAnsi="Arial" w:cs="Arial"/>
          <w:color w:val="000000" w:themeColor="text1"/>
          <w:lang w:val="cs-CZ" w:eastAsia="de-AT"/>
        </w:rPr>
      </w:pPr>
    </w:p>
    <w:p w14:paraId="05237863" w14:textId="59DB29F5" w:rsidR="00224561" w:rsidRPr="0055589B" w:rsidRDefault="00B34A21" w:rsidP="00694A20">
      <w:pPr>
        <w:pStyle w:val="Nadpis1"/>
        <w:rPr>
          <w:rFonts w:eastAsia="Times New Roman"/>
          <w:color w:val="000000" w:themeColor="text1"/>
          <w:lang w:val="cs-CZ"/>
        </w:rPr>
      </w:pPr>
      <w:bookmarkStart w:id="9" w:name="_Toc459135604"/>
      <w:bookmarkStart w:id="10" w:name="_Ref475979616"/>
      <w:bookmarkStart w:id="11" w:name="_Toc476310014"/>
      <w:bookmarkStart w:id="12" w:name="_Toc476310239"/>
      <w:bookmarkStart w:id="13" w:name="_Toc478113788"/>
      <w:bookmarkStart w:id="14" w:name="_Toc479071309"/>
      <w:bookmarkStart w:id="15" w:name="_Toc490657385"/>
      <w:bookmarkStart w:id="16" w:name="_Toc108689195"/>
      <w:bookmarkStart w:id="17" w:name="_Toc427853386"/>
      <w:r w:rsidRPr="0055589B">
        <w:rPr>
          <w:color w:val="000000" w:themeColor="text1"/>
          <w:lang w:val="cs-CZ"/>
        </w:rPr>
        <w:t>Úprava</w:t>
      </w:r>
      <w:r w:rsidR="00224561" w:rsidRPr="0055589B">
        <w:rPr>
          <w:color w:val="000000" w:themeColor="text1"/>
          <w:lang w:val="cs-CZ"/>
        </w:rPr>
        <w:t xml:space="preserve"> </w:t>
      </w:r>
      <w:bookmarkEnd w:id="9"/>
      <w:r w:rsidR="00224561" w:rsidRPr="0055589B">
        <w:rPr>
          <w:color w:val="000000" w:themeColor="text1"/>
          <w:lang w:val="cs-CZ"/>
        </w:rPr>
        <w:t>odměňování</w:t>
      </w:r>
      <w:bookmarkEnd w:id="10"/>
      <w:bookmarkEnd w:id="11"/>
      <w:bookmarkEnd w:id="12"/>
      <w:bookmarkEnd w:id="13"/>
      <w:bookmarkEnd w:id="14"/>
      <w:bookmarkEnd w:id="15"/>
      <w:bookmarkEnd w:id="16"/>
    </w:p>
    <w:p w14:paraId="3CCE1A2C" w14:textId="54F01972" w:rsidR="00224561" w:rsidRPr="0055589B" w:rsidRDefault="00224561" w:rsidP="007F006A">
      <w:pPr>
        <w:spacing w:after="120" w:line="288" w:lineRule="auto"/>
        <w:jc w:val="both"/>
        <w:rPr>
          <w:rFonts w:ascii="Arial" w:eastAsia="Times New Roman" w:hAnsi="Arial" w:cs="Arial"/>
          <w:color w:val="000000" w:themeColor="text1"/>
          <w:szCs w:val="24"/>
          <w:lang w:val="cs-CZ" w:eastAsia="de-DE"/>
        </w:rPr>
      </w:pPr>
      <w:r w:rsidRPr="0055589B">
        <w:rPr>
          <w:rFonts w:ascii="Arial" w:hAnsi="Arial" w:cs="Arial"/>
          <w:color w:val="000000" w:themeColor="text1"/>
          <w:szCs w:val="24"/>
          <w:lang w:val="cs-CZ" w:eastAsia="de-DE"/>
        </w:rPr>
        <w:t xml:space="preserve">Dozorčí rada a </w:t>
      </w:r>
      <w:r w:rsidR="00CF3090" w:rsidRPr="0055589B">
        <w:rPr>
          <w:rFonts w:ascii="Arial" w:hAnsi="Arial" w:cs="Arial"/>
          <w:color w:val="000000" w:themeColor="text1"/>
          <w:szCs w:val="24"/>
          <w:lang w:val="cs-CZ" w:eastAsia="de-DE"/>
        </w:rPr>
        <w:t>V</w:t>
      </w:r>
      <w:r w:rsidRPr="0055589B">
        <w:rPr>
          <w:rFonts w:ascii="Arial" w:hAnsi="Arial" w:cs="Arial"/>
          <w:color w:val="000000" w:themeColor="text1"/>
          <w:szCs w:val="24"/>
          <w:lang w:val="cs-CZ" w:eastAsia="de-DE"/>
        </w:rPr>
        <w:t>ýbor pro odměňování př</w:t>
      </w:r>
      <w:r w:rsidR="00611E30" w:rsidRPr="0055589B">
        <w:rPr>
          <w:rFonts w:ascii="Arial" w:hAnsi="Arial" w:cs="Arial"/>
          <w:color w:val="000000" w:themeColor="text1"/>
          <w:szCs w:val="24"/>
          <w:lang w:val="cs-CZ" w:eastAsia="de-DE"/>
        </w:rPr>
        <w:t>ijímají</w:t>
      </w:r>
      <w:r w:rsidRPr="0055589B">
        <w:rPr>
          <w:rFonts w:ascii="Arial" w:hAnsi="Arial" w:cs="Arial"/>
          <w:color w:val="000000" w:themeColor="text1"/>
          <w:szCs w:val="24"/>
          <w:lang w:val="cs-CZ" w:eastAsia="de-DE"/>
        </w:rPr>
        <w:t xml:space="preserve"> a pravidelně přezkoumávají obecné zásady politiky odměňování, v případě potřeby </w:t>
      </w:r>
      <w:r w:rsidR="00FA4AAE" w:rsidRPr="0055589B">
        <w:rPr>
          <w:rFonts w:ascii="Arial" w:hAnsi="Arial" w:cs="Arial"/>
          <w:color w:val="000000" w:themeColor="text1"/>
          <w:szCs w:val="24"/>
          <w:lang w:val="cs-CZ" w:eastAsia="de-DE"/>
        </w:rPr>
        <w:t xml:space="preserve">je mění </w:t>
      </w:r>
      <w:r w:rsidRPr="0055589B">
        <w:rPr>
          <w:rFonts w:ascii="Arial" w:hAnsi="Arial" w:cs="Arial"/>
          <w:color w:val="000000" w:themeColor="text1"/>
          <w:szCs w:val="24"/>
          <w:lang w:val="cs-CZ" w:eastAsia="de-DE"/>
        </w:rPr>
        <w:t xml:space="preserve">a odpovídají za její provádění. Provádění politiky odměňování </w:t>
      </w:r>
      <w:r w:rsidR="00C5497B" w:rsidRPr="0055589B">
        <w:rPr>
          <w:rFonts w:ascii="Arial" w:hAnsi="Arial" w:cs="Arial"/>
          <w:color w:val="000000" w:themeColor="text1"/>
          <w:szCs w:val="24"/>
          <w:lang w:val="cs-CZ" w:eastAsia="de-DE"/>
        </w:rPr>
        <w:t xml:space="preserve">podléhá nejméně jednou ročně </w:t>
      </w:r>
      <w:r w:rsidRPr="0055589B">
        <w:rPr>
          <w:rFonts w:ascii="Arial" w:hAnsi="Arial" w:cs="Arial"/>
          <w:color w:val="000000" w:themeColor="text1"/>
          <w:szCs w:val="24"/>
          <w:lang w:val="cs-CZ" w:eastAsia="de-DE"/>
        </w:rPr>
        <w:t>centrální</w:t>
      </w:r>
      <w:r w:rsidR="00C5497B" w:rsidRPr="0055589B">
        <w:rPr>
          <w:rFonts w:ascii="Arial" w:hAnsi="Arial" w:cs="Arial"/>
          <w:color w:val="000000" w:themeColor="text1"/>
          <w:szCs w:val="24"/>
          <w:lang w:val="cs-CZ" w:eastAsia="de-DE"/>
        </w:rPr>
        <w:t>mu</w:t>
      </w:r>
      <w:r w:rsidRPr="0055589B">
        <w:rPr>
          <w:rFonts w:ascii="Arial" w:hAnsi="Arial" w:cs="Arial"/>
          <w:color w:val="000000" w:themeColor="text1"/>
          <w:szCs w:val="24"/>
          <w:lang w:val="cs-CZ" w:eastAsia="de-DE"/>
        </w:rPr>
        <w:t xml:space="preserve"> a nezávisl</w:t>
      </w:r>
      <w:r w:rsidR="005D170C" w:rsidRPr="0055589B">
        <w:rPr>
          <w:rFonts w:ascii="Arial" w:hAnsi="Arial" w:cs="Arial"/>
          <w:color w:val="000000" w:themeColor="text1"/>
          <w:szCs w:val="24"/>
          <w:lang w:val="cs-CZ" w:eastAsia="de-DE"/>
        </w:rPr>
        <w:t xml:space="preserve">ému internímu přezkumu </w:t>
      </w:r>
      <w:r w:rsidRPr="0055589B">
        <w:rPr>
          <w:rFonts w:ascii="Arial" w:hAnsi="Arial" w:cs="Arial"/>
          <w:color w:val="000000" w:themeColor="text1"/>
          <w:szCs w:val="24"/>
          <w:lang w:val="cs-CZ" w:eastAsia="de-DE"/>
        </w:rPr>
        <w:t>soulad</w:t>
      </w:r>
      <w:r w:rsidR="005D170C" w:rsidRPr="0055589B">
        <w:rPr>
          <w:rFonts w:ascii="Arial" w:hAnsi="Arial" w:cs="Arial"/>
          <w:color w:val="000000" w:themeColor="text1"/>
          <w:szCs w:val="24"/>
          <w:lang w:val="cs-CZ" w:eastAsia="de-DE"/>
        </w:rPr>
        <w:t>u</w:t>
      </w:r>
      <w:r w:rsidRPr="0055589B">
        <w:rPr>
          <w:rFonts w:ascii="Arial" w:hAnsi="Arial" w:cs="Arial"/>
          <w:color w:val="000000" w:themeColor="text1"/>
          <w:szCs w:val="24"/>
          <w:lang w:val="cs-CZ" w:eastAsia="de-DE"/>
        </w:rPr>
        <w:t xml:space="preserve"> s právními požadavky, </w:t>
      </w:r>
      <w:r w:rsidR="005D170C" w:rsidRPr="0055589B">
        <w:rPr>
          <w:rFonts w:ascii="Arial" w:hAnsi="Arial" w:cs="Arial"/>
          <w:color w:val="000000" w:themeColor="text1"/>
          <w:szCs w:val="24"/>
          <w:lang w:val="cs-CZ" w:eastAsia="de-DE"/>
        </w:rPr>
        <w:t xml:space="preserve">regulatorními předpisy, politikami a </w:t>
      </w:r>
      <w:r w:rsidRPr="0055589B">
        <w:rPr>
          <w:rFonts w:ascii="Arial" w:hAnsi="Arial" w:cs="Arial"/>
          <w:color w:val="000000" w:themeColor="text1"/>
          <w:szCs w:val="24"/>
          <w:lang w:val="cs-CZ" w:eastAsia="de-DE"/>
        </w:rPr>
        <w:t xml:space="preserve">postupy odměňování přijatými společností. </w:t>
      </w:r>
    </w:p>
    <w:p w14:paraId="49CEEA44" w14:textId="00CF48BD" w:rsidR="00224561" w:rsidRPr="0055589B" w:rsidRDefault="00224561" w:rsidP="007F006A">
      <w:pPr>
        <w:spacing w:after="120" w:line="288" w:lineRule="auto"/>
        <w:jc w:val="both"/>
        <w:rPr>
          <w:rFonts w:ascii="Arial" w:eastAsia="Times New Roman" w:hAnsi="Arial" w:cs="Arial"/>
          <w:color w:val="000000" w:themeColor="text1"/>
          <w:szCs w:val="24"/>
          <w:lang w:val="cs-CZ" w:eastAsia="de-DE"/>
        </w:rPr>
      </w:pPr>
      <w:r w:rsidRPr="0055589B">
        <w:rPr>
          <w:rFonts w:ascii="Arial" w:hAnsi="Arial" w:cs="Arial"/>
          <w:color w:val="000000" w:themeColor="text1"/>
          <w:szCs w:val="24"/>
          <w:lang w:val="cs-CZ" w:eastAsia="de-DE"/>
        </w:rPr>
        <w:t xml:space="preserve">Všechny příslušné interní funkce (tj. interní audit, řízení rizik, </w:t>
      </w:r>
      <w:r w:rsidR="00DA654E" w:rsidRPr="0055589B">
        <w:rPr>
          <w:rFonts w:ascii="Arial" w:hAnsi="Arial" w:cs="Arial"/>
          <w:color w:val="000000" w:themeColor="text1"/>
          <w:szCs w:val="24"/>
          <w:lang w:val="cs-CZ" w:eastAsia="de-DE"/>
        </w:rPr>
        <w:t>compliance</w:t>
      </w:r>
      <w:r w:rsidRPr="0055589B">
        <w:rPr>
          <w:rFonts w:ascii="Arial" w:hAnsi="Arial" w:cs="Arial"/>
          <w:color w:val="000000" w:themeColor="text1"/>
          <w:szCs w:val="24"/>
          <w:lang w:val="cs-CZ" w:eastAsia="de-DE"/>
        </w:rPr>
        <w:t>, právní</w:t>
      </w:r>
      <w:r w:rsidR="00DA654E" w:rsidRPr="0055589B">
        <w:rPr>
          <w:rFonts w:ascii="Arial" w:hAnsi="Arial" w:cs="Arial"/>
          <w:color w:val="000000" w:themeColor="text1"/>
          <w:szCs w:val="24"/>
          <w:lang w:val="cs-CZ" w:eastAsia="de-DE"/>
        </w:rPr>
        <w:t xml:space="preserve"> oddělení,</w:t>
      </w:r>
      <w:r w:rsidRPr="0055589B">
        <w:rPr>
          <w:rFonts w:ascii="Arial" w:hAnsi="Arial" w:cs="Arial"/>
          <w:color w:val="000000" w:themeColor="text1"/>
          <w:szCs w:val="24"/>
          <w:lang w:val="cs-CZ" w:eastAsia="de-DE"/>
        </w:rPr>
        <w:t xml:space="preserve"> lidské zdroje) úzce spolupracují a zajišťují, aby</w:t>
      </w:r>
      <w:r w:rsidRPr="0055589B">
        <w:rPr>
          <w:rFonts w:ascii="Arial" w:hAnsi="Arial" w:cs="Arial"/>
          <w:color w:val="000000" w:themeColor="text1"/>
          <w:szCs w:val="20"/>
          <w:lang w:val="cs-CZ" w:eastAsia="de-DE"/>
        </w:rPr>
        <w:t xml:space="preserve"> politika odměňování </w:t>
      </w:r>
      <w:r w:rsidR="00DA654E" w:rsidRPr="0055589B">
        <w:rPr>
          <w:rFonts w:ascii="Arial" w:hAnsi="Arial" w:cs="Arial"/>
          <w:color w:val="000000" w:themeColor="text1"/>
          <w:szCs w:val="24"/>
          <w:lang w:val="cs-CZ" w:eastAsia="de-DE"/>
        </w:rPr>
        <w:t>byla</w:t>
      </w:r>
      <w:r w:rsidRPr="0055589B">
        <w:rPr>
          <w:rFonts w:ascii="Arial" w:hAnsi="Arial" w:cs="Arial"/>
          <w:color w:val="000000" w:themeColor="text1"/>
          <w:szCs w:val="24"/>
          <w:lang w:val="cs-CZ" w:eastAsia="de-DE"/>
        </w:rPr>
        <w:t xml:space="preserve"> v souladu s</w:t>
      </w:r>
      <w:r w:rsidR="000A541E" w:rsidRPr="0055589B">
        <w:rPr>
          <w:rFonts w:ascii="Arial" w:hAnsi="Arial" w:cs="Arial"/>
          <w:color w:val="000000" w:themeColor="text1"/>
          <w:szCs w:val="20"/>
          <w:lang w:val="cs-CZ" w:eastAsia="de-DE"/>
        </w:rPr>
        <w:t xml:space="preserve"> řádným a efektivním řízením rizik a bude jej podporovat.  </w:t>
      </w:r>
    </w:p>
    <w:p w14:paraId="21FE1C34" w14:textId="04222355" w:rsidR="00224561" w:rsidRPr="0055589B" w:rsidRDefault="00224561" w:rsidP="006033BF">
      <w:pPr>
        <w:pStyle w:val="Nadpis2"/>
        <w:rPr>
          <w:rFonts w:eastAsia="Times New Roman"/>
          <w:color w:val="000000" w:themeColor="text1"/>
          <w:lang w:val="cs-CZ"/>
        </w:rPr>
      </w:pPr>
      <w:bookmarkStart w:id="18" w:name="_Toc476310015"/>
      <w:bookmarkStart w:id="19" w:name="_Toc476310240"/>
      <w:bookmarkStart w:id="20" w:name="_Toc479071310"/>
      <w:bookmarkStart w:id="21" w:name="_Toc490657386"/>
      <w:bookmarkStart w:id="22" w:name="_Toc108689196"/>
      <w:r w:rsidRPr="0055589B">
        <w:rPr>
          <w:color w:val="000000" w:themeColor="text1"/>
          <w:lang w:val="cs-CZ"/>
        </w:rPr>
        <w:t xml:space="preserve">Dozorčí </w:t>
      </w:r>
      <w:bookmarkEnd w:id="18"/>
      <w:bookmarkEnd w:id="19"/>
      <w:bookmarkEnd w:id="20"/>
      <w:bookmarkEnd w:id="21"/>
      <w:r w:rsidR="00C70E68" w:rsidRPr="0055589B">
        <w:rPr>
          <w:color w:val="000000" w:themeColor="text1"/>
          <w:lang w:val="cs-CZ"/>
        </w:rPr>
        <w:t>rada</w:t>
      </w:r>
      <w:bookmarkEnd w:id="22"/>
      <w:r w:rsidR="00C70E68" w:rsidRPr="0055589B">
        <w:rPr>
          <w:color w:val="000000" w:themeColor="text1"/>
          <w:lang w:val="cs-CZ"/>
        </w:rPr>
        <w:t xml:space="preserve"> </w:t>
      </w:r>
    </w:p>
    <w:p w14:paraId="2C8CC724" w14:textId="30FC6105" w:rsidR="00224561" w:rsidRPr="0055589B" w:rsidRDefault="00224561" w:rsidP="007F006A">
      <w:pPr>
        <w:spacing w:after="120" w:line="288" w:lineRule="auto"/>
        <w:jc w:val="both"/>
        <w:rPr>
          <w:rFonts w:ascii="Arial" w:eastAsia="Times New Roman" w:hAnsi="Arial" w:cs="Arial"/>
          <w:color w:val="000000" w:themeColor="text1"/>
          <w:szCs w:val="24"/>
          <w:lang w:val="cs-CZ" w:eastAsia="de-DE"/>
        </w:rPr>
      </w:pPr>
      <w:r w:rsidRPr="0055589B">
        <w:rPr>
          <w:rFonts w:ascii="Arial" w:hAnsi="Arial" w:cs="Arial"/>
          <w:color w:val="000000" w:themeColor="text1"/>
          <w:szCs w:val="24"/>
          <w:lang w:val="cs-CZ" w:eastAsia="de-DE"/>
        </w:rPr>
        <w:t>Dozorčí rada odpov</w:t>
      </w:r>
      <w:r w:rsidR="009F4FC5" w:rsidRPr="0055589B">
        <w:rPr>
          <w:rFonts w:ascii="Arial" w:hAnsi="Arial" w:cs="Arial"/>
          <w:color w:val="000000" w:themeColor="text1"/>
          <w:szCs w:val="24"/>
          <w:lang w:val="cs-CZ" w:eastAsia="de-DE"/>
        </w:rPr>
        <w:t>ídá z</w:t>
      </w:r>
      <w:r w:rsidRPr="0055589B">
        <w:rPr>
          <w:rFonts w:ascii="Arial" w:hAnsi="Arial" w:cs="Arial"/>
          <w:color w:val="000000" w:themeColor="text1"/>
          <w:szCs w:val="24"/>
          <w:lang w:val="cs-CZ" w:eastAsia="de-DE"/>
        </w:rPr>
        <w:t xml:space="preserve">a </w:t>
      </w:r>
      <w:r w:rsidR="009F4FC5" w:rsidRPr="0055589B">
        <w:rPr>
          <w:rFonts w:ascii="Arial" w:hAnsi="Arial" w:cs="Arial"/>
          <w:color w:val="000000" w:themeColor="text1"/>
          <w:szCs w:val="24"/>
          <w:lang w:val="cs-CZ" w:eastAsia="de-DE"/>
        </w:rPr>
        <w:t xml:space="preserve">zavedení a správu </w:t>
      </w:r>
      <w:r w:rsidRPr="0055589B">
        <w:rPr>
          <w:rFonts w:ascii="Arial" w:hAnsi="Arial" w:cs="Arial"/>
          <w:color w:val="000000" w:themeColor="text1"/>
          <w:szCs w:val="24"/>
          <w:lang w:val="cs-CZ" w:eastAsia="de-DE"/>
        </w:rPr>
        <w:t>politik</w:t>
      </w:r>
      <w:r w:rsidR="009F4FC5" w:rsidRPr="0055589B">
        <w:rPr>
          <w:rFonts w:ascii="Arial" w:hAnsi="Arial" w:cs="Arial"/>
          <w:color w:val="000000" w:themeColor="text1"/>
          <w:szCs w:val="24"/>
          <w:lang w:val="cs-CZ" w:eastAsia="de-DE"/>
        </w:rPr>
        <w:t>y</w:t>
      </w:r>
      <w:r w:rsidRPr="0055589B">
        <w:rPr>
          <w:rFonts w:ascii="Arial" w:hAnsi="Arial" w:cs="Arial"/>
          <w:color w:val="000000" w:themeColor="text1"/>
          <w:szCs w:val="24"/>
          <w:lang w:val="cs-CZ" w:eastAsia="de-DE"/>
        </w:rPr>
        <w:t xml:space="preserve"> odměňování instituce a </w:t>
      </w:r>
      <w:r w:rsidR="004B004D" w:rsidRPr="0055589B">
        <w:rPr>
          <w:rFonts w:ascii="Arial" w:hAnsi="Arial" w:cs="Arial"/>
          <w:color w:val="000000" w:themeColor="text1"/>
          <w:szCs w:val="24"/>
          <w:lang w:val="cs-CZ" w:eastAsia="de-DE"/>
        </w:rPr>
        <w:t xml:space="preserve">za dohled </w:t>
      </w:r>
      <w:r w:rsidRPr="0055589B">
        <w:rPr>
          <w:rFonts w:ascii="Arial" w:hAnsi="Arial" w:cs="Arial"/>
          <w:color w:val="000000" w:themeColor="text1"/>
          <w:szCs w:val="24"/>
          <w:lang w:val="cs-CZ" w:eastAsia="de-DE"/>
        </w:rPr>
        <w:t>nad jejím prováděním, aby bylo zajištěno, že bude plně fun</w:t>
      </w:r>
      <w:r w:rsidR="001F62AD" w:rsidRPr="0055589B">
        <w:rPr>
          <w:rFonts w:ascii="Arial" w:hAnsi="Arial" w:cs="Arial"/>
          <w:color w:val="000000" w:themeColor="text1"/>
          <w:szCs w:val="24"/>
          <w:lang w:val="cs-CZ" w:eastAsia="de-DE"/>
        </w:rPr>
        <w:t xml:space="preserve">kční v souladu s předpoklady. </w:t>
      </w:r>
    </w:p>
    <w:p w14:paraId="2FC07829" w14:textId="44C362CA" w:rsidR="00224561" w:rsidRPr="0055589B" w:rsidRDefault="00224561" w:rsidP="007F006A">
      <w:pPr>
        <w:spacing w:after="120" w:line="288" w:lineRule="auto"/>
        <w:jc w:val="both"/>
        <w:rPr>
          <w:rFonts w:ascii="Arial" w:eastAsia="Times New Roman" w:hAnsi="Arial" w:cs="Arial"/>
          <w:color w:val="000000" w:themeColor="text1"/>
          <w:lang w:val="cs-CZ" w:eastAsia="de-DE"/>
        </w:rPr>
      </w:pPr>
      <w:r w:rsidRPr="0055589B">
        <w:rPr>
          <w:rFonts w:ascii="Arial" w:hAnsi="Arial" w:cs="Arial"/>
          <w:color w:val="000000" w:themeColor="text1"/>
          <w:lang w:val="cs-CZ" w:eastAsia="de-DE"/>
        </w:rPr>
        <w:t xml:space="preserve">Dozorčí rada může </w:t>
      </w:r>
      <w:r w:rsidR="001F62AD" w:rsidRPr="0055589B">
        <w:rPr>
          <w:rFonts w:ascii="Arial" w:hAnsi="Arial" w:cs="Arial"/>
          <w:color w:val="000000" w:themeColor="text1"/>
          <w:lang w:val="cs-CZ" w:eastAsia="de-DE"/>
        </w:rPr>
        <w:t>V</w:t>
      </w:r>
      <w:r w:rsidRPr="0055589B">
        <w:rPr>
          <w:rFonts w:ascii="Arial" w:hAnsi="Arial" w:cs="Arial"/>
          <w:color w:val="000000" w:themeColor="text1"/>
          <w:lang w:val="cs-CZ" w:eastAsia="de-DE"/>
        </w:rPr>
        <w:t>ýboru pro odměňování delegovat odpovědnost za témata související s odměňováním. Dozorčí rada je průběžně informována o činnost</w:t>
      </w:r>
      <w:r w:rsidR="001F62AD" w:rsidRPr="0055589B">
        <w:rPr>
          <w:rFonts w:ascii="Arial" w:hAnsi="Arial" w:cs="Arial"/>
          <w:color w:val="000000" w:themeColor="text1"/>
          <w:lang w:val="cs-CZ" w:eastAsia="de-DE"/>
        </w:rPr>
        <w:t>i</w:t>
      </w:r>
      <w:r w:rsidRPr="0055589B">
        <w:rPr>
          <w:rFonts w:ascii="Arial" w:hAnsi="Arial" w:cs="Arial"/>
          <w:color w:val="000000" w:themeColor="text1"/>
          <w:lang w:val="cs-CZ" w:eastAsia="de-DE"/>
        </w:rPr>
        <w:t xml:space="preserve"> </w:t>
      </w:r>
      <w:r w:rsidR="001F62AD" w:rsidRPr="0055589B">
        <w:rPr>
          <w:rFonts w:ascii="Arial" w:hAnsi="Arial" w:cs="Arial"/>
          <w:color w:val="000000" w:themeColor="text1"/>
          <w:lang w:val="cs-CZ" w:eastAsia="de-DE"/>
        </w:rPr>
        <w:t>V</w:t>
      </w:r>
      <w:r w:rsidRPr="0055589B">
        <w:rPr>
          <w:rFonts w:ascii="Arial" w:hAnsi="Arial" w:cs="Arial"/>
          <w:color w:val="000000" w:themeColor="text1"/>
          <w:lang w:val="cs-CZ" w:eastAsia="de-DE"/>
        </w:rPr>
        <w:t>ýboru pro odměňování prostřednictvím formálních zpráv</w:t>
      </w:r>
      <w:r w:rsidR="001F62AD" w:rsidRPr="0055589B">
        <w:rPr>
          <w:rFonts w:ascii="Arial" w:hAnsi="Arial" w:cs="Arial"/>
          <w:color w:val="000000" w:themeColor="text1"/>
          <w:lang w:val="cs-CZ" w:eastAsia="de-DE"/>
        </w:rPr>
        <w:t>. Dostává t</w:t>
      </w:r>
      <w:r w:rsidRPr="0055589B">
        <w:rPr>
          <w:rFonts w:ascii="Arial" w:hAnsi="Arial" w:cs="Arial"/>
          <w:color w:val="000000" w:themeColor="text1"/>
          <w:lang w:val="cs-CZ" w:eastAsia="de-DE"/>
        </w:rPr>
        <w:t>ak příležitost</w:t>
      </w:r>
      <w:r w:rsidR="007E7BD7" w:rsidRPr="0055589B">
        <w:rPr>
          <w:rFonts w:ascii="Arial" w:hAnsi="Arial" w:cs="Arial"/>
          <w:color w:val="000000" w:themeColor="text1"/>
          <w:lang w:val="cs-CZ" w:eastAsia="de-DE"/>
        </w:rPr>
        <w:t xml:space="preserve"> vzít </w:t>
      </w:r>
      <w:r w:rsidRPr="0055589B">
        <w:rPr>
          <w:rFonts w:ascii="Arial" w:hAnsi="Arial" w:cs="Arial"/>
          <w:color w:val="000000" w:themeColor="text1"/>
          <w:lang w:val="cs-CZ" w:eastAsia="de-DE"/>
        </w:rPr>
        <w:t>jeho stanovis</w:t>
      </w:r>
      <w:r w:rsidR="007E7BD7" w:rsidRPr="0055589B">
        <w:rPr>
          <w:rFonts w:ascii="Arial" w:hAnsi="Arial" w:cs="Arial"/>
          <w:color w:val="000000" w:themeColor="text1"/>
          <w:lang w:val="cs-CZ" w:eastAsia="de-DE"/>
        </w:rPr>
        <w:t>ka v potaz</w:t>
      </w:r>
      <w:r w:rsidRPr="0055589B">
        <w:rPr>
          <w:rFonts w:ascii="Arial" w:hAnsi="Arial" w:cs="Arial"/>
          <w:color w:val="000000" w:themeColor="text1"/>
          <w:lang w:val="cs-CZ" w:eastAsia="de-DE"/>
        </w:rPr>
        <w:t xml:space="preserve">. </w:t>
      </w:r>
    </w:p>
    <w:p w14:paraId="05CE8CB2" w14:textId="3B550ECB" w:rsidR="00224561" w:rsidRPr="0055589B" w:rsidRDefault="00224561" w:rsidP="007F006A">
      <w:pPr>
        <w:spacing w:after="120" w:line="288" w:lineRule="auto"/>
        <w:jc w:val="both"/>
        <w:rPr>
          <w:rFonts w:ascii="Arial" w:eastAsia="Times New Roman" w:hAnsi="Arial" w:cs="Arial"/>
          <w:color w:val="000000" w:themeColor="text1"/>
          <w:lang w:val="cs-CZ" w:eastAsia="de-DE"/>
        </w:rPr>
      </w:pPr>
      <w:r w:rsidRPr="0055589B">
        <w:rPr>
          <w:rFonts w:ascii="Arial" w:hAnsi="Arial" w:cs="Arial"/>
          <w:color w:val="000000" w:themeColor="text1"/>
          <w:lang w:val="cs-CZ" w:eastAsia="de-DE"/>
        </w:rPr>
        <w:t xml:space="preserve">Dozorčí rada může kdykoli částečně nebo úplně zrušit odpovědnost </w:t>
      </w:r>
      <w:r w:rsidR="007E7BD7" w:rsidRPr="0055589B">
        <w:rPr>
          <w:rFonts w:ascii="Arial" w:hAnsi="Arial" w:cs="Arial"/>
          <w:color w:val="000000" w:themeColor="text1"/>
          <w:lang w:val="cs-CZ" w:eastAsia="de-DE"/>
        </w:rPr>
        <w:t>V</w:t>
      </w:r>
      <w:r w:rsidRPr="0055589B">
        <w:rPr>
          <w:rFonts w:ascii="Arial" w:hAnsi="Arial" w:cs="Arial"/>
          <w:color w:val="000000" w:themeColor="text1"/>
          <w:lang w:val="cs-CZ" w:eastAsia="de-DE"/>
        </w:rPr>
        <w:t xml:space="preserve">ýboru pro odměňování za témata související s odměňováním. </w:t>
      </w:r>
    </w:p>
    <w:p w14:paraId="5FF84D4C" w14:textId="0D6F26DC" w:rsidR="00224561" w:rsidRPr="0055589B" w:rsidRDefault="00224561" w:rsidP="007F006A">
      <w:pPr>
        <w:spacing w:after="120" w:line="288" w:lineRule="auto"/>
        <w:jc w:val="both"/>
        <w:rPr>
          <w:rFonts w:ascii="Arial" w:eastAsia="Times New Roman" w:hAnsi="Arial" w:cs="Arial"/>
          <w:color w:val="000000" w:themeColor="text1"/>
          <w:szCs w:val="24"/>
          <w:lang w:val="cs-CZ" w:eastAsia="de-DE"/>
        </w:rPr>
      </w:pPr>
      <w:r w:rsidRPr="0055589B">
        <w:rPr>
          <w:rFonts w:ascii="Arial" w:hAnsi="Arial" w:cs="Arial"/>
          <w:color w:val="000000" w:themeColor="text1"/>
          <w:szCs w:val="24"/>
          <w:lang w:val="cs-CZ" w:eastAsia="de-DE"/>
        </w:rPr>
        <w:t>N</w:t>
      </w:r>
      <w:r w:rsidR="007E7BD7" w:rsidRPr="0055589B">
        <w:rPr>
          <w:rFonts w:ascii="Arial" w:hAnsi="Arial" w:cs="Arial"/>
          <w:color w:val="000000" w:themeColor="text1"/>
          <w:szCs w:val="24"/>
          <w:lang w:val="cs-CZ" w:eastAsia="de-DE"/>
        </w:rPr>
        <w:t xml:space="preserve">íže uvedená </w:t>
      </w:r>
      <w:r w:rsidRPr="0055589B">
        <w:rPr>
          <w:rFonts w:ascii="Arial" w:hAnsi="Arial" w:cs="Arial"/>
          <w:color w:val="000000" w:themeColor="text1"/>
          <w:szCs w:val="24"/>
          <w:lang w:val="cs-CZ" w:eastAsia="de-DE"/>
        </w:rPr>
        <w:t xml:space="preserve">témata zůstávají v kompetenci </w:t>
      </w:r>
      <w:r w:rsidR="005D3351" w:rsidRPr="0055589B">
        <w:rPr>
          <w:rFonts w:ascii="Arial" w:hAnsi="Arial" w:cs="Arial"/>
          <w:color w:val="000000" w:themeColor="text1"/>
          <w:szCs w:val="24"/>
          <w:lang w:val="cs-CZ" w:eastAsia="de-DE"/>
        </w:rPr>
        <w:t>D</w:t>
      </w:r>
      <w:r w:rsidRPr="0055589B">
        <w:rPr>
          <w:rFonts w:ascii="Arial" w:hAnsi="Arial" w:cs="Arial"/>
          <w:color w:val="000000" w:themeColor="text1"/>
          <w:szCs w:val="24"/>
          <w:lang w:val="cs-CZ" w:eastAsia="de-DE"/>
        </w:rPr>
        <w:t>ozorčí</w:t>
      </w:r>
      <w:r w:rsidR="005D3351" w:rsidRPr="0055589B">
        <w:rPr>
          <w:rFonts w:ascii="Arial" w:hAnsi="Arial" w:cs="Arial"/>
          <w:color w:val="000000" w:themeColor="text1"/>
          <w:szCs w:val="24"/>
          <w:lang w:val="cs-CZ" w:eastAsia="de-DE"/>
        </w:rPr>
        <w:t xml:space="preserve"> rady </w:t>
      </w:r>
      <w:r w:rsidRPr="0055589B">
        <w:rPr>
          <w:rFonts w:ascii="Arial" w:hAnsi="Arial" w:cs="Arial"/>
          <w:color w:val="000000" w:themeColor="text1"/>
          <w:szCs w:val="24"/>
          <w:lang w:val="cs-CZ" w:eastAsia="de-DE"/>
        </w:rPr>
        <w:t>a ne</w:t>
      </w:r>
      <w:r w:rsidR="005D3351" w:rsidRPr="0055589B">
        <w:rPr>
          <w:rFonts w:ascii="Arial" w:hAnsi="Arial" w:cs="Arial"/>
          <w:color w:val="000000" w:themeColor="text1"/>
          <w:szCs w:val="24"/>
          <w:lang w:val="cs-CZ" w:eastAsia="de-DE"/>
        </w:rPr>
        <w:t xml:space="preserve">lze je delegovat </w:t>
      </w:r>
      <w:r w:rsidRPr="0055589B">
        <w:rPr>
          <w:rFonts w:ascii="Arial" w:hAnsi="Arial" w:cs="Arial"/>
          <w:color w:val="000000" w:themeColor="text1"/>
          <w:szCs w:val="24"/>
          <w:lang w:val="cs-CZ" w:eastAsia="de-DE"/>
        </w:rPr>
        <w:t>na Výbor pro odměňování:</w:t>
      </w:r>
    </w:p>
    <w:p w14:paraId="53BA4522" w14:textId="61854083" w:rsidR="00224561" w:rsidRPr="0055589B" w:rsidRDefault="00CE6CCA" w:rsidP="00224561">
      <w:pPr>
        <w:numPr>
          <w:ilvl w:val="0"/>
          <w:numId w:val="24"/>
        </w:numPr>
        <w:spacing w:after="120" w:line="288" w:lineRule="auto"/>
        <w:jc w:val="both"/>
        <w:rPr>
          <w:rFonts w:ascii="Arial" w:eastAsia="Times New Roman" w:hAnsi="Arial" w:cs="Arial"/>
          <w:color w:val="000000" w:themeColor="text1"/>
          <w:lang w:val="cs-CZ" w:eastAsia="de-DE"/>
        </w:rPr>
      </w:pPr>
      <w:r w:rsidRPr="0055589B">
        <w:rPr>
          <w:rFonts w:ascii="Arial" w:hAnsi="Arial" w:cs="Arial"/>
          <w:color w:val="000000" w:themeColor="text1"/>
          <w:szCs w:val="24"/>
          <w:lang w:val="cs-CZ" w:eastAsia="de-DE"/>
        </w:rPr>
        <w:lastRenderedPageBreak/>
        <w:t>Schvalování variabilních odměn</w:t>
      </w:r>
      <w:r w:rsidRPr="0055589B">
        <w:rPr>
          <w:rFonts w:ascii="Arial" w:hAnsi="Arial" w:cs="Arial"/>
          <w:color w:val="000000" w:themeColor="text1"/>
          <w:lang w:val="cs-CZ" w:eastAsia="de-DE"/>
        </w:rPr>
        <w:t xml:space="preserve"> </w:t>
      </w:r>
      <w:r w:rsidR="00224561" w:rsidRPr="0055589B">
        <w:rPr>
          <w:rFonts w:ascii="Arial" w:hAnsi="Arial" w:cs="Arial"/>
          <w:color w:val="000000" w:themeColor="text1"/>
          <w:lang w:val="cs-CZ" w:eastAsia="de-DE"/>
        </w:rPr>
        <w:t xml:space="preserve">členů </w:t>
      </w:r>
      <w:r w:rsidR="007E4DE3" w:rsidRPr="0055589B">
        <w:rPr>
          <w:rFonts w:ascii="Arial" w:hAnsi="Arial" w:cs="Arial"/>
          <w:color w:val="000000" w:themeColor="text1"/>
          <w:lang w:val="cs-CZ" w:eastAsia="de-DE"/>
        </w:rPr>
        <w:t>Představenst</w:t>
      </w:r>
      <w:r w:rsidR="005401C8" w:rsidRPr="0055589B">
        <w:rPr>
          <w:rFonts w:ascii="Arial" w:hAnsi="Arial" w:cs="Arial"/>
          <w:color w:val="000000" w:themeColor="text1"/>
          <w:lang w:val="cs-CZ" w:eastAsia="de-DE"/>
        </w:rPr>
        <w:t>va</w:t>
      </w:r>
      <w:r w:rsidR="00224561" w:rsidRPr="0055589B">
        <w:rPr>
          <w:rFonts w:ascii="Arial" w:hAnsi="Arial" w:cs="Arial"/>
          <w:color w:val="000000" w:themeColor="text1"/>
          <w:lang w:val="cs-CZ" w:eastAsia="de-DE"/>
        </w:rPr>
        <w:t xml:space="preserve">. </w:t>
      </w:r>
    </w:p>
    <w:p w14:paraId="2BFB121A" w14:textId="7D0D99F8" w:rsidR="00224561" w:rsidRPr="0055589B" w:rsidRDefault="00224561" w:rsidP="00224561">
      <w:pPr>
        <w:numPr>
          <w:ilvl w:val="0"/>
          <w:numId w:val="24"/>
        </w:numPr>
        <w:spacing w:after="120" w:line="288" w:lineRule="auto"/>
        <w:jc w:val="both"/>
        <w:rPr>
          <w:rFonts w:ascii="Arial" w:eastAsia="Times New Roman" w:hAnsi="Arial" w:cs="Arial"/>
          <w:color w:val="000000" w:themeColor="text1"/>
          <w:lang w:val="cs-CZ" w:eastAsia="de-DE"/>
        </w:rPr>
      </w:pPr>
      <w:r w:rsidRPr="0055589B">
        <w:rPr>
          <w:rFonts w:ascii="Arial" w:hAnsi="Arial" w:cs="Arial"/>
          <w:color w:val="000000" w:themeColor="text1"/>
          <w:lang w:val="cs-CZ" w:eastAsia="de-DE"/>
        </w:rPr>
        <w:t xml:space="preserve">Schvalování plateb </w:t>
      </w:r>
      <w:r w:rsidR="001521D4" w:rsidRPr="0055589B">
        <w:rPr>
          <w:rFonts w:ascii="Arial" w:hAnsi="Arial" w:cs="Arial"/>
          <w:color w:val="000000" w:themeColor="text1"/>
          <w:lang w:val="cs-CZ" w:eastAsia="de-DE"/>
        </w:rPr>
        <w:t>souvisejících s</w:t>
      </w:r>
      <w:r w:rsidRPr="0055589B">
        <w:rPr>
          <w:rFonts w:ascii="Arial" w:hAnsi="Arial" w:cs="Arial"/>
          <w:color w:val="000000" w:themeColor="text1"/>
          <w:lang w:val="cs-CZ" w:eastAsia="de-DE"/>
        </w:rPr>
        <w:t xml:space="preserve"> předčasn</w:t>
      </w:r>
      <w:r w:rsidR="001521D4" w:rsidRPr="0055589B">
        <w:rPr>
          <w:rFonts w:ascii="Arial" w:hAnsi="Arial" w:cs="Arial"/>
          <w:color w:val="000000" w:themeColor="text1"/>
          <w:lang w:val="cs-CZ" w:eastAsia="de-DE"/>
        </w:rPr>
        <w:t>ý</w:t>
      </w:r>
      <w:r w:rsidRPr="0055589B">
        <w:rPr>
          <w:rFonts w:ascii="Arial" w:hAnsi="Arial" w:cs="Arial"/>
          <w:color w:val="000000" w:themeColor="text1"/>
          <w:lang w:val="cs-CZ" w:eastAsia="de-DE"/>
        </w:rPr>
        <w:t>m ukončení</w:t>
      </w:r>
      <w:r w:rsidR="001521D4" w:rsidRPr="0055589B">
        <w:rPr>
          <w:rFonts w:ascii="Arial" w:hAnsi="Arial" w:cs="Arial"/>
          <w:color w:val="000000" w:themeColor="text1"/>
          <w:lang w:val="cs-CZ" w:eastAsia="de-DE"/>
        </w:rPr>
        <w:t>m</w:t>
      </w:r>
      <w:r w:rsidRPr="0055589B">
        <w:rPr>
          <w:rFonts w:ascii="Arial" w:hAnsi="Arial" w:cs="Arial"/>
          <w:color w:val="000000" w:themeColor="text1"/>
          <w:lang w:val="cs-CZ" w:eastAsia="de-DE"/>
        </w:rPr>
        <w:t xml:space="preserve"> </w:t>
      </w:r>
      <w:r w:rsidR="00CE6CCA" w:rsidRPr="0055589B">
        <w:rPr>
          <w:rFonts w:ascii="Arial" w:hAnsi="Arial" w:cs="Arial"/>
          <w:color w:val="000000" w:themeColor="text1"/>
          <w:lang w:val="cs-CZ" w:eastAsia="de-DE"/>
        </w:rPr>
        <w:t xml:space="preserve">výkonu funkce </w:t>
      </w:r>
      <w:r w:rsidRPr="0055589B">
        <w:rPr>
          <w:rFonts w:ascii="Arial" w:hAnsi="Arial" w:cs="Arial"/>
          <w:color w:val="000000" w:themeColor="text1"/>
          <w:lang w:val="cs-CZ" w:eastAsia="de-DE"/>
        </w:rPr>
        <w:t xml:space="preserve">členů </w:t>
      </w:r>
      <w:r w:rsidR="007E4DE3" w:rsidRPr="0055589B">
        <w:rPr>
          <w:rFonts w:ascii="Arial" w:hAnsi="Arial" w:cs="Arial"/>
          <w:color w:val="000000" w:themeColor="text1"/>
          <w:lang w:val="cs-CZ" w:eastAsia="de-DE"/>
        </w:rPr>
        <w:t>Představenst</w:t>
      </w:r>
      <w:r w:rsidR="005401C8" w:rsidRPr="0055589B">
        <w:rPr>
          <w:rFonts w:ascii="Arial" w:hAnsi="Arial" w:cs="Arial"/>
          <w:color w:val="000000" w:themeColor="text1"/>
          <w:lang w:val="cs-CZ" w:eastAsia="de-DE"/>
        </w:rPr>
        <w:t>va</w:t>
      </w:r>
      <w:r w:rsidRPr="0055589B">
        <w:rPr>
          <w:rFonts w:ascii="Arial" w:hAnsi="Arial" w:cs="Arial"/>
          <w:color w:val="000000" w:themeColor="text1"/>
          <w:lang w:val="cs-CZ" w:eastAsia="de-DE"/>
        </w:rPr>
        <w:t>.</w:t>
      </w:r>
    </w:p>
    <w:p w14:paraId="3E908B97" w14:textId="77777777" w:rsidR="00224561" w:rsidRPr="0055589B" w:rsidRDefault="00224561" w:rsidP="00924810">
      <w:pPr>
        <w:keepNext/>
        <w:tabs>
          <w:tab w:val="left" w:pos="680"/>
        </w:tabs>
        <w:spacing w:after="0" w:line="276" w:lineRule="auto"/>
        <w:ind w:left="432"/>
        <w:jc w:val="both"/>
        <w:outlineLvl w:val="0"/>
        <w:rPr>
          <w:rFonts w:ascii="Arial" w:eastAsia="Times New Roman" w:hAnsi="Arial" w:cs="Arial"/>
          <w:b/>
          <w:bCs/>
          <w:color w:val="000000" w:themeColor="text1"/>
          <w:sz w:val="36"/>
          <w:szCs w:val="24"/>
          <w:lang w:val="cs-CZ" w:eastAsia="de-AT"/>
        </w:rPr>
      </w:pPr>
    </w:p>
    <w:p w14:paraId="4A47EBE8" w14:textId="77777777" w:rsidR="00224561" w:rsidRPr="0055589B" w:rsidRDefault="00224561" w:rsidP="00694A20">
      <w:pPr>
        <w:pStyle w:val="Nadpis1"/>
        <w:rPr>
          <w:rFonts w:eastAsia="Times New Roman"/>
          <w:color w:val="000000" w:themeColor="text1"/>
          <w:lang w:val="cs-CZ"/>
        </w:rPr>
      </w:pPr>
      <w:bookmarkStart w:id="23" w:name="_Toc108689197"/>
      <w:r w:rsidRPr="0055589B">
        <w:rPr>
          <w:color w:val="000000" w:themeColor="text1"/>
          <w:lang w:val="cs-CZ"/>
        </w:rPr>
        <w:t>Výbor pro odměňování</w:t>
      </w:r>
      <w:bookmarkEnd w:id="17"/>
      <w:bookmarkEnd w:id="23"/>
    </w:p>
    <w:p w14:paraId="44320B22" w14:textId="5A83A781"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Podle článku </w:t>
      </w:r>
      <w:proofErr w:type="gramStart"/>
      <w:r w:rsidRPr="0055589B">
        <w:rPr>
          <w:rFonts w:ascii="Arial" w:hAnsi="Arial" w:cs="Arial"/>
          <w:color w:val="000000" w:themeColor="text1"/>
          <w:szCs w:val="24"/>
          <w:lang w:val="cs-CZ" w:eastAsia="de-AT"/>
        </w:rPr>
        <w:t>17b</w:t>
      </w:r>
      <w:proofErr w:type="gramEnd"/>
      <w:r w:rsidRPr="0055589B">
        <w:rPr>
          <w:rFonts w:ascii="Arial" w:hAnsi="Arial" w:cs="Arial"/>
          <w:color w:val="000000" w:themeColor="text1"/>
          <w:szCs w:val="24"/>
          <w:lang w:val="cs-CZ" w:eastAsia="de-AT"/>
        </w:rPr>
        <w:t xml:space="preserve"> InvFG 2011 a článku 11 AIFMG</w:t>
      </w:r>
      <w:r w:rsidR="00BD45BD" w:rsidRPr="0055589B">
        <w:rPr>
          <w:rFonts w:ascii="Arial" w:hAnsi="Arial" w:cs="Arial"/>
          <w:color w:val="000000" w:themeColor="text1"/>
          <w:szCs w:val="24"/>
          <w:lang w:val="cs-CZ" w:eastAsia="de-AT"/>
        </w:rPr>
        <w:t xml:space="preserve"> zřizují</w:t>
      </w:r>
      <w:r w:rsidRPr="0055589B">
        <w:rPr>
          <w:rFonts w:ascii="Arial" w:hAnsi="Arial" w:cs="Arial"/>
          <w:color w:val="000000" w:themeColor="text1"/>
          <w:szCs w:val="24"/>
          <w:lang w:val="cs-CZ" w:eastAsia="de-AT"/>
        </w:rPr>
        <w:t xml:space="preserve"> správcovské společnosti, které jsou významné</w:t>
      </w:r>
      <w:r w:rsidR="00776B5D">
        <w:rPr>
          <w:rFonts w:ascii="Arial" w:hAnsi="Arial" w:cs="Arial"/>
          <w:color w:val="000000" w:themeColor="text1"/>
          <w:szCs w:val="24"/>
          <w:lang w:val="cs-CZ" w:eastAsia="de-AT"/>
        </w:rPr>
        <w:t>,</w:t>
      </w:r>
      <w:r w:rsidRPr="0055589B">
        <w:rPr>
          <w:rFonts w:ascii="Arial" w:hAnsi="Arial" w:cs="Arial"/>
          <w:color w:val="000000" w:themeColor="text1"/>
          <w:szCs w:val="24"/>
          <w:lang w:val="cs-CZ" w:eastAsia="de-AT"/>
        </w:rPr>
        <w:t xml:space="preserve"> pokud jde o jejich velikost nebo velikost investičních fondů, které spravují, jejich vnitřní organizac</w:t>
      </w:r>
      <w:r w:rsidR="00BD45BD" w:rsidRPr="0055589B">
        <w:rPr>
          <w:rFonts w:ascii="Arial" w:hAnsi="Arial" w:cs="Arial"/>
          <w:color w:val="000000" w:themeColor="text1"/>
          <w:szCs w:val="24"/>
          <w:lang w:val="cs-CZ" w:eastAsia="de-AT"/>
        </w:rPr>
        <w:t>i</w:t>
      </w:r>
      <w:r w:rsidRPr="0055589B">
        <w:rPr>
          <w:rFonts w:ascii="Arial" w:hAnsi="Arial" w:cs="Arial"/>
          <w:color w:val="000000" w:themeColor="text1"/>
          <w:szCs w:val="24"/>
          <w:lang w:val="cs-CZ" w:eastAsia="de-AT"/>
        </w:rPr>
        <w:t xml:space="preserve"> a povahu, rozsah a složitost jejich činnosti</w:t>
      </w:r>
      <w:r w:rsidR="00BD45BD" w:rsidRPr="0055589B">
        <w:rPr>
          <w:rFonts w:ascii="Arial" w:hAnsi="Arial" w:cs="Arial"/>
          <w:color w:val="000000" w:themeColor="text1"/>
          <w:szCs w:val="24"/>
          <w:lang w:val="cs-CZ" w:eastAsia="de-AT"/>
        </w:rPr>
        <w:t>,</w:t>
      </w:r>
      <w:r w:rsidRPr="0055589B">
        <w:rPr>
          <w:rFonts w:ascii="Arial" w:hAnsi="Arial" w:cs="Arial"/>
          <w:color w:val="000000" w:themeColor="text1"/>
          <w:szCs w:val="24"/>
          <w:lang w:val="cs-CZ" w:eastAsia="de-AT"/>
        </w:rPr>
        <w:t xml:space="preserve"> Výbor pro odměňování. Výbor pro odměňování je </w:t>
      </w:r>
      <w:r w:rsidR="002969BA" w:rsidRPr="0055589B">
        <w:rPr>
          <w:rFonts w:ascii="Arial" w:hAnsi="Arial" w:cs="Arial"/>
          <w:color w:val="000000" w:themeColor="text1"/>
          <w:szCs w:val="24"/>
          <w:lang w:val="cs-CZ" w:eastAsia="de-AT"/>
        </w:rPr>
        <w:t xml:space="preserve">ustavuje tak, aby byl schopen </w:t>
      </w:r>
      <w:r w:rsidR="00E467A6" w:rsidRPr="0055589B">
        <w:rPr>
          <w:rFonts w:ascii="Arial" w:hAnsi="Arial" w:cs="Arial"/>
          <w:color w:val="000000" w:themeColor="text1"/>
          <w:szCs w:val="24"/>
          <w:lang w:val="cs-CZ" w:eastAsia="de-AT"/>
        </w:rPr>
        <w:t xml:space="preserve">kompetentního a nezávislého úsudku o </w:t>
      </w:r>
      <w:r w:rsidRPr="0055589B">
        <w:rPr>
          <w:rFonts w:ascii="Arial" w:hAnsi="Arial" w:cs="Arial"/>
          <w:color w:val="000000" w:themeColor="text1"/>
          <w:szCs w:val="24"/>
          <w:lang w:val="cs-CZ" w:eastAsia="de-AT"/>
        </w:rPr>
        <w:t xml:space="preserve">zásadách a postupech odměňování a </w:t>
      </w:r>
      <w:r w:rsidR="00E467A6" w:rsidRPr="0055589B">
        <w:rPr>
          <w:rFonts w:ascii="Arial" w:hAnsi="Arial" w:cs="Arial"/>
          <w:color w:val="000000" w:themeColor="text1"/>
          <w:szCs w:val="24"/>
          <w:lang w:val="cs-CZ" w:eastAsia="de-AT"/>
        </w:rPr>
        <w:t xml:space="preserve">o </w:t>
      </w:r>
      <w:r w:rsidRPr="0055589B">
        <w:rPr>
          <w:rFonts w:ascii="Arial" w:hAnsi="Arial" w:cs="Arial"/>
          <w:color w:val="000000" w:themeColor="text1"/>
          <w:szCs w:val="24"/>
          <w:lang w:val="cs-CZ" w:eastAsia="de-AT"/>
        </w:rPr>
        <w:t>pobídk</w:t>
      </w:r>
      <w:r w:rsidR="00E467A6" w:rsidRPr="0055589B">
        <w:rPr>
          <w:rFonts w:ascii="Arial" w:hAnsi="Arial" w:cs="Arial"/>
          <w:color w:val="000000" w:themeColor="text1"/>
          <w:szCs w:val="24"/>
          <w:lang w:val="cs-CZ" w:eastAsia="de-AT"/>
        </w:rPr>
        <w:t>ách</w:t>
      </w:r>
      <w:r w:rsidRPr="0055589B">
        <w:rPr>
          <w:rFonts w:ascii="Arial" w:hAnsi="Arial" w:cs="Arial"/>
          <w:color w:val="000000" w:themeColor="text1"/>
          <w:szCs w:val="24"/>
          <w:lang w:val="cs-CZ" w:eastAsia="de-AT"/>
        </w:rPr>
        <w:t xml:space="preserve"> vytv</w:t>
      </w:r>
      <w:r w:rsidR="00E467A6" w:rsidRPr="0055589B">
        <w:rPr>
          <w:rFonts w:ascii="Arial" w:hAnsi="Arial" w:cs="Arial"/>
          <w:color w:val="000000" w:themeColor="text1"/>
          <w:szCs w:val="24"/>
          <w:lang w:val="cs-CZ" w:eastAsia="de-AT"/>
        </w:rPr>
        <w:t>á</w:t>
      </w:r>
      <w:r w:rsidRPr="0055589B">
        <w:rPr>
          <w:rFonts w:ascii="Arial" w:hAnsi="Arial" w:cs="Arial"/>
          <w:color w:val="000000" w:themeColor="text1"/>
          <w:szCs w:val="24"/>
          <w:lang w:val="cs-CZ" w:eastAsia="de-AT"/>
        </w:rPr>
        <w:t>řen</w:t>
      </w:r>
      <w:r w:rsidR="00E467A6" w:rsidRPr="0055589B">
        <w:rPr>
          <w:rFonts w:ascii="Arial" w:hAnsi="Arial" w:cs="Arial"/>
          <w:color w:val="000000" w:themeColor="text1"/>
          <w:szCs w:val="24"/>
          <w:lang w:val="cs-CZ" w:eastAsia="de-AT"/>
        </w:rPr>
        <w:t>ých</w:t>
      </w:r>
      <w:r w:rsidRPr="0055589B">
        <w:rPr>
          <w:rFonts w:ascii="Arial" w:hAnsi="Arial" w:cs="Arial"/>
          <w:color w:val="000000" w:themeColor="text1"/>
          <w:szCs w:val="24"/>
          <w:lang w:val="cs-CZ" w:eastAsia="de-AT"/>
        </w:rPr>
        <w:t xml:space="preserve"> pro řízení rizik (</w:t>
      </w:r>
      <w:r w:rsidR="00E467A6" w:rsidRPr="0055589B">
        <w:rPr>
          <w:rFonts w:ascii="Arial" w:hAnsi="Arial" w:cs="Arial"/>
          <w:color w:val="000000" w:themeColor="text1"/>
          <w:szCs w:val="24"/>
          <w:lang w:val="cs-CZ" w:eastAsia="de-AT"/>
        </w:rPr>
        <w:t>„V</w:t>
      </w:r>
      <w:r w:rsidRPr="0055589B">
        <w:rPr>
          <w:rFonts w:ascii="Arial" w:hAnsi="Arial" w:cs="Arial"/>
          <w:color w:val="000000" w:themeColor="text1"/>
          <w:szCs w:val="24"/>
          <w:lang w:val="cs-CZ" w:eastAsia="de-AT"/>
        </w:rPr>
        <w:t>ýbor pro odměňování</w:t>
      </w:r>
      <w:r w:rsidR="00E467A6" w:rsidRPr="0055589B">
        <w:rPr>
          <w:rFonts w:ascii="Arial" w:hAnsi="Arial" w:cs="Arial"/>
          <w:color w:val="000000" w:themeColor="text1"/>
          <w:szCs w:val="24"/>
          <w:lang w:val="cs-CZ" w:eastAsia="de-AT"/>
        </w:rPr>
        <w:t>“</w:t>
      </w:r>
      <w:r w:rsidRPr="0055589B">
        <w:rPr>
          <w:rFonts w:ascii="Arial" w:hAnsi="Arial" w:cs="Arial"/>
          <w:color w:val="000000" w:themeColor="text1"/>
          <w:szCs w:val="24"/>
          <w:lang w:val="cs-CZ" w:eastAsia="de-AT"/>
        </w:rPr>
        <w:t xml:space="preserve">). </w:t>
      </w:r>
    </w:p>
    <w:p w14:paraId="4EE1E7C0" w14:textId="54C56126"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Při určování toho, zda </w:t>
      </w:r>
      <w:r w:rsidR="00A57B1B" w:rsidRPr="0055589B">
        <w:rPr>
          <w:rFonts w:ascii="Arial" w:hAnsi="Arial" w:cs="Arial"/>
          <w:color w:val="000000" w:themeColor="text1"/>
          <w:szCs w:val="24"/>
          <w:lang w:val="cs-CZ" w:eastAsia="de-AT"/>
        </w:rPr>
        <w:t>má, nebo nemá být zřízen V</w:t>
      </w:r>
      <w:r w:rsidRPr="0055589B">
        <w:rPr>
          <w:rFonts w:ascii="Arial" w:hAnsi="Arial" w:cs="Arial"/>
          <w:color w:val="000000" w:themeColor="text1"/>
          <w:szCs w:val="24"/>
          <w:lang w:val="cs-CZ" w:eastAsia="de-AT"/>
        </w:rPr>
        <w:t xml:space="preserve">ýbor pro odměňování, se zohlední tyto </w:t>
      </w:r>
      <w:r w:rsidR="00A57B1B" w:rsidRPr="0055589B">
        <w:rPr>
          <w:rFonts w:ascii="Arial" w:hAnsi="Arial" w:cs="Arial"/>
          <w:color w:val="000000" w:themeColor="text1"/>
          <w:szCs w:val="24"/>
          <w:lang w:val="cs-CZ" w:eastAsia="de-AT"/>
        </w:rPr>
        <w:t>specifické aspekty</w:t>
      </w:r>
      <w:r w:rsidRPr="0055589B">
        <w:rPr>
          <w:rFonts w:ascii="Arial" w:hAnsi="Arial" w:cs="Arial"/>
          <w:color w:val="000000" w:themeColor="text1"/>
          <w:szCs w:val="24"/>
          <w:lang w:val="cs-CZ" w:eastAsia="de-AT"/>
        </w:rPr>
        <w:t>:</w:t>
      </w:r>
    </w:p>
    <w:p w14:paraId="4B8486C4" w14:textId="6788F91F" w:rsidR="00224561" w:rsidRPr="0055589B" w:rsidRDefault="00A57B1B" w:rsidP="00224561">
      <w:pPr>
        <w:numPr>
          <w:ilvl w:val="0"/>
          <w:numId w:val="7"/>
        </w:num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z</w:t>
      </w:r>
      <w:r w:rsidR="00224561" w:rsidRPr="0055589B">
        <w:rPr>
          <w:rFonts w:ascii="Arial" w:hAnsi="Arial" w:cs="Arial"/>
          <w:color w:val="000000" w:themeColor="text1"/>
          <w:szCs w:val="24"/>
          <w:lang w:val="cs-CZ" w:eastAsia="de-AT"/>
        </w:rPr>
        <w:t xml:space="preserve">da je správcovská společnost </w:t>
      </w:r>
      <w:r w:rsidRPr="0055589B">
        <w:rPr>
          <w:rFonts w:ascii="Arial" w:hAnsi="Arial" w:cs="Arial"/>
          <w:color w:val="000000" w:themeColor="text1"/>
          <w:szCs w:val="24"/>
          <w:lang w:val="cs-CZ" w:eastAsia="de-AT"/>
        </w:rPr>
        <w:t>kotována na burze, či nikoliv;</w:t>
      </w:r>
    </w:p>
    <w:p w14:paraId="3632FB20" w14:textId="3E1033CD" w:rsidR="00224561" w:rsidRPr="0055589B" w:rsidRDefault="00A57B1B" w:rsidP="00224561">
      <w:pPr>
        <w:numPr>
          <w:ilvl w:val="0"/>
          <w:numId w:val="7"/>
        </w:num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p</w:t>
      </w:r>
      <w:r w:rsidR="00224561" w:rsidRPr="0055589B">
        <w:rPr>
          <w:rFonts w:ascii="Arial" w:hAnsi="Arial" w:cs="Arial"/>
          <w:color w:val="000000" w:themeColor="text1"/>
          <w:szCs w:val="24"/>
          <w:lang w:val="cs-CZ" w:eastAsia="de-AT"/>
        </w:rPr>
        <w:t>rávní struktura správcovské společnosti;</w:t>
      </w:r>
    </w:p>
    <w:p w14:paraId="5CD8C002" w14:textId="77777777" w:rsidR="00224561" w:rsidRPr="0055589B" w:rsidRDefault="00224561" w:rsidP="00224561">
      <w:pPr>
        <w:numPr>
          <w:ilvl w:val="0"/>
          <w:numId w:val="7"/>
        </w:num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počet zaměstnanců správcovské společnosti;</w:t>
      </w:r>
    </w:p>
    <w:p w14:paraId="024AEE36" w14:textId="5F2567B8" w:rsidR="00224561" w:rsidRPr="0055589B" w:rsidRDefault="00A57B1B" w:rsidP="00224561">
      <w:pPr>
        <w:numPr>
          <w:ilvl w:val="0"/>
          <w:numId w:val="7"/>
        </w:num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objem aktiv ve správě správcovské </w:t>
      </w:r>
      <w:r w:rsidR="00224561" w:rsidRPr="0055589B">
        <w:rPr>
          <w:rFonts w:ascii="Arial" w:hAnsi="Arial" w:cs="Arial"/>
          <w:color w:val="000000" w:themeColor="text1"/>
          <w:szCs w:val="24"/>
          <w:lang w:val="cs-CZ" w:eastAsia="de-AT"/>
        </w:rPr>
        <w:t>společnosti;</w:t>
      </w:r>
    </w:p>
    <w:p w14:paraId="0FA14D29" w14:textId="50FF8AA0" w:rsidR="00224561" w:rsidRPr="0055589B" w:rsidRDefault="00224561" w:rsidP="00224561">
      <w:pPr>
        <w:numPr>
          <w:ilvl w:val="0"/>
          <w:numId w:val="7"/>
        </w:num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zda </w:t>
      </w:r>
      <w:r w:rsidR="00A57B1B" w:rsidRPr="0055589B">
        <w:rPr>
          <w:rFonts w:ascii="Arial" w:hAnsi="Arial" w:cs="Arial"/>
          <w:color w:val="000000" w:themeColor="text1"/>
          <w:szCs w:val="24"/>
          <w:lang w:val="cs-CZ" w:eastAsia="de-AT"/>
        </w:rPr>
        <w:t xml:space="preserve">je </w:t>
      </w:r>
      <w:r w:rsidRPr="0055589B">
        <w:rPr>
          <w:rFonts w:ascii="Arial" w:hAnsi="Arial" w:cs="Arial"/>
          <w:color w:val="000000" w:themeColor="text1"/>
          <w:szCs w:val="24"/>
          <w:lang w:val="cs-CZ" w:eastAsia="de-AT"/>
        </w:rPr>
        <w:t xml:space="preserve">správcovská společnost správcovskou společností </w:t>
      </w:r>
      <w:r w:rsidR="00C05D6C" w:rsidRPr="0055589B">
        <w:rPr>
          <w:rFonts w:ascii="Arial" w:hAnsi="Arial" w:cs="Arial"/>
          <w:color w:val="000000" w:themeColor="text1"/>
          <w:szCs w:val="24"/>
          <w:lang w:val="cs-CZ" w:eastAsia="de-AT"/>
        </w:rPr>
        <w:t>SKIPCP</w:t>
      </w:r>
      <w:r w:rsidRPr="0055589B">
        <w:rPr>
          <w:rFonts w:ascii="Arial" w:hAnsi="Arial" w:cs="Arial"/>
          <w:color w:val="000000" w:themeColor="text1"/>
          <w:szCs w:val="24"/>
          <w:lang w:val="cs-CZ" w:eastAsia="de-AT"/>
        </w:rPr>
        <w:t xml:space="preserve"> a AIFM;</w:t>
      </w:r>
    </w:p>
    <w:p w14:paraId="3A19D292" w14:textId="521D57E7" w:rsidR="00224561" w:rsidRPr="0055589B" w:rsidRDefault="00A57B1B" w:rsidP="00224561">
      <w:pPr>
        <w:numPr>
          <w:ilvl w:val="0"/>
          <w:numId w:val="7"/>
        </w:num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poskytování služeb </w:t>
      </w:r>
      <w:r w:rsidR="00224561" w:rsidRPr="0055589B">
        <w:rPr>
          <w:rFonts w:ascii="Arial" w:hAnsi="Arial" w:cs="Arial"/>
          <w:color w:val="000000" w:themeColor="text1"/>
          <w:szCs w:val="24"/>
          <w:lang w:val="cs-CZ" w:eastAsia="de-AT"/>
        </w:rPr>
        <w:t xml:space="preserve">uvedených v čl. </w:t>
      </w:r>
      <w:r w:rsidRPr="0055589B">
        <w:rPr>
          <w:rFonts w:ascii="Arial" w:hAnsi="Arial" w:cs="Arial"/>
          <w:color w:val="000000" w:themeColor="text1"/>
          <w:szCs w:val="24"/>
          <w:lang w:val="cs-CZ" w:eastAsia="de-AT"/>
        </w:rPr>
        <w:t>6 ods</w:t>
      </w:r>
      <w:r w:rsidR="008D7AC3" w:rsidRPr="0055589B">
        <w:rPr>
          <w:rFonts w:ascii="Arial" w:hAnsi="Arial" w:cs="Arial"/>
          <w:color w:val="000000" w:themeColor="text1"/>
          <w:szCs w:val="24"/>
          <w:lang w:val="cs-CZ" w:eastAsia="de-AT"/>
        </w:rPr>
        <w:t>t</w:t>
      </w:r>
      <w:r w:rsidRPr="0055589B">
        <w:rPr>
          <w:rFonts w:ascii="Arial" w:hAnsi="Arial" w:cs="Arial"/>
          <w:color w:val="000000" w:themeColor="text1"/>
          <w:szCs w:val="24"/>
          <w:lang w:val="cs-CZ" w:eastAsia="de-AT"/>
        </w:rPr>
        <w:t xml:space="preserve">. 3 </w:t>
      </w:r>
      <w:r w:rsidR="00224561" w:rsidRPr="0055589B">
        <w:rPr>
          <w:rFonts w:ascii="Arial" w:hAnsi="Arial" w:cs="Arial"/>
          <w:color w:val="000000" w:themeColor="text1"/>
          <w:lang w:val="cs-CZ" w:eastAsia="de-AT"/>
        </w:rPr>
        <w:t>V-směrnice</w:t>
      </w:r>
      <w:r w:rsidR="00224561" w:rsidRPr="0055589B">
        <w:rPr>
          <w:rFonts w:ascii="Arial" w:hAnsi="Arial" w:cs="Arial"/>
          <w:color w:val="000000" w:themeColor="text1"/>
          <w:szCs w:val="24"/>
          <w:lang w:val="cs-CZ" w:eastAsia="de-AT"/>
        </w:rPr>
        <w:t xml:space="preserve"> </w:t>
      </w:r>
      <w:r w:rsidRPr="0055589B">
        <w:rPr>
          <w:rFonts w:ascii="Arial" w:hAnsi="Arial" w:cs="Arial"/>
          <w:color w:val="000000" w:themeColor="text1"/>
          <w:lang w:val="cs-CZ" w:eastAsia="de-AT"/>
        </w:rPr>
        <w:t>SKIPCP</w:t>
      </w:r>
      <w:r w:rsidRPr="0055589B">
        <w:rPr>
          <w:rFonts w:ascii="Arial" w:hAnsi="Arial" w:cs="Arial"/>
          <w:color w:val="000000" w:themeColor="text1"/>
          <w:szCs w:val="24"/>
          <w:lang w:val="cs-CZ" w:eastAsia="de-AT"/>
        </w:rPr>
        <w:t xml:space="preserve"> a čl. 6 odst. 4 </w:t>
      </w:r>
      <w:r w:rsidR="00224561" w:rsidRPr="0055589B">
        <w:rPr>
          <w:rFonts w:ascii="Arial" w:hAnsi="Arial" w:cs="Arial"/>
          <w:color w:val="000000" w:themeColor="text1"/>
          <w:szCs w:val="24"/>
          <w:lang w:val="cs-CZ" w:eastAsia="de-AT"/>
        </w:rPr>
        <w:t>AIFMD</w:t>
      </w:r>
      <w:r w:rsidRPr="0055589B">
        <w:rPr>
          <w:rFonts w:ascii="Arial" w:hAnsi="Arial" w:cs="Arial"/>
          <w:color w:val="000000" w:themeColor="text1"/>
          <w:szCs w:val="24"/>
          <w:lang w:val="cs-CZ" w:eastAsia="de-AT"/>
        </w:rPr>
        <w:t>.</w:t>
      </w:r>
    </w:p>
    <w:p w14:paraId="0BB0101F" w14:textId="7A86D5FA"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Při posuzování, zda je správcovská společnost významná,</w:t>
      </w:r>
      <w:r w:rsidR="00CF4360" w:rsidRPr="0055589B">
        <w:rPr>
          <w:rFonts w:ascii="Arial" w:hAnsi="Arial" w:cs="Arial"/>
          <w:color w:val="000000" w:themeColor="text1"/>
          <w:szCs w:val="24"/>
          <w:lang w:val="cs-CZ" w:eastAsia="de-AT"/>
        </w:rPr>
        <w:t xml:space="preserve"> je nutné posuzovat </w:t>
      </w:r>
      <w:r w:rsidRPr="0055589B">
        <w:rPr>
          <w:rFonts w:ascii="Arial" w:hAnsi="Arial" w:cs="Arial"/>
          <w:color w:val="000000" w:themeColor="text1"/>
          <w:szCs w:val="24"/>
          <w:lang w:val="cs-CZ" w:eastAsia="de-AT"/>
        </w:rPr>
        <w:t>kumulativní přítomnost všech výše uvedených faktorů.</w:t>
      </w:r>
    </w:p>
    <w:p w14:paraId="10DB4D2B" w14:textId="045007D2" w:rsidR="00924810" w:rsidRDefault="00224561" w:rsidP="007F006A">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Vzhledem k tomu, že </w:t>
      </w:r>
      <w:r w:rsidR="00A15CAF"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 xml:space="preserve">polečnost by byla významná, pokud jde o většinu těchto faktorů, a vzhledem k tomu, že se </w:t>
      </w:r>
      <w:r w:rsidR="00A15CAF"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 xml:space="preserve">polečnost rozhodla </w:t>
      </w:r>
      <w:r w:rsidR="00A15CAF" w:rsidRPr="0055589B">
        <w:rPr>
          <w:rFonts w:ascii="Arial" w:hAnsi="Arial" w:cs="Arial"/>
          <w:color w:val="000000" w:themeColor="text1"/>
          <w:szCs w:val="24"/>
          <w:lang w:val="cs-CZ" w:eastAsia="de-AT"/>
        </w:rPr>
        <w:t xml:space="preserve">neuplatňovat zásadu </w:t>
      </w:r>
      <w:r w:rsidRPr="0055589B">
        <w:rPr>
          <w:rFonts w:ascii="Arial" w:hAnsi="Arial" w:cs="Arial"/>
          <w:color w:val="000000" w:themeColor="text1"/>
          <w:szCs w:val="24"/>
          <w:lang w:val="cs-CZ" w:eastAsia="de-AT"/>
        </w:rPr>
        <w:t xml:space="preserve">proporcionality, rozhodla se </w:t>
      </w:r>
      <w:r w:rsidR="00556A8E"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 xml:space="preserve">polečnost zřídit </w:t>
      </w:r>
      <w:r w:rsidR="00556A8E" w:rsidRPr="0055589B">
        <w:rPr>
          <w:rFonts w:ascii="Arial" w:hAnsi="Arial" w:cs="Arial"/>
          <w:color w:val="000000" w:themeColor="text1"/>
          <w:szCs w:val="24"/>
          <w:lang w:val="cs-CZ" w:eastAsia="de-AT"/>
        </w:rPr>
        <w:t>V</w:t>
      </w:r>
      <w:r w:rsidRPr="0055589B">
        <w:rPr>
          <w:rFonts w:ascii="Arial" w:hAnsi="Arial" w:cs="Arial"/>
          <w:color w:val="000000" w:themeColor="text1"/>
          <w:szCs w:val="24"/>
          <w:lang w:val="cs-CZ" w:eastAsia="de-AT"/>
        </w:rPr>
        <w:t xml:space="preserve">ýbor pro odměňování v rámci </w:t>
      </w:r>
      <w:r w:rsidR="00556A8E" w:rsidRPr="0055589B">
        <w:rPr>
          <w:rFonts w:ascii="Arial" w:hAnsi="Arial" w:cs="Arial"/>
          <w:color w:val="000000" w:themeColor="text1"/>
          <w:szCs w:val="24"/>
          <w:lang w:val="cs-CZ" w:eastAsia="de-AT"/>
        </w:rPr>
        <w:t>své D</w:t>
      </w:r>
      <w:r w:rsidRPr="0055589B">
        <w:rPr>
          <w:rFonts w:ascii="Arial" w:hAnsi="Arial" w:cs="Arial"/>
          <w:color w:val="000000" w:themeColor="text1"/>
          <w:szCs w:val="24"/>
          <w:lang w:val="cs-CZ" w:eastAsia="de-AT"/>
        </w:rPr>
        <w:t xml:space="preserve">ozorčí rady. </w:t>
      </w:r>
    </w:p>
    <w:p w14:paraId="0D48B32C" w14:textId="77777777" w:rsidR="00136253" w:rsidRPr="00136253" w:rsidRDefault="00136253" w:rsidP="007F006A">
      <w:pPr>
        <w:spacing w:after="120" w:line="276" w:lineRule="auto"/>
        <w:jc w:val="both"/>
        <w:rPr>
          <w:rFonts w:ascii="Arial" w:hAnsi="Arial" w:cs="Arial"/>
          <w:color w:val="000000" w:themeColor="text1"/>
          <w:szCs w:val="24"/>
          <w:lang w:val="cs-CZ" w:eastAsia="de-AT"/>
        </w:rPr>
      </w:pPr>
    </w:p>
    <w:p w14:paraId="1CC38A23" w14:textId="37C92930" w:rsidR="00224561" w:rsidRPr="0055589B" w:rsidRDefault="00556A8E"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b/>
          <w:color w:val="000000" w:themeColor="text1"/>
          <w:lang w:val="cs-CZ" w:eastAsia="de-DE"/>
        </w:rPr>
        <w:t>Působnost V</w:t>
      </w:r>
      <w:r w:rsidR="00224561" w:rsidRPr="0055589B">
        <w:rPr>
          <w:rFonts w:ascii="Arial" w:hAnsi="Arial" w:cs="Arial"/>
          <w:b/>
          <w:color w:val="000000" w:themeColor="text1"/>
          <w:lang w:val="cs-CZ" w:eastAsia="de-DE"/>
        </w:rPr>
        <w:t>ýboru pro odměňování</w:t>
      </w:r>
    </w:p>
    <w:p w14:paraId="14971A7D" w14:textId="31E502ED" w:rsidR="00224561" w:rsidRPr="0055589B" w:rsidRDefault="00224561" w:rsidP="007F006A">
      <w:pPr>
        <w:spacing w:before="60" w:after="0" w:line="288" w:lineRule="auto"/>
        <w:jc w:val="both"/>
        <w:rPr>
          <w:rFonts w:ascii="Arial" w:eastAsia="Times New Roman" w:hAnsi="Arial" w:cs="Arial"/>
          <w:b/>
          <w:color w:val="000000" w:themeColor="text1"/>
          <w:lang w:val="cs-CZ" w:eastAsia="de-DE"/>
        </w:rPr>
      </w:pPr>
      <w:r w:rsidRPr="0055589B">
        <w:rPr>
          <w:rFonts w:ascii="Arial" w:hAnsi="Arial" w:cs="Arial"/>
          <w:color w:val="000000" w:themeColor="text1"/>
          <w:lang w:val="cs-CZ" w:eastAsia="de-DE"/>
        </w:rPr>
        <w:t>Výbor pro odměňování působí v rámci pravomoc</w:t>
      </w:r>
      <w:r w:rsidR="009A0176" w:rsidRPr="0055589B">
        <w:rPr>
          <w:rFonts w:ascii="Arial" w:hAnsi="Arial" w:cs="Arial"/>
          <w:color w:val="000000" w:themeColor="text1"/>
          <w:lang w:val="cs-CZ" w:eastAsia="de-DE"/>
        </w:rPr>
        <w:t xml:space="preserve">í delegovaných Dozorčí radou. </w:t>
      </w:r>
      <w:r w:rsidRPr="0055589B">
        <w:rPr>
          <w:rFonts w:ascii="Arial" w:hAnsi="Arial" w:cs="Arial"/>
          <w:color w:val="000000" w:themeColor="text1"/>
          <w:lang w:val="cs-CZ" w:eastAsia="de-DE"/>
        </w:rPr>
        <w:t xml:space="preserve">Předseda </w:t>
      </w:r>
      <w:r w:rsidR="009A0176" w:rsidRPr="0055589B">
        <w:rPr>
          <w:rFonts w:ascii="Arial" w:hAnsi="Arial" w:cs="Arial"/>
          <w:color w:val="000000" w:themeColor="text1"/>
          <w:lang w:val="cs-CZ" w:eastAsia="de-DE"/>
        </w:rPr>
        <w:t>V</w:t>
      </w:r>
      <w:r w:rsidRPr="0055589B">
        <w:rPr>
          <w:rFonts w:ascii="Arial" w:hAnsi="Arial" w:cs="Arial"/>
          <w:color w:val="000000" w:themeColor="text1"/>
          <w:lang w:val="cs-CZ" w:eastAsia="de-DE"/>
        </w:rPr>
        <w:t xml:space="preserve">ýboru pro odměňování podává </w:t>
      </w:r>
      <w:r w:rsidR="009A0176" w:rsidRPr="0055589B">
        <w:rPr>
          <w:rFonts w:ascii="Arial" w:hAnsi="Arial" w:cs="Arial"/>
          <w:color w:val="000000" w:themeColor="text1"/>
          <w:lang w:val="cs-CZ" w:eastAsia="de-DE"/>
        </w:rPr>
        <w:t>D</w:t>
      </w:r>
      <w:r w:rsidRPr="0055589B">
        <w:rPr>
          <w:rFonts w:ascii="Arial" w:hAnsi="Arial" w:cs="Arial"/>
          <w:color w:val="000000" w:themeColor="text1"/>
          <w:lang w:val="cs-CZ" w:eastAsia="de-DE"/>
        </w:rPr>
        <w:t xml:space="preserve">ozorčí radě zprávy o </w:t>
      </w:r>
      <w:r w:rsidR="004932AD" w:rsidRPr="0055589B">
        <w:rPr>
          <w:rFonts w:ascii="Arial" w:hAnsi="Arial" w:cs="Arial"/>
          <w:color w:val="000000" w:themeColor="text1"/>
          <w:lang w:val="cs-CZ" w:eastAsia="de-DE"/>
        </w:rPr>
        <w:t xml:space="preserve">jednání </w:t>
      </w:r>
      <w:r w:rsidR="0069655F" w:rsidRPr="0055589B">
        <w:rPr>
          <w:rFonts w:ascii="Arial" w:hAnsi="Arial" w:cs="Arial"/>
          <w:color w:val="000000" w:themeColor="text1"/>
          <w:lang w:val="cs-CZ" w:eastAsia="de-DE"/>
        </w:rPr>
        <w:t>Výbor</w:t>
      </w:r>
      <w:r w:rsidRPr="0055589B">
        <w:rPr>
          <w:rFonts w:ascii="Arial" w:hAnsi="Arial" w:cs="Arial"/>
          <w:color w:val="000000" w:themeColor="text1"/>
          <w:lang w:val="cs-CZ" w:eastAsia="de-DE"/>
        </w:rPr>
        <w:t xml:space="preserve">u pro odměňování po každém </w:t>
      </w:r>
      <w:r w:rsidR="00F40288" w:rsidRPr="0055589B">
        <w:rPr>
          <w:rFonts w:ascii="Arial" w:hAnsi="Arial" w:cs="Arial"/>
          <w:color w:val="000000" w:themeColor="text1"/>
          <w:lang w:val="cs-CZ" w:eastAsia="de-DE"/>
        </w:rPr>
        <w:t xml:space="preserve">jeho </w:t>
      </w:r>
      <w:r w:rsidRPr="0055589B">
        <w:rPr>
          <w:rFonts w:ascii="Arial" w:hAnsi="Arial" w:cs="Arial"/>
          <w:color w:val="000000" w:themeColor="text1"/>
          <w:lang w:val="cs-CZ" w:eastAsia="de-DE"/>
        </w:rPr>
        <w:t xml:space="preserve">zasedání </w:t>
      </w:r>
      <w:r w:rsidR="00F40288" w:rsidRPr="0055589B">
        <w:rPr>
          <w:rFonts w:ascii="Arial" w:hAnsi="Arial" w:cs="Arial"/>
          <w:color w:val="000000" w:themeColor="text1"/>
          <w:lang w:val="cs-CZ" w:eastAsia="de-DE"/>
        </w:rPr>
        <w:t xml:space="preserve">vždy na </w:t>
      </w:r>
      <w:r w:rsidRPr="0055589B">
        <w:rPr>
          <w:rFonts w:ascii="Arial" w:hAnsi="Arial" w:cs="Arial"/>
          <w:color w:val="000000" w:themeColor="text1"/>
          <w:lang w:val="cs-CZ" w:eastAsia="de-DE"/>
        </w:rPr>
        <w:t xml:space="preserve">nadcházejícím zasedání </w:t>
      </w:r>
      <w:r w:rsidR="00720BF8" w:rsidRPr="0055589B">
        <w:rPr>
          <w:rFonts w:ascii="Arial" w:hAnsi="Arial" w:cs="Arial"/>
          <w:color w:val="000000" w:themeColor="text1"/>
          <w:lang w:val="cs-CZ" w:eastAsia="de-DE"/>
        </w:rPr>
        <w:t>D</w:t>
      </w:r>
      <w:r w:rsidRPr="0055589B">
        <w:rPr>
          <w:rFonts w:ascii="Arial" w:hAnsi="Arial" w:cs="Arial"/>
          <w:color w:val="000000" w:themeColor="text1"/>
          <w:lang w:val="cs-CZ" w:eastAsia="de-DE"/>
        </w:rPr>
        <w:t>ozorčí rady.</w:t>
      </w:r>
    </w:p>
    <w:p w14:paraId="03DFE29D" w14:textId="77777777" w:rsidR="00224561" w:rsidRPr="0055589B" w:rsidRDefault="00224561" w:rsidP="007F006A">
      <w:pPr>
        <w:spacing w:before="60" w:after="0" w:line="288" w:lineRule="auto"/>
        <w:jc w:val="both"/>
        <w:rPr>
          <w:rFonts w:ascii="Arial" w:eastAsia="Times New Roman" w:hAnsi="Arial" w:cs="Arial"/>
          <w:color w:val="000000" w:themeColor="text1"/>
          <w:lang w:val="cs-CZ" w:eastAsia="de-DE"/>
        </w:rPr>
      </w:pPr>
    </w:p>
    <w:p w14:paraId="3F05532A" w14:textId="11B3F6AA" w:rsidR="00224561" w:rsidRPr="0055589B" w:rsidRDefault="00224561" w:rsidP="007F006A">
      <w:pPr>
        <w:spacing w:after="0" w:line="288" w:lineRule="auto"/>
        <w:jc w:val="both"/>
        <w:rPr>
          <w:rFonts w:ascii="Arial" w:eastAsia="Times New Roman" w:hAnsi="Arial" w:cs="Arial"/>
          <w:color w:val="000000" w:themeColor="text1"/>
          <w:lang w:val="cs-CZ" w:eastAsia="de-DE"/>
        </w:rPr>
      </w:pPr>
      <w:r w:rsidRPr="0055589B">
        <w:rPr>
          <w:rFonts w:ascii="Arial" w:hAnsi="Arial" w:cs="Arial"/>
          <w:color w:val="000000" w:themeColor="text1"/>
          <w:lang w:val="cs-CZ" w:eastAsia="de-DE"/>
        </w:rPr>
        <w:t xml:space="preserve">Výbor pro odměňování je oprávněn vyšetřovat a </w:t>
      </w:r>
      <w:r w:rsidR="003F1A3B" w:rsidRPr="0055589B">
        <w:rPr>
          <w:rFonts w:ascii="Arial" w:hAnsi="Arial" w:cs="Arial"/>
          <w:color w:val="000000" w:themeColor="text1"/>
          <w:lang w:val="cs-CZ" w:eastAsia="de-DE"/>
        </w:rPr>
        <w:t>provádět</w:t>
      </w:r>
      <w:r w:rsidRPr="0055589B">
        <w:rPr>
          <w:rFonts w:ascii="Arial" w:hAnsi="Arial" w:cs="Arial"/>
          <w:color w:val="000000" w:themeColor="text1"/>
          <w:lang w:val="cs-CZ" w:eastAsia="de-DE"/>
        </w:rPr>
        <w:t xml:space="preserve"> jakoukoli činnost v rámci svých povinností. Členové jsou oprávněni vyhledávat jakékoli informace</w:t>
      </w:r>
      <w:r w:rsidR="003F1A3B" w:rsidRPr="0055589B">
        <w:rPr>
          <w:rFonts w:ascii="Arial" w:hAnsi="Arial" w:cs="Arial"/>
          <w:color w:val="000000" w:themeColor="text1"/>
          <w:lang w:val="cs-CZ" w:eastAsia="de-DE"/>
        </w:rPr>
        <w:t xml:space="preserve"> o jakémkoliv zaměstnanci instituce, </w:t>
      </w:r>
      <w:r w:rsidRPr="0055589B">
        <w:rPr>
          <w:rFonts w:ascii="Arial" w:hAnsi="Arial" w:cs="Arial"/>
          <w:color w:val="000000" w:themeColor="text1"/>
          <w:lang w:val="cs-CZ" w:eastAsia="de-DE"/>
        </w:rPr>
        <w:t xml:space="preserve">které </w:t>
      </w:r>
      <w:r w:rsidR="003F1A3B" w:rsidRPr="0055589B">
        <w:rPr>
          <w:rFonts w:ascii="Arial" w:hAnsi="Arial" w:cs="Arial"/>
          <w:color w:val="000000" w:themeColor="text1"/>
          <w:lang w:val="cs-CZ" w:eastAsia="de-DE"/>
        </w:rPr>
        <w:t>oprávněně p</w:t>
      </w:r>
      <w:r w:rsidRPr="0055589B">
        <w:rPr>
          <w:rFonts w:ascii="Arial" w:hAnsi="Arial" w:cs="Arial"/>
          <w:color w:val="000000" w:themeColor="text1"/>
          <w:lang w:val="cs-CZ" w:eastAsia="de-DE"/>
        </w:rPr>
        <w:t>ožadují</w:t>
      </w:r>
      <w:r w:rsidR="003F1A3B" w:rsidRPr="0055589B">
        <w:rPr>
          <w:rFonts w:ascii="Arial" w:hAnsi="Arial" w:cs="Arial"/>
          <w:color w:val="000000" w:themeColor="text1"/>
          <w:lang w:val="cs-CZ" w:eastAsia="de-DE"/>
        </w:rPr>
        <w:t>.</w:t>
      </w:r>
    </w:p>
    <w:p w14:paraId="4A543997" w14:textId="77777777" w:rsidR="00224561" w:rsidRPr="0055589B" w:rsidRDefault="00224561" w:rsidP="007F006A">
      <w:pPr>
        <w:spacing w:after="0" w:line="288" w:lineRule="auto"/>
        <w:jc w:val="both"/>
        <w:rPr>
          <w:rFonts w:ascii="Arial" w:eastAsia="Times New Roman" w:hAnsi="Arial" w:cs="Arial"/>
          <w:color w:val="000000" w:themeColor="text1"/>
          <w:lang w:val="cs-CZ" w:eastAsia="de-DE"/>
        </w:rPr>
      </w:pPr>
    </w:p>
    <w:p w14:paraId="1C322CB3" w14:textId="0E7F68D7" w:rsidR="00224561" w:rsidRPr="0055589B" w:rsidRDefault="00224561" w:rsidP="007F006A">
      <w:pPr>
        <w:spacing w:after="0" w:line="288" w:lineRule="auto"/>
        <w:jc w:val="both"/>
        <w:rPr>
          <w:rFonts w:ascii="Arial" w:eastAsia="Times New Roman" w:hAnsi="Arial" w:cs="Arial"/>
          <w:color w:val="000000" w:themeColor="text1"/>
          <w:lang w:val="cs-CZ" w:eastAsia="de-DE"/>
        </w:rPr>
      </w:pPr>
      <w:r w:rsidRPr="0055589B">
        <w:rPr>
          <w:rFonts w:ascii="Arial" w:hAnsi="Arial" w:cs="Arial"/>
          <w:color w:val="000000" w:themeColor="text1"/>
          <w:lang w:val="cs-CZ" w:eastAsia="de-DE"/>
        </w:rPr>
        <w:t xml:space="preserve">Výbor pro odměňování je oprávněn </w:t>
      </w:r>
      <w:r w:rsidR="003F1A3B" w:rsidRPr="0055589B">
        <w:rPr>
          <w:rFonts w:ascii="Arial" w:hAnsi="Arial" w:cs="Arial"/>
          <w:color w:val="000000" w:themeColor="text1"/>
          <w:lang w:val="cs-CZ" w:eastAsia="de-DE"/>
        </w:rPr>
        <w:t xml:space="preserve">opatřit si </w:t>
      </w:r>
      <w:r w:rsidR="00215E3B" w:rsidRPr="0055589B">
        <w:rPr>
          <w:rFonts w:ascii="Arial" w:hAnsi="Arial" w:cs="Arial"/>
          <w:color w:val="000000" w:themeColor="text1"/>
          <w:lang w:val="cs-CZ" w:eastAsia="de-DE"/>
        </w:rPr>
        <w:t>vhodné</w:t>
      </w:r>
      <w:r w:rsidRPr="0055589B">
        <w:rPr>
          <w:rFonts w:ascii="Arial" w:hAnsi="Arial" w:cs="Arial"/>
          <w:color w:val="000000" w:themeColor="text1"/>
          <w:lang w:val="cs-CZ" w:eastAsia="de-DE"/>
        </w:rPr>
        <w:t xml:space="preserve"> externí poradenství, které mu pomůže při plnění jeho povinností</w:t>
      </w:r>
      <w:r w:rsidR="00215E3B" w:rsidRPr="0055589B">
        <w:rPr>
          <w:rFonts w:ascii="Arial" w:hAnsi="Arial" w:cs="Arial"/>
          <w:color w:val="000000" w:themeColor="text1"/>
          <w:lang w:val="cs-CZ" w:eastAsia="de-DE"/>
        </w:rPr>
        <w:t>,</w:t>
      </w:r>
      <w:r w:rsidRPr="0055589B">
        <w:rPr>
          <w:rFonts w:ascii="Arial" w:hAnsi="Arial" w:cs="Arial"/>
          <w:color w:val="000000" w:themeColor="text1"/>
          <w:lang w:val="cs-CZ" w:eastAsia="de-DE"/>
        </w:rPr>
        <w:t xml:space="preserve"> a </w:t>
      </w:r>
      <w:r w:rsidR="00215E3B" w:rsidRPr="0055589B">
        <w:rPr>
          <w:rFonts w:ascii="Arial" w:hAnsi="Arial" w:cs="Arial"/>
          <w:color w:val="000000" w:themeColor="text1"/>
          <w:lang w:val="cs-CZ" w:eastAsia="de-DE"/>
        </w:rPr>
        <w:t xml:space="preserve">opatřit si služby externích subjektů, které mají </w:t>
      </w:r>
      <w:r w:rsidRPr="0055589B">
        <w:rPr>
          <w:rFonts w:ascii="Arial" w:hAnsi="Arial" w:cs="Arial"/>
          <w:color w:val="000000" w:themeColor="text1"/>
          <w:lang w:val="cs-CZ" w:eastAsia="de-DE"/>
        </w:rPr>
        <w:t xml:space="preserve">odpovídajícími zkušenosti </w:t>
      </w:r>
      <w:r w:rsidRPr="0055589B">
        <w:rPr>
          <w:rFonts w:ascii="Arial" w:hAnsi="Arial" w:cs="Arial"/>
          <w:color w:val="000000" w:themeColor="text1"/>
          <w:lang w:val="cs-CZ" w:eastAsia="de-DE"/>
        </w:rPr>
        <w:lastRenderedPageBreak/>
        <w:t>a odborn</w:t>
      </w:r>
      <w:r w:rsidR="00215E3B" w:rsidRPr="0055589B">
        <w:rPr>
          <w:rFonts w:ascii="Arial" w:hAnsi="Arial" w:cs="Arial"/>
          <w:color w:val="000000" w:themeColor="text1"/>
          <w:lang w:val="cs-CZ" w:eastAsia="de-DE"/>
        </w:rPr>
        <w:t>é</w:t>
      </w:r>
      <w:r w:rsidRPr="0055589B">
        <w:rPr>
          <w:rFonts w:ascii="Arial" w:hAnsi="Arial" w:cs="Arial"/>
          <w:color w:val="000000" w:themeColor="text1"/>
          <w:lang w:val="cs-CZ" w:eastAsia="de-DE"/>
        </w:rPr>
        <w:t xml:space="preserve"> znalost</w:t>
      </w:r>
      <w:r w:rsidR="00215E3B" w:rsidRPr="0055589B">
        <w:rPr>
          <w:rFonts w:ascii="Arial" w:hAnsi="Arial" w:cs="Arial"/>
          <w:color w:val="000000" w:themeColor="text1"/>
          <w:lang w:val="cs-CZ" w:eastAsia="de-DE"/>
        </w:rPr>
        <w:t>i,</w:t>
      </w:r>
      <w:r w:rsidRPr="0055589B">
        <w:rPr>
          <w:rFonts w:ascii="Arial" w:hAnsi="Arial" w:cs="Arial"/>
          <w:color w:val="000000" w:themeColor="text1"/>
          <w:lang w:val="cs-CZ" w:eastAsia="de-DE"/>
        </w:rPr>
        <w:t xml:space="preserve"> a zvát tyto osoby na </w:t>
      </w:r>
      <w:r w:rsidR="00215E3B" w:rsidRPr="0055589B">
        <w:rPr>
          <w:rFonts w:ascii="Arial" w:hAnsi="Arial" w:cs="Arial"/>
          <w:color w:val="000000" w:themeColor="text1"/>
          <w:lang w:val="cs-CZ" w:eastAsia="de-DE"/>
        </w:rPr>
        <w:t>jednání V</w:t>
      </w:r>
      <w:r w:rsidRPr="0055589B">
        <w:rPr>
          <w:rFonts w:ascii="Arial" w:hAnsi="Arial" w:cs="Arial"/>
          <w:color w:val="000000" w:themeColor="text1"/>
          <w:lang w:val="cs-CZ" w:eastAsia="de-DE"/>
        </w:rPr>
        <w:t>ýboru</w:t>
      </w:r>
      <w:r w:rsidRPr="0055589B">
        <w:rPr>
          <w:rFonts w:ascii="Arial" w:hAnsi="Arial" w:cs="Arial"/>
          <w:color w:val="000000" w:themeColor="text1"/>
          <w:vertAlign w:val="superscript"/>
          <w:lang w:val="cs-CZ" w:eastAsia="de-DE"/>
        </w:rPr>
        <w:footnoteReference w:id="1"/>
      </w:r>
      <w:r w:rsidRPr="0055589B">
        <w:rPr>
          <w:rFonts w:ascii="Arial" w:hAnsi="Arial" w:cs="Arial"/>
          <w:color w:val="000000" w:themeColor="text1"/>
          <w:lang w:val="cs-CZ" w:eastAsia="de-DE"/>
        </w:rPr>
        <w:t xml:space="preserve">. Náklady na </w:t>
      </w:r>
      <w:r w:rsidR="00215E3B" w:rsidRPr="0055589B">
        <w:rPr>
          <w:rFonts w:ascii="Arial" w:hAnsi="Arial" w:cs="Arial"/>
          <w:color w:val="000000" w:themeColor="text1"/>
          <w:lang w:val="cs-CZ" w:eastAsia="de-DE"/>
        </w:rPr>
        <w:t xml:space="preserve">opatření si </w:t>
      </w:r>
      <w:r w:rsidRPr="0055589B">
        <w:rPr>
          <w:rFonts w:ascii="Arial" w:hAnsi="Arial" w:cs="Arial"/>
          <w:color w:val="000000" w:themeColor="text1"/>
          <w:lang w:val="cs-CZ" w:eastAsia="de-DE"/>
        </w:rPr>
        <w:t xml:space="preserve">jakýchkoli rad nebo služeb hradí </w:t>
      </w:r>
      <w:r w:rsidR="00215E3B" w:rsidRPr="0055589B">
        <w:rPr>
          <w:rFonts w:ascii="Arial" w:hAnsi="Arial" w:cs="Arial"/>
          <w:color w:val="000000" w:themeColor="text1"/>
          <w:lang w:val="cs-CZ" w:eastAsia="de-DE"/>
        </w:rPr>
        <w:t>S</w:t>
      </w:r>
      <w:r w:rsidRPr="0055589B">
        <w:rPr>
          <w:rFonts w:ascii="Arial" w:hAnsi="Arial" w:cs="Arial"/>
          <w:color w:val="000000" w:themeColor="text1"/>
          <w:lang w:val="cs-CZ" w:eastAsia="de-DE"/>
        </w:rPr>
        <w:t xml:space="preserve">polečnost v mezích schválených </w:t>
      </w:r>
      <w:r w:rsidR="007E4DE3" w:rsidRPr="0055589B">
        <w:rPr>
          <w:rFonts w:ascii="Arial" w:hAnsi="Arial" w:cs="Arial"/>
          <w:color w:val="000000" w:themeColor="text1"/>
          <w:lang w:val="cs-CZ" w:eastAsia="de-DE"/>
        </w:rPr>
        <w:t>Představenst</w:t>
      </w:r>
      <w:r w:rsidR="00215E3B" w:rsidRPr="0055589B">
        <w:rPr>
          <w:rFonts w:ascii="Arial" w:hAnsi="Arial" w:cs="Arial"/>
          <w:color w:val="000000" w:themeColor="text1"/>
          <w:lang w:val="cs-CZ" w:eastAsia="de-DE"/>
        </w:rPr>
        <w:t>vem</w:t>
      </w:r>
      <w:r w:rsidRPr="0055589B">
        <w:rPr>
          <w:rFonts w:ascii="Arial" w:hAnsi="Arial" w:cs="Arial"/>
          <w:color w:val="000000" w:themeColor="text1"/>
          <w:lang w:val="cs-CZ" w:eastAsia="de-DE"/>
        </w:rPr>
        <w:t>.</w:t>
      </w:r>
    </w:p>
    <w:p w14:paraId="4BE99682" w14:textId="77777777" w:rsidR="00224561" w:rsidRPr="0055589B" w:rsidRDefault="00224561" w:rsidP="007F006A">
      <w:pPr>
        <w:spacing w:after="0" w:line="280" w:lineRule="atLeast"/>
        <w:jc w:val="both"/>
        <w:rPr>
          <w:rFonts w:ascii="Arial" w:eastAsia="Times New Roman" w:hAnsi="Arial" w:cs="Arial"/>
          <w:color w:val="000000" w:themeColor="text1"/>
          <w:lang w:val="cs-CZ" w:eastAsia="de-DE"/>
        </w:rPr>
      </w:pPr>
    </w:p>
    <w:p w14:paraId="5B3FDE01" w14:textId="21BC6D62" w:rsidR="00224561" w:rsidRPr="0055589B" w:rsidRDefault="00224561" w:rsidP="007F006A">
      <w:pPr>
        <w:spacing w:after="0" w:line="280" w:lineRule="atLeast"/>
        <w:jc w:val="both"/>
        <w:rPr>
          <w:rFonts w:ascii="Arial" w:eastAsia="Times New Roman" w:hAnsi="Arial" w:cs="Arial"/>
          <w:color w:val="000000" w:themeColor="text1"/>
          <w:lang w:val="cs-CZ" w:eastAsia="de-DE"/>
        </w:rPr>
      </w:pPr>
      <w:r w:rsidRPr="0055589B">
        <w:rPr>
          <w:rFonts w:ascii="Arial" w:hAnsi="Arial" w:cs="Arial"/>
          <w:color w:val="000000" w:themeColor="text1"/>
          <w:lang w:val="cs-CZ" w:eastAsia="de-DE"/>
        </w:rPr>
        <w:t xml:space="preserve">Výbor pro odměňování je oprávněn v případě potřeby požádat o radu </w:t>
      </w:r>
      <w:r w:rsidR="00615446" w:rsidRPr="0055589B">
        <w:rPr>
          <w:rFonts w:ascii="Arial" w:hAnsi="Arial" w:cs="Arial"/>
          <w:color w:val="000000" w:themeColor="text1"/>
          <w:lang w:val="cs-CZ" w:eastAsia="de-DE"/>
        </w:rPr>
        <w:t>Podvýbor pro</w:t>
      </w:r>
      <w:r w:rsidRPr="0055589B">
        <w:rPr>
          <w:rFonts w:ascii="Arial" w:hAnsi="Arial" w:cs="Arial"/>
          <w:color w:val="000000" w:themeColor="text1"/>
          <w:lang w:val="cs-CZ" w:eastAsia="de-DE"/>
        </w:rPr>
        <w:t xml:space="preserve"> odměňování. Výbor pro odměňování je oprávněn pozvat </w:t>
      </w:r>
      <w:r w:rsidR="00480A6B" w:rsidRPr="0055589B">
        <w:rPr>
          <w:rFonts w:ascii="Arial" w:hAnsi="Arial" w:cs="Arial"/>
          <w:color w:val="000000" w:themeColor="text1"/>
          <w:lang w:val="cs-CZ" w:eastAsia="de-DE"/>
        </w:rPr>
        <w:t>vedoucího</w:t>
      </w:r>
      <w:r w:rsidR="00D9744B" w:rsidRPr="0055589B">
        <w:rPr>
          <w:rFonts w:ascii="Arial" w:hAnsi="Arial" w:cs="Arial"/>
          <w:color w:val="000000" w:themeColor="text1"/>
          <w:lang w:val="cs-CZ" w:eastAsia="de-DE"/>
        </w:rPr>
        <w:t xml:space="preserve"> oddělení </w:t>
      </w:r>
      <w:r w:rsidRPr="0055589B">
        <w:rPr>
          <w:rFonts w:ascii="Arial" w:hAnsi="Arial" w:cs="Arial"/>
          <w:color w:val="000000" w:themeColor="text1"/>
          <w:lang w:val="cs-CZ" w:eastAsia="de-DE"/>
        </w:rPr>
        <w:t>řízení rizik společnosti a další vedoucí</w:t>
      </w:r>
      <w:r w:rsidR="00D9744B" w:rsidRPr="0055589B">
        <w:rPr>
          <w:rFonts w:ascii="Arial" w:hAnsi="Arial" w:cs="Arial"/>
          <w:color w:val="000000" w:themeColor="text1"/>
          <w:lang w:val="cs-CZ" w:eastAsia="de-DE"/>
        </w:rPr>
        <w:t xml:space="preserve"> pracovníky </w:t>
      </w:r>
      <w:r w:rsidRPr="0055589B">
        <w:rPr>
          <w:rFonts w:ascii="Arial" w:hAnsi="Arial" w:cs="Arial"/>
          <w:color w:val="000000" w:themeColor="text1"/>
          <w:lang w:val="cs-CZ" w:eastAsia="de-DE"/>
        </w:rPr>
        <w:t xml:space="preserve">funkcí vnitřní kontroly, aby se zúčastnili alespoň jednoho zasedání </w:t>
      </w:r>
      <w:r w:rsidR="00D9744B" w:rsidRPr="0055589B">
        <w:rPr>
          <w:rFonts w:ascii="Arial" w:hAnsi="Arial" w:cs="Arial"/>
          <w:color w:val="000000" w:themeColor="text1"/>
          <w:lang w:val="cs-CZ" w:eastAsia="de-DE"/>
        </w:rPr>
        <w:t>V</w:t>
      </w:r>
      <w:r w:rsidRPr="0055589B">
        <w:rPr>
          <w:rFonts w:ascii="Arial" w:hAnsi="Arial" w:cs="Arial"/>
          <w:color w:val="000000" w:themeColor="text1"/>
          <w:lang w:val="cs-CZ" w:eastAsia="de-DE"/>
        </w:rPr>
        <w:t xml:space="preserve">ýboru pro odměňování </w:t>
      </w:r>
      <w:r w:rsidR="00D9744B" w:rsidRPr="0055589B">
        <w:rPr>
          <w:rFonts w:ascii="Arial" w:hAnsi="Arial" w:cs="Arial"/>
          <w:color w:val="000000" w:themeColor="text1"/>
          <w:lang w:val="cs-CZ" w:eastAsia="de-DE"/>
        </w:rPr>
        <w:t>ročně</w:t>
      </w:r>
      <w:r w:rsidRPr="0055589B">
        <w:rPr>
          <w:rFonts w:ascii="Arial" w:hAnsi="Arial" w:cs="Arial"/>
          <w:color w:val="000000" w:themeColor="text1"/>
          <w:lang w:val="cs-CZ" w:eastAsia="de-DE"/>
        </w:rPr>
        <w:t>.</w:t>
      </w:r>
    </w:p>
    <w:p w14:paraId="3C34B1F7" w14:textId="77777777"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p>
    <w:p w14:paraId="4C9C3642" w14:textId="77777777"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Výbor pro odměňování je odpovědný za tyto úkoly:</w:t>
      </w:r>
    </w:p>
    <w:p w14:paraId="1FDA608A" w14:textId="2631F1B0" w:rsidR="00224561" w:rsidRPr="0055589B" w:rsidRDefault="005C0B74" w:rsidP="00224561">
      <w:pPr>
        <w:numPr>
          <w:ilvl w:val="0"/>
          <w:numId w:val="23"/>
        </w:num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vypracování </w:t>
      </w:r>
      <w:r w:rsidR="00224561" w:rsidRPr="0055589B">
        <w:rPr>
          <w:rFonts w:ascii="Arial" w:hAnsi="Arial" w:cs="Arial"/>
          <w:color w:val="000000" w:themeColor="text1"/>
          <w:szCs w:val="24"/>
          <w:lang w:val="cs-CZ" w:eastAsia="de-AT"/>
        </w:rPr>
        <w:t xml:space="preserve">doporučení </w:t>
      </w:r>
      <w:r w:rsidRPr="0055589B">
        <w:rPr>
          <w:rFonts w:ascii="Arial" w:hAnsi="Arial" w:cs="Arial"/>
          <w:color w:val="000000" w:themeColor="text1"/>
          <w:szCs w:val="24"/>
          <w:lang w:val="cs-CZ" w:eastAsia="de-AT"/>
        </w:rPr>
        <w:t>D</w:t>
      </w:r>
      <w:r w:rsidR="00224561" w:rsidRPr="0055589B">
        <w:rPr>
          <w:rFonts w:ascii="Arial" w:hAnsi="Arial" w:cs="Arial"/>
          <w:color w:val="000000" w:themeColor="text1"/>
          <w:szCs w:val="24"/>
          <w:lang w:val="cs-CZ" w:eastAsia="de-AT"/>
        </w:rPr>
        <w:t>ozorčí radě</w:t>
      </w:r>
      <w:r w:rsidRPr="0055589B">
        <w:rPr>
          <w:rFonts w:ascii="Arial" w:hAnsi="Arial" w:cs="Arial"/>
          <w:color w:val="000000" w:themeColor="text1"/>
          <w:szCs w:val="24"/>
          <w:lang w:val="cs-CZ" w:eastAsia="de-AT"/>
        </w:rPr>
        <w:t xml:space="preserve"> souvisejících s </w:t>
      </w:r>
      <w:r w:rsidR="00224561" w:rsidRPr="0055589B">
        <w:rPr>
          <w:rFonts w:ascii="Arial" w:hAnsi="Arial" w:cs="Arial"/>
          <w:color w:val="000000" w:themeColor="text1"/>
          <w:szCs w:val="24"/>
          <w:lang w:val="cs-CZ" w:eastAsia="de-AT"/>
        </w:rPr>
        <w:t>odměňování</w:t>
      </w:r>
      <w:r w:rsidRPr="0055589B">
        <w:rPr>
          <w:rFonts w:ascii="Arial" w:hAnsi="Arial" w:cs="Arial"/>
          <w:color w:val="000000" w:themeColor="text1"/>
          <w:szCs w:val="24"/>
          <w:lang w:val="cs-CZ" w:eastAsia="de-AT"/>
        </w:rPr>
        <w:t>m</w:t>
      </w:r>
      <w:r w:rsidR="00224561" w:rsidRPr="0055589B">
        <w:rPr>
          <w:rFonts w:ascii="Arial" w:hAnsi="Arial" w:cs="Arial"/>
          <w:color w:val="000000" w:themeColor="text1"/>
          <w:szCs w:val="24"/>
          <w:lang w:val="cs-CZ" w:eastAsia="de-AT"/>
        </w:rPr>
        <w:t xml:space="preserve"> členů </w:t>
      </w:r>
      <w:r w:rsidRPr="0055589B">
        <w:rPr>
          <w:rFonts w:ascii="Arial" w:hAnsi="Arial" w:cs="Arial"/>
          <w:color w:val="000000" w:themeColor="text1"/>
          <w:szCs w:val="24"/>
          <w:lang w:val="cs-CZ" w:eastAsia="de-AT"/>
        </w:rPr>
        <w:t>P</w:t>
      </w:r>
      <w:r w:rsidR="005401C8" w:rsidRPr="0055589B">
        <w:rPr>
          <w:rFonts w:ascii="Arial" w:hAnsi="Arial" w:cs="Arial"/>
          <w:color w:val="000000" w:themeColor="text1"/>
          <w:szCs w:val="24"/>
          <w:lang w:val="cs-CZ" w:eastAsia="de-AT"/>
        </w:rPr>
        <w:t>ředstavenstva</w:t>
      </w:r>
      <w:r w:rsidR="00224561" w:rsidRPr="0055589B">
        <w:rPr>
          <w:rFonts w:ascii="Arial" w:hAnsi="Arial" w:cs="Arial"/>
          <w:color w:val="000000" w:themeColor="text1"/>
          <w:szCs w:val="24"/>
          <w:lang w:val="cs-CZ" w:eastAsia="de-AT"/>
        </w:rPr>
        <w:t xml:space="preserve"> a nejv</w:t>
      </w:r>
      <w:r w:rsidRPr="0055589B">
        <w:rPr>
          <w:rFonts w:ascii="Arial" w:hAnsi="Arial" w:cs="Arial"/>
          <w:color w:val="000000" w:themeColor="text1"/>
          <w:szCs w:val="24"/>
          <w:lang w:val="cs-CZ" w:eastAsia="de-AT"/>
        </w:rPr>
        <w:t xml:space="preserve">ýše </w:t>
      </w:r>
      <w:r w:rsidR="00224561" w:rsidRPr="0055589B">
        <w:rPr>
          <w:rFonts w:ascii="Arial" w:hAnsi="Arial" w:cs="Arial"/>
          <w:color w:val="000000" w:themeColor="text1"/>
          <w:szCs w:val="24"/>
          <w:lang w:val="cs-CZ" w:eastAsia="de-AT"/>
        </w:rPr>
        <w:t xml:space="preserve">placených zaměstnanců </w:t>
      </w:r>
      <w:r w:rsidRPr="0055589B">
        <w:rPr>
          <w:rFonts w:ascii="Arial" w:hAnsi="Arial" w:cs="Arial"/>
          <w:color w:val="000000" w:themeColor="text1"/>
          <w:szCs w:val="24"/>
          <w:lang w:val="cs-CZ" w:eastAsia="de-AT"/>
        </w:rPr>
        <w:t>S</w:t>
      </w:r>
      <w:r w:rsidR="00224561" w:rsidRPr="0055589B">
        <w:rPr>
          <w:rFonts w:ascii="Arial" w:hAnsi="Arial" w:cs="Arial"/>
          <w:color w:val="000000" w:themeColor="text1"/>
          <w:szCs w:val="24"/>
          <w:lang w:val="cs-CZ" w:eastAsia="de-AT"/>
        </w:rPr>
        <w:t>polečnosti;</w:t>
      </w:r>
    </w:p>
    <w:p w14:paraId="17B64A74" w14:textId="6D2ABFBA" w:rsidR="00224561" w:rsidRPr="0055589B" w:rsidRDefault="00224561" w:rsidP="00224561">
      <w:pPr>
        <w:numPr>
          <w:ilvl w:val="0"/>
          <w:numId w:val="23"/>
        </w:num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přím</w:t>
      </w:r>
      <w:r w:rsidR="00F4366E" w:rsidRPr="0055589B">
        <w:rPr>
          <w:rFonts w:ascii="Arial" w:hAnsi="Arial" w:cs="Arial"/>
          <w:color w:val="000000" w:themeColor="text1"/>
          <w:szCs w:val="24"/>
          <w:lang w:val="cs-CZ" w:eastAsia="de-AT"/>
        </w:rPr>
        <w:t xml:space="preserve">ý dohled </w:t>
      </w:r>
      <w:r w:rsidRPr="0055589B">
        <w:rPr>
          <w:rFonts w:ascii="Arial" w:hAnsi="Arial" w:cs="Arial"/>
          <w:color w:val="000000" w:themeColor="text1"/>
          <w:szCs w:val="24"/>
          <w:lang w:val="cs-CZ" w:eastAsia="de-AT"/>
        </w:rPr>
        <w:t>na</w:t>
      </w:r>
      <w:r w:rsidR="00F4366E" w:rsidRPr="0055589B">
        <w:rPr>
          <w:rFonts w:ascii="Arial" w:hAnsi="Arial" w:cs="Arial"/>
          <w:color w:val="000000" w:themeColor="text1"/>
          <w:szCs w:val="24"/>
          <w:lang w:val="cs-CZ" w:eastAsia="de-AT"/>
        </w:rPr>
        <w:t>d</w:t>
      </w:r>
      <w:r w:rsidRPr="0055589B">
        <w:rPr>
          <w:rFonts w:ascii="Arial" w:hAnsi="Arial" w:cs="Arial"/>
          <w:color w:val="000000" w:themeColor="text1"/>
          <w:szCs w:val="24"/>
          <w:lang w:val="cs-CZ" w:eastAsia="de-AT"/>
        </w:rPr>
        <w:t xml:space="preserve"> odměňování</w:t>
      </w:r>
      <w:r w:rsidR="002D5DE7" w:rsidRPr="0055589B">
        <w:rPr>
          <w:rFonts w:ascii="Arial" w:hAnsi="Arial" w:cs="Arial"/>
          <w:color w:val="000000" w:themeColor="text1"/>
          <w:szCs w:val="24"/>
          <w:lang w:val="cs-CZ" w:eastAsia="de-AT"/>
        </w:rPr>
        <w:t>m</w:t>
      </w:r>
      <w:r w:rsidRPr="0055589B">
        <w:rPr>
          <w:rFonts w:ascii="Arial" w:hAnsi="Arial" w:cs="Arial"/>
          <w:color w:val="000000" w:themeColor="text1"/>
          <w:szCs w:val="24"/>
          <w:lang w:val="cs-CZ" w:eastAsia="de-AT"/>
        </w:rPr>
        <w:t xml:space="preserve"> </w:t>
      </w:r>
      <w:r w:rsidR="00B60F93" w:rsidRPr="0055589B">
        <w:rPr>
          <w:rFonts w:ascii="Arial" w:hAnsi="Arial" w:cs="Arial"/>
          <w:color w:val="000000" w:themeColor="text1"/>
          <w:szCs w:val="24"/>
          <w:lang w:val="cs-CZ" w:eastAsia="de-AT"/>
        </w:rPr>
        <w:t>pracovníků podstupujících rizika</w:t>
      </w:r>
      <w:r w:rsidR="00480A6B" w:rsidRPr="0055589B">
        <w:rPr>
          <w:rFonts w:ascii="Arial" w:hAnsi="Arial" w:cs="Arial"/>
          <w:color w:val="000000" w:themeColor="text1"/>
          <w:szCs w:val="24"/>
          <w:lang w:val="cs-CZ" w:eastAsia="de-AT"/>
        </w:rPr>
        <w:t>, jimiž jsou vedoucí</w:t>
      </w:r>
      <w:r w:rsidRPr="0055589B">
        <w:rPr>
          <w:rFonts w:ascii="Arial" w:hAnsi="Arial" w:cs="Arial"/>
          <w:color w:val="000000" w:themeColor="text1"/>
          <w:szCs w:val="24"/>
          <w:lang w:val="cs-CZ" w:eastAsia="de-AT"/>
        </w:rPr>
        <w:t xml:space="preserve"> oddělení řízení rizik, vedoucí oddělení Compliance a vedoucí oddělení interního auditu;</w:t>
      </w:r>
    </w:p>
    <w:p w14:paraId="47530015" w14:textId="2A6CAD10" w:rsidR="00224561" w:rsidRPr="0055589B" w:rsidRDefault="00480A6B" w:rsidP="00224561">
      <w:pPr>
        <w:numPr>
          <w:ilvl w:val="0"/>
          <w:numId w:val="23"/>
        </w:num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dohled na </w:t>
      </w:r>
      <w:r w:rsidR="00224561" w:rsidRPr="0055589B">
        <w:rPr>
          <w:rFonts w:ascii="Arial" w:hAnsi="Arial" w:cs="Arial"/>
          <w:color w:val="000000" w:themeColor="text1"/>
          <w:szCs w:val="24"/>
          <w:lang w:val="cs-CZ" w:eastAsia="de-AT"/>
        </w:rPr>
        <w:t xml:space="preserve">rozhodnutí </w:t>
      </w:r>
      <w:r w:rsidRPr="0055589B">
        <w:rPr>
          <w:rFonts w:ascii="Arial" w:hAnsi="Arial" w:cs="Arial"/>
          <w:color w:val="000000" w:themeColor="text1"/>
          <w:szCs w:val="24"/>
          <w:lang w:val="cs-CZ" w:eastAsia="de-AT"/>
        </w:rPr>
        <w:t>P</w:t>
      </w:r>
      <w:r w:rsidR="005401C8" w:rsidRPr="0055589B">
        <w:rPr>
          <w:rFonts w:ascii="Arial" w:hAnsi="Arial" w:cs="Arial"/>
          <w:color w:val="000000" w:themeColor="text1"/>
          <w:szCs w:val="24"/>
          <w:lang w:val="cs-CZ" w:eastAsia="de-AT"/>
        </w:rPr>
        <w:t>ředstavenstva</w:t>
      </w:r>
      <w:r w:rsidR="00224561" w:rsidRPr="0055589B">
        <w:rPr>
          <w:rFonts w:ascii="Arial" w:hAnsi="Arial" w:cs="Arial"/>
          <w:color w:val="000000" w:themeColor="text1"/>
          <w:szCs w:val="24"/>
          <w:lang w:val="cs-CZ" w:eastAsia="de-AT"/>
        </w:rPr>
        <w:t xml:space="preserve"> týkající se bonusového fondu a schv</w:t>
      </w:r>
      <w:r w:rsidR="00611326" w:rsidRPr="0055589B">
        <w:rPr>
          <w:rFonts w:ascii="Arial" w:hAnsi="Arial" w:cs="Arial"/>
          <w:color w:val="000000" w:themeColor="text1"/>
          <w:szCs w:val="24"/>
          <w:lang w:val="cs-CZ" w:eastAsia="de-AT"/>
        </w:rPr>
        <w:t xml:space="preserve">alování </w:t>
      </w:r>
      <w:r w:rsidR="00224561" w:rsidRPr="0055589B">
        <w:rPr>
          <w:rFonts w:ascii="Arial" w:hAnsi="Arial" w:cs="Arial"/>
          <w:color w:val="000000" w:themeColor="text1"/>
          <w:szCs w:val="24"/>
          <w:lang w:val="cs-CZ" w:eastAsia="de-AT"/>
        </w:rPr>
        <w:t>příslušn</w:t>
      </w:r>
      <w:r w:rsidR="00611326" w:rsidRPr="0055589B">
        <w:rPr>
          <w:rFonts w:ascii="Arial" w:hAnsi="Arial" w:cs="Arial"/>
          <w:color w:val="000000" w:themeColor="text1"/>
          <w:szCs w:val="24"/>
          <w:lang w:val="cs-CZ" w:eastAsia="de-AT"/>
        </w:rPr>
        <w:t>ých pokynů a podmínek;</w:t>
      </w:r>
    </w:p>
    <w:p w14:paraId="56370B75" w14:textId="5A6869D1" w:rsidR="00224561" w:rsidRPr="0055589B" w:rsidRDefault="00224561" w:rsidP="00224561">
      <w:pPr>
        <w:numPr>
          <w:ilvl w:val="0"/>
          <w:numId w:val="23"/>
        </w:num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navrhování změn politiky odměňování; </w:t>
      </w:r>
    </w:p>
    <w:p w14:paraId="18BF5B94" w14:textId="47FFA04F" w:rsidR="00224561" w:rsidRPr="0055589B" w:rsidRDefault="00224561" w:rsidP="00224561">
      <w:pPr>
        <w:numPr>
          <w:ilvl w:val="0"/>
          <w:numId w:val="23"/>
        </w:num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přezkum</w:t>
      </w:r>
      <w:r w:rsidR="00611326"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politik</w:t>
      </w:r>
      <w:r w:rsidR="00611326" w:rsidRPr="0055589B">
        <w:rPr>
          <w:rFonts w:ascii="Arial" w:hAnsi="Arial" w:cs="Arial"/>
          <w:color w:val="000000" w:themeColor="text1"/>
          <w:szCs w:val="24"/>
          <w:lang w:val="cs-CZ" w:eastAsia="de-AT"/>
        </w:rPr>
        <w:t>y</w:t>
      </w:r>
      <w:r w:rsidRPr="0055589B">
        <w:rPr>
          <w:rFonts w:ascii="Arial" w:hAnsi="Arial" w:cs="Arial"/>
          <w:color w:val="000000" w:themeColor="text1"/>
          <w:szCs w:val="24"/>
          <w:lang w:val="cs-CZ" w:eastAsia="de-AT"/>
        </w:rPr>
        <w:t xml:space="preserve"> odměňování (alespoň jednou ročně) a schval</w:t>
      </w:r>
      <w:r w:rsidR="00611326" w:rsidRPr="0055589B">
        <w:rPr>
          <w:rFonts w:ascii="Arial" w:hAnsi="Arial" w:cs="Arial"/>
          <w:color w:val="000000" w:themeColor="text1"/>
          <w:szCs w:val="24"/>
          <w:lang w:val="cs-CZ" w:eastAsia="de-AT"/>
        </w:rPr>
        <w:t xml:space="preserve">ování a dohled nad </w:t>
      </w:r>
      <w:r w:rsidRPr="0055589B">
        <w:rPr>
          <w:rFonts w:ascii="Arial" w:hAnsi="Arial" w:cs="Arial"/>
          <w:color w:val="000000" w:themeColor="text1"/>
          <w:szCs w:val="24"/>
          <w:lang w:val="cs-CZ" w:eastAsia="de-AT"/>
        </w:rPr>
        <w:t>její</w:t>
      </w:r>
      <w:r w:rsidR="00611326" w:rsidRPr="0055589B">
        <w:rPr>
          <w:rFonts w:ascii="Arial" w:hAnsi="Arial" w:cs="Arial"/>
          <w:color w:val="000000" w:themeColor="text1"/>
          <w:szCs w:val="24"/>
          <w:lang w:val="cs-CZ" w:eastAsia="de-AT"/>
        </w:rPr>
        <w:t>m</w:t>
      </w:r>
      <w:r w:rsidRPr="0055589B">
        <w:rPr>
          <w:rFonts w:ascii="Arial" w:hAnsi="Arial" w:cs="Arial"/>
          <w:color w:val="000000" w:themeColor="text1"/>
          <w:szCs w:val="24"/>
          <w:lang w:val="cs-CZ" w:eastAsia="de-AT"/>
        </w:rPr>
        <w:t xml:space="preserve"> provádění</w:t>
      </w:r>
      <w:r w:rsidR="00611326" w:rsidRPr="0055589B">
        <w:rPr>
          <w:rFonts w:ascii="Arial" w:hAnsi="Arial" w:cs="Arial"/>
          <w:color w:val="000000" w:themeColor="text1"/>
          <w:szCs w:val="24"/>
          <w:lang w:val="cs-CZ" w:eastAsia="de-AT"/>
        </w:rPr>
        <w:t>m</w:t>
      </w:r>
      <w:r w:rsidRPr="0055589B">
        <w:rPr>
          <w:rFonts w:ascii="Arial" w:hAnsi="Arial" w:cs="Arial"/>
          <w:color w:val="000000" w:themeColor="text1"/>
          <w:szCs w:val="24"/>
          <w:lang w:val="cs-CZ" w:eastAsia="de-AT"/>
        </w:rPr>
        <w:t>;</w:t>
      </w:r>
    </w:p>
    <w:p w14:paraId="0028E89A" w14:textId="11108BD8" w:rsidR="00224561" w:rsidRPr="0055589B" w:rsidRDefault="00224561" w:rsidP="00224561">
      <w:pPr>
        <w:numPr>
          <w:ilvl w:val="0"/>
          <w:numId w:val="23"/>
        </w:num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přezkum jmenování externích poradců pro odměňování, které </w:t>
      </w:r>
      <w:r w:rsidR="007E4DE3" w:rsidRPr="0055589B">
        <w:rPr>
          <w:rFonts w:ascii="Arial" w:hAnsi="Arial" w:cs="Arial"/>
          <w:color w:val="000000" w:themeColor="text1"/>
          <w:szCs w:val="24"/>
          <w:lang w:val="cs-CZ" w:eastAsia="de-AT"/>
        </w:rPr>
        <w:t>Dozorčí ra</w:t>
      </w:r>
      <w:r w:rsidRPr="0055589B">
        <w:rPr>
          <w:rFonts w:ascii="Arial" w:hAnsi="Arial" w:cs="Arial"/>
          <w:color w:val="000000" w:themeColor="text1"/>
          <w:szCs w:val="24"/>
          <w:lang w:val="cs-CZ" w:eastAsia="de-AT"/>
        </w:rPr>
        <w:t xml:space="preserve">da může v případě potřeby </w:t>
      </w:r>
      <w:r w:rsidR="00611326" w:rsidRPr="0055589B">
        <w:rPr>
          <w:rFonts w:ascii="Arial" w:hAnsi="Arial" w:cs="Arial"/>
          <w:color w:val="000000" w:themeColor="text1"/>
          <w:szCs w:val="24"/>
          <w:lang w:val="cs-CZ" w:eastAsia="de-AT"/>
        </w:rPr>
        <w:t xml:space="preserve">najmout, aby poskytovali poradenství nebo </w:t>
      </w:r>
      <w:r w:rsidRPr="0055589B">
        <w:rPr>
          <w:rFonts w:ascii="Arial" w:hAnsi="Arial" w:cs="Arial"/>
          <w:color w:val="000000" w:themeColor="text1"/>
          <w:szCs w:val="24"/>
          <w:lang w:val="cs-CZ" w:eastAsia="de-AT"/>
        </w:rPr>
        <w:t>podpo</w:t>
      </w:r>
      <w:r w:rsidR="00611326" w:rsidRPr="0055589B">
        <w:rPr>
          <w:rFonts w:ascii="Arial" w:hAnsi="Arial" w:cs="Arial"/>
          <w:color w:val="000000" w:themeColor="text1"/>
          <w:szCs w:val="24"/>
          <w:lang w:val="cs-CZ" w:eastAsia="de-AT"/>
        </w:rPr>
        <w:t>ru</w:t>
      </w:r>
      <w:r w:rsidRPr="0055589B">
        <w:rPr>
          <w:rFonts w:ascii="Arial" w:hAnsi="Arial" w:cs="Arial"/>
          <w:color w:val="000000" w:themeColor="text1"/>
          <w:szCs w:val="24"/>
          <w:lang w:val="cs-CZ" w:eastAsia="de-AT"/>
        </w:rPr>
        <w:t>;</w:t>
      </w:r>
    </w:p>
    <w:p w14:paraId="3C701963" w14:textId="1B86D0E9" w:rsidR="00224561" w:rsidRPr="0055589B" w:rsidRDefault="00611326" w:rsidP="00224561">
      <w:pPr>
        <w:numPr>
          <w:ilvl w:val="0"/>
          <w:numId w:val="23"/>
        </w:num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p</w:t>
      </w:r>
      <w:r w:rsidR="00224561" w:rsidRPr="0055589B">
        <w:rPr>
          <w:rFonts w:ascii="Arial" w:hAnsi="Arial" w:cs="Arial"/>
          <w:color w:val="000000" w:themeColor="text1"/>
          <w:szCs w:val="24"/>
          <w:lang w:val="cs-CZ" w:eastAsia="de-AT"/>
        </w:rPr>
        <w:t xml:space="preserve">odpora </w:t>
      </w:r>
      <w:r w:rsidRPr="0055589B">
        <w:rPr>
          <w:rFonts w:ascii="Arial" w:hAnsi="Arial" w:cs="Arial"/>
          <w:color w:val="000000" w:themeColor="text1"/>
          <w:szCs w:val="24"/>
          <w:lang w:val="cs-CZ" w:eastAsia="de-AT"/>
        </w:rPr>
        <w:t>D</w:t>
      </w:r>
      <w:r w:rsidR="00224561" w:rsidRPr="0055589B">
        <w:rPr>
          <w:rFonts w:ascii="Arial" w:hAnsi="Arial" w:cs="Arial"/>
          <w:color w:val="000000" w:themeColor="text1"/>
          <w:szCs w:val="24"/>
          <w:lang w:val="cs-CZ" w:eastAsia="de-AT"/>
        </w:rPr>
        <w:t>ozorčí rady při dohledu nad n</w:t>
      </w:r>
      <w:r w:rsidRPr="0055589B">
        <w:rPr>
          <w:rFonts w:ascii="Arial" w:hAnsi="Arial" w:cs="Arial"/>
          <w:color w:val="000000" w:themeColor="text1"/>
          <w:szCs w:val="24"/>
          <w:lang w:val="cs-CZ" w:eastAsia="de-AT"/>
        </w:rPr>
        <w:t>a</w:t>
      </w:r>
      <w:r w:rsidR="00224561" w:rsidRPr="0055589B">
        <w:rPr>
          <w:rFonts w:ascii="Arial" w:hAnsi="Arial" w:cs="Arial"/>
          <w:color w:val="000000" w:themeColor="text1"/>
          <w:szCs w:val="24"/>
          <w:lang w:val="cs-CZ" w:eastAsia="de-AT"/>
        </w:rPr>
        <w:t>vrh</w:t>
      </w:r>
      <w:r w:rsidRPr="0055589B">
        <w:rPr>
          <w:rFonts w:ascii="Arial" w:hAnsi="Arial" w:cs="Arial"/>
          <w:color w:val="000000" w:themeColor="text1"/>
          <w:szCs w:val="24"/>
          <w:lang w:val="cs-CZ" w:eastAsia="de-AT"/>
        </w:rPr>
        <w:t xml:space="preserve">ováním a </w:t>
      </w:r>
      <w:r w:rsidR="00224561" w:rsidRPr="0055589B">
        <w:rPr>
          <w:rFonts w:ascii="Arial" w:hAnsi="Arial" w:cs="Arial"/>
          <w:color w:val="000000" w:themeColor="text1"/>
          <w:szCs w:val="24"/>
          <w:lang w:val="cs-CZ" w:eastAsia="de-AT"/>
        </w:rPr>
        <w:t xml:space="preserve">fungováním systému odměňování jménem </w:t>
      </w:r>
      <w:r w:rsidR="0013331E" w:rsidRPr="0055589B">
        <w:rPr>
          <w:rFonts w:ascii="Arial" w:hAnsi="Arial" w:cs="Arial"/>
          <w:color w:val="000000" w:themeColor="text1"/>
          <w:szCs w:val="24"/>
          <w:lang w:val="cs-CZ" w:eastAsia="de-AT"/>
        </w:rPr>
        <w:t>D</w:t>
      </w:r>
      <w:r w:rsidR="00224561" w:rsidRPr="0055589B">
        <w:rPr>
          <w:rFonts w:ascii="Arial" w:hAnsi="Arial" w:cs="Arial"/>
          <w:color w:val="000000" w:themeColor="text1"/>
          <w:szCs w:val="24"/>
          <w:lang w:val="cs-CZ" w:eastAsia="de-AT"/>
        </w:rPr>
        <w:t>ozorčí rady;</w:t>
      </w:r>
    </w:p>
    <w:p w14:paraId="338AC2B5" w14:textId="0F6497FA" w:rsidR="00224561" w:rsidRPr="0055589B" w:rsidRDefault="00224561" w:rsidP="00224561">
      <w:pPr>
        <w:numPr>
          <w:ilvl w:val="0"/>
          <w:numId w:val="23"/>
        </w:num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věnuje zvláštní pozornost hodnocení mechanismů odměňování přijatých </w:t>
      </w:r>
      <w:r w:rsidR="0013331E" w:rsidRPr="0055589B">
        <w:rPr>
          <w:rFonts w:ascii="Arial" w:hAnsi="Arial" w:cs="Arial"/>
          <w:color w:val="000000" w:themeColor="text1"/>
          <w:szCs w:val="24"/>
          <w:lang w:val="cs-CZ" w:eastAsia="de-AT"/>
        </w:rPr>
        <w:t xml:space="preserve">s cílem </w:t>
      </w:r>
      <w:r w:rsidRPr="0055589B">
        <w:rPr>
          <w:rFonts w:ascii="Arial" w:hAnsi="Arial" w:cs="Arial"/>
          <w:color w:val="000000" w:themeColor="text1"/>
          <w:szCs w:val="24"/>
          <w:lang w:val="cs-CZ" w:eastAsia="de-AT"/>
        </w:rPr>
        <w:t>zaji</w:t>
      </w:r>
      <w:r w:rsidR="0013331E" w:rsidRPr="0055589B">
        <w:rPr>
          <w:rFonts w:ascii="Arial" w:hAnsi="Arial" w:cs="Arial"/>
          <w:color w:val="000000" w:themeColor="text1"/>
          <w:szCs w:val="24"/>
          <w:lang w:val="cs-CZ" w:eastAsia="de-AT"/>
        </w:rPr>
        <w:t xml:space="preserve">stit, </w:t>
      </w:r>
      <w:r w:rsidRPr="0055589B">
        <w:rPr>
          <w:rFonts w:ascii="Arial" w:hAnsi="Arial" w:cs="Arial"/>
          <w:color w:val="000000" w:themeColor="text1"/>
          <w:szCs w:val="24"/>
          <w:lang w:val="cs-CZ" w:eastAsia="de-AT"/>
        </w:rPr>
        <w:t xml:space="preserve">aby celková politika odměňování byla v souladu s obchodní strategií, cíli, hodnotami a zájmy </w:t>
      </w:r>
      <w:r w:rsidR="0013331E"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polečnosti a investiční</w:t>
      </w:r>
      <w:r w:rsidR="0013331E" w:rsidRPr="0055589B">
        <w:rPr>
          <w:rFonts w:ascii="Arial" w:hAnsi="Arial" w:cs="Arial"/>
          <w:color w:val="000000" w:themeColor="text1"/>
          <w:szCs w:val="24"/>
          <w:lang w:val="cs-CZ" w:eastAsia="de-AT"/>
        </w:rPr>
        <w:t>ch</w:t>
      </w:r>
      <w:r w:rsidRPr="0055589B">
        <w:rPr>
          <w:rFonts w:ascii="Arial" w:hAnsi="Arial" w:cs="Arial"/>
          <w:color w:val="000000" w:themeColor="text1"/>
          <w:szCs w:val="24"/>
          <w:lang w:val="cs-CZ" w:eastAsia="de-AT"/>
        </w:rPr>
        <w:t xml:space="preserve"> fond</w:t>
      </w:r>
      <w:r w:rsidR="0013331E" w:rsidRPr="0055589B">
        <w:rPr>
          <w:rFonts w:ascii="Arial" w:hAnsi="Arial" w:cs="Arial"/>
          <w:color w:val="000000" w:themeColor="text1"/>
          <w:szCs w:val="24"/>
          <w:lang w:val="cs-CZ" w:eastAsia="de-AT"/>
        </w:rPr>
        <w:t>ů</w:t>
      </w:r>
      <w:r w:rsidRPr="0055589B">
        <w:rPr>
          <w:rFonts w:ascii="Arial" w:hAnsi="Arial" w:cs="Arial"/>
          <w:color w:val="000000" w:themeColor="text1"/>
          <w:szCs w:val="24"/>
          <w:lang w:val="cs-CZ" w:eastAsia="de-AT"/>
        </w:rPr>
        <w:t>, které spravuje a investo</w:t>
      </w:r>
      <w:r w:rsidR="00567310" w:rsidRPr="0055589B">
        <w:rPr>
          <w:rFonts w:ascii="Arial" w:hAnsi="Arial" w:cs="Arial"/>
          <w:color w:val="000000" w:themeColor="text1"/>
          <w:szCs w:val="24"/>
          <w:lang w:val="cs-CZ" w:eastAsia="de-AT"/>
        </w:rPr>
        <w:t>rů</w:t>
      </w:r>
      <w:r w:rsidRPr="0055589B">
        <w:rPr>
          <w:rFonts w:ascii="Arial" w:hAnsi="Arial" w:cs="Arial"/>
          <w:color w:val="000000" w:themeColor="text1"/>
          <w:szCs w:val="24"/>
          <w:lang w:val="cs-CZ" w:eastAsia="de-AT"/>
        </w:rPr>
        <w:t xml:space="preserve"> těchto investičních fondů</w:t>
      </w:r>
      <w:r w:rsidR="00567310" w:rsidRPr="0055589B">
        <w:rPr>
          <w:rFonts w:ascii="Arial" w:hAnsi="Arial" w:cs="Arial"/>
          <w:color w:val="000000" w:themeColor="text1"/>
          <w:szCs w:val="24"/>
          <w:lang w:val="cs-CZ" w:eastAsia="de-AT"/>
        </w:rPr>
        <w:t xml:space="preserve">, a aby </w:t>
      </w:r>
      <w:r w:rsidRPr="0055589B">
        <w:rPr>
          <w:rFonts w:ascii="Arial" w:hAnsi="Arial" w:cs="Arial"/>
          <w:color w:val="000000" w:themeColor="text1"/>
          <w:szCs w:val="24"/>
          <w:lang w:val="cs-CZ" w:eastAsia="de-AT"/>
        </w:rPr>
        <w:t>systém odměňování zohledň</w:t>
      </w:r>
      <w:r w:rsidR="00567310" w:rsidRPr="0055589B">
        <w:rPr>
          <w:rFonts w:ascii="Arial" w:hAnsi="Arial" w:cs="Arial"/>
          <w:color w:val="000000" w:themeColor="text1"/>
          <w:szCs w:val="24"/>
          <w:lang w:val="cs-CZ" w:eastAsia="de-AT"/>
        </w:rPr>
        <w:t>oval</w:t>
      </w:r>
      <w:r w:rsidRPr="0055589B">
        <w:rPr>
          <w:rFonts w:ascii="Arial" w:hAnsi="Arial" w:cs="Arial"/>
          <w:color w:val="000000" w:themeColor="text1"/>
          <w:szCs w:val="24"/>
          <w:lang w:val="cs-CZ" w:eastAsia="de-AT"/>
        </w:rPr>
        <w:t xml:space="preserve"> všechny druhy rizik a likviditu </w:t>
      </w:r>
      <w:r w:rsidR="00567310"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 xml:space="preserve">polečnosti a aktiva, která </w:t>
      </w:r>
      <w:r w:rsidR="00567310" w:rsidRPr="0055589B">
        <w:rPr>
          <w:rFonts w:ascii="Arial" w:hAnsi="Arial" w:cs="Arial"/>
          <w:color w:val="000000" w:themeColor="text1"/>
          <w:szCs w:val="24"/>
          <w:lang w:val="cs-CZ" w:eastAsia="de-AT"/>
        </w:rPr>
        <w:t>má ve správě</w:t>
      </w:r>
      <w:r w:rsidRPr="0055589B">
        <w:rPr>
          <w:rFonts w:ascii="Arial" w:hAnsi="Arial" w:cs="Arial"/>
          <w:color w:val="000000" w:themeColor="text1"/>
          <w:szCs w:val="24"/>
          <w:lang w:val="cs-CZ" w:eastAsia="de-AT"/>
        </w:rPr>
        <w:t>;</w:t>
      </w:r>
    </w:p>
    <w:p w14:paraId="6D5C7683" w14:textId="6319198E" w:rsidR="00224561" w:rsidRPr="0055589B" w:rsidRDefault="00224561" w:rsidP="00224561">
      <w:pPr>
        <w:numPr>
          <w:ilvl w:val="0"/>
          <w:numId w:val="23"/>
        </w:num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zajištění pravidelného nezávislého přezkumu politiky odměňování a systémů </w:t>
      </w:r>
      <w:r w:rsidR="00567310" w:rsidRPr="0055589B">
        <w:rPr>
          <w:rFonts w:ascii="Arial" w:hAnsi="Arial" w:cs="Arial"/>
          <w:color w:val="000000" w:themeColor="text1"/>
          <w:szCs w:val="24"/>
          <w:lang w:val="cs-CZ" w:eastAsia="de-AT"/>
        </w:rPr>
        <w:t xml:space="preserve">Oddělením </w:t>
      </w:r>
      <w:r w:rsidRPr="0055589B">
        <w:rPr>
          <w:rFonts w:ascii="Arial" w:hAnsi="Arial" w:cs="Arial"/>
          <w:color w:val="000000" w:themeColor="text1"/>
          <w:szCs w:val="24"/>
          <w:lang w:val="cs-CZ" w:eastAsia="de-AT"/>
        </w:rPr>
        <w:t>interní</w:t>
      </w:r>
      <w:r w:rsidR="00567310" w:rsidRPr="0055589B">
        <w:rPr>
          <w:rFonts w:ascii="Arial" w:hAnsi="Arial" w:cs="Arial"/>
          <w:color w:val="000000" w:themeColor="text1"/>
          <w:szCs w:val="24"/>
          <w:lang w:val="cs-CZ" w:eastAsia="de-AT"/>
        </w:rPr>
        <w:t>ho</w:t>
      </w:r>
      <w:r w:rsidRPr="0055589B">
        <w:rPr>
          <w:rFonts w:ascii="Arial" w:hAnsi="Arial" w:cs="Arial"/>
          <w:color w:val="000000" w:themeColor="text1"/>
          <w:szCs w:val="24"/>
          <w:lang w:val="cs-CZ" w:eastAsia="de-AT"/>
        </w:rPr>
        <w:t xml:space="preserve"> audit</w:t>
      </w:r>
      <w:r w:rsidR="00567310" w:rsidRPr="0055589B">
        <w:rPr>
          <w:rFonts w:ascii="Arial" w:hAnsi="Arial" w:cs="Arial"/>
          <w:color w:val="000000" w:themeColor="text1"/>
          <w:szCs w:val="24"/>
          <w:lang w:val="cs-CZ" w:eastAsia="de-AT"/>
        </w:rPr>
        <w:t>u</w:t>
      </w:r>
      <w:r w:rsidRPr="0055589B">
        <w:rPr>
          <w:rFonts w:ascii="Arial" w:hAnsi="Arial" w:cs="Arial"/>
          <w:color w:val="000000" w:themeColor="text1"/>
          <w:szCs w:val="24"/>
          <w:lang w:val="cs-CZ" w:eastAsia="de-AT"/>
        </w:rPr>
        <w:t>;</w:t>
      </w:r>
    </w:p>
    <w:p w14:paraId="0F3B7ADA" w14:textId="7233290A" w:rsidR="00224561" w:rsidRPr="0055589B" w:rsidRDefault="00567310" w:rsidP="00224561">
      <w:pPr>
        <w:numPr>
          <w:ilvl w:val="0"/>
          <w:numId w:val="23"/>
        </w:num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zajišťuje </w:t>
      </w:r>
      <w:r w:rsidR="00224561" w:rsidRPr="0055589B">
        <w:rPr>
          <w:rFonts w:ascii="Arial" w:hAnsi="Arial" w:cs="Arial"/>
          <w:color w:val="000000" w:themeColor="text1"/>
          <w:szCs w:val="24"/>
          <w:lang w:val="cs-CZ" w:eastAsia="de-AT"/>
        </w:rPr>
        <w:t>formáln</w:t>
      </w:r>
      <w:r w:rsidRPr="0055589B">
        <w:rPr>
          <w:rFonts w:ascii="Arial" w:hAnsi="Arial" w:cs="Arial"/>
          <w:color w:val="000000" w:themeColor="text1"/>
          <w:szCs w:val="24"/>
          <w:lang w:val="cs-CZ" w:eastAsia="de-AT"/>
        </w:rPr>
        <w:t>í</w:t>
      </w:r>
      <w:r w:rsidR="00224561" w:rsidRPr="0055589B">
        <w:rPr>
          <w:rFonts w:ascii="Arial" w:hAnsi="Arial" w:cs="Arial"/>
          <w:color w:val="000000" w:themeColor="text1"/>
          <w:szCs w:val="24"/>
          <w:lang w:val="cs-CZ" w:eastAsia="de-AT"/>
        </w:rPr>
        <w:t xml:space="preserve"> přezkum řad</w:t>
      </w:r>
      <w:r w:rsidRPr="0055589B">
        <w:rPr>
          <w:rFonts w:ascii="Arial" w:hAnsi="Arial" w:cs="Arial"/>
          <w:color w:val="000000" w:themeColor="text1"/>
          <w:szCs w:val="24"/>
          <w:lang w:val="cs-CZ" w:eastAsia="de-AT"/>
        </w:rPr>
        <w:t>y</w:t>
      </w:r>
      <w:r w:rsidR="00224561" w:rsidRPr="0055589B">
        <w:rPr>
          <w:rFonts w:ascii="Arial" w:hAnsi="Arial" w:cs="Arial"/>
          <w:color w:val="000000" w:themeColor="text1"/>
          <w:szCs w:val="24"/>
          <w:lang w:val="cs-CZ" w:eastAsia="de-AT"/>
        </w:rPr>
        <w:t xml:space="preserve"> možných scénářů, které testují, jak bude systém odměňování reagovat na budoucí vnější a vnitřní události, a </w:t>
      </w:r>
      <w:r w:rsidRPr="0055589B">
        <w:rPr>
          <w:rFonts w:ascii="Arial" w:hAnsi="Arial" w:cs="Arial"/>
          <w:color w:val="000000" w:themeColor="text1"/>
          <w:szCs w:val="24"/>
          <w:lang w:val="cs-CZ" w:eastAsia="de-AT"/>
        </w:rPr>
        <w:t xml:space="preserve">rovněž za jeho </w:t>
      </w:r>
      <w:r w:rsidR="00224561" w:rsidRPr="0055589B">
        <w:rPr>
          <w:rFonts w:ascii="Arial" w:hAnsi="Arial" w:cs="Arial"/>
          <w:color w:val="000000" w:themeColor="text1"/>
          <w:szCs w:val="24"/>
          <w:lang w:val="cs-CZ" w:eastAsia="de-AT"/>
        </w:rPr>
        <w:t>zpětn</w:t>
      </w:r>
      <w:r w:rsidRPr="0055589B">
        <w:rPr>
          <w:rFonts w:ascii="Arial" w:hAnsi="Arial" w:cs="Arial"/>
          <w:color w:val="000000" w:themeColor="text1"/>
          <w:szCs w:val="24"/>
          <w:lang w:val="cs-CZ" w:eastAsia="de-AT"/>
        </w:rPr>
        <w:t>é</w:t>
      </w:r>
      <w:r w:rsidR="00224561"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o</w:t>
      </w:r>
      <w:r w:rsidR="00224561" w:rsidRPr="0055589B">
        <w:rPr>
          <w:rFonts w:ascii="Arial" w:hAnsi="Arial" w:cs="Arial"/>
          <w:color w:val="000000" w:themeColor="text1"/>
          <w:szCs w:val="24"/>
          <w:lang w:val="cs-CZ" w:eastAsia="de-AT"/>
        </w:rPr>
        <w:t>testov</w:t>
      </w:r>
      <w:r w:rsidRPr="0055589B">
        <w:rPr>
          <w:rFonts w:ascii="Arial" w:hAnsi="Arial" w:cs="Arial"/>
          <w:color w:val="000000" w:themeColor="text1"/>
          <w:szCs w:val="24"/>
          <w:lang w:val="cs-CZ" w:eastAsia="de-AT"/>
        </w:rPr>
        <w:t>ání</w:t>
      </w:r>
      <w:r w:rsidR="00224561" w:rsidRPr="0055589B">
        <w:rPr>
          <w:rFonts w:ascii="Arial" w:hAnsi="Arial" w:cs="Arial"/>
          <w:color w:val="000000" w:themeColor="text1"/>
          <w:szCs w:val="24"/>
          <w:lang w:val="cs-CZ" w:eastAsia="de-AT"/>
        </w:rPr>
        <w:t>.</w:t>
      </w:r>
    </w:p>
    <w:p w14:paraId="77E4A906" w14:textId="3DA9053F" w:rsidR="00224561" w:rsidRPr="0055589B" w:rsidRDefault="00525BFA"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Z</w:t>
      </w:r>
      <w:r w:rsidR="00224561" w:rsidRPr="0055589B">
        <w:rPr>
          <w:rFonts w:ascii="Arial" w:hAnsi="Arial" w:cs="Arial"/>
          <w:color w:val="000000" w:themeColor="text1"/>
          <w:szCs w:val="24"/>
          <w:lang w:val="cs-CZ" w:eastAsia="de-AT"/>
        </w:rPr>
        <w:t xml:space="preserve">a stanovení odměny členů </w:t>
      </w:r>
      <w:r w:rsidRPr="0055589B">
        <w:rPr>
          <w:rFonts w:ascii="Arial" w:hAnsi="Arial" w:cs="Arial"/>
          <w:color w:val="000000" w:themeColor="text1"/>
          <w:szCs w:val="24"/>
          <w:lang w:val="cs-CZ" w:eastAsia="de-AT"/>
        </w:rPr>
        <w:t>P</w:t>
      </w:r>
      <w:r w:rsidR="005401C8" w:rsidRPr="0055589B">
        <w:rPr>
          <w:rFonts w:ascii="Arial" w:hAnsi="Arial" w:cs="Arial"/>
          <w:color w:val="000000" w:themeColor="text1"/>
          <w:szCs w:val="24"/>
          <w:lang w:val="cs-CZ" w:eastAsia="de-AT"/>
        </w:rPr>
        <w:t>ředstavenstva</w:t>
      </w:r>
      <w:r w:rsidR="00224561"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 xml:space="preserve">odpovídá Dozorčí rada. </w:t>
      </w:r>
      <w:r w:rsidR="00C86D25">
        <w:rPr>
          <w:rFonts w:ascii="Arial" w:hAnsi="Arial" w:cs="Arial"/>
          <w:color w:val="000000" w:themeColor="text1"/>
          <w:szCs w:val="24"/>
          <w:lang w:val="cs-CZ" w:eastAsia="de-AT"/>
        </w:rPr>
        <w:t>P</w:t>
      </w:r>
      <w:r w:rsidRPr="0055589B">
        <w:rPr>
          <w:rFonts w:ascii="Arial" w:hAnsi="Arial" w:cs="Arial"/>
          <w:color w:val="000000" w:themeColor="text1"/>
          <w:szCs w:val="24"/>
          <w:lang w:val="cs-CZ" w:eastAsia="de-AT"/>
        </w:rPr>
        <w:t xml:space="preserve">ravomoc </w:t>
      </w:r>
      <w:r w:rsidR="00C86D25">
        <w:rPr>
          <w:rFonts w:ascii="Arial" w:hAnsi="Arial" w:cs="Arial"/>
          <w:color w:val="000000" w:themeColor="text1"/>
          <w:szCs w:val="24"/>
          <w:lang w:val="cs-CZ" w:eastAsia="de-AT"/>
        </w:rPr>
        <w:t xml:space="preserve">stanovit variabilní odměnu </w:t>
      </w:r>
      <w:r w:rsidRPr="0055589B">
        <w:rPr>
          <w:rFonts w:ascii="Arial" w:hAnsi="Arial" w:cs="Arial"/>
          <w:color w:val="000000" w:themeColor="text1"/>
          <w:szCs w:val="24"/>
          <w:lang w:val="cs-CZ" w:eastAsia="de-AT"/>
        </w:rPr>
        <w:t>je svěřen</w:t>
      </w:r>
      <w:r w:rsidR="00C86D25">
        <w:rPr>
          <w:rFonts w:ascii="Arial" w:hAnsi="Arial" w:cs="Arial"/>
          <w:color w:val="000000" w:themeColor="text1"/>
          <w:szCs w:val="24"/>
          <w:lang w:val="cs-CZ" w:eastAsia="de-AT"/>
        </w:rPr>
        <w:t>a</w:t>
      </w:r>
      <w:r w:rsidRPr="0055589B">
        <w:rPr>
          <w:rFonts w:ascii="Arial" w:hAnsi="Arial" w:cs="Arial"/>
          <w:color w:val="000000" w:themeColor="text1"/>
          <w:szCs w:val="24"/>
          <w:lang w:val="cs-CZ" w:eastAsia="de-AT"/>
        </w:rPr>
        <w:t xml:space="preserve"> předsedovi či místopředsedovi D</w:t>
      </w:r>
      <w:r w:rsidR="00224561" w:rsidRPr="0055589B">
        <w:rPr>
          <w:rFonts w:ascii="Arial" w:hAnsi="Arial" w:cs="Arial"/>
          <w:color w:val="000000" w:themeColor="text1"/>
          <w:szCs w:val="24"/>
          <w:lang w:val="cs-CZ" w:eastAsia="de-AT"/>
        </w:rPr>
        <w:t xml:space="preserve">ozorčí rady. Podle § 30l zákona o </w:t>
      </w:r>
      <w:r w:rsidR="00224561" w:rsidRPr="0055589B">
        <w:rPr>
          <w:rFonts w:ascii="Arial" w:hAnsi="Arial" w:cs="Arial"/>
          <w:color w:val="000000" w:themeColor="text1"/>
          <w:szCs w:val="24"/>
          <w:lang w:val="cs-CZ" w:eastAsia="de-AT"/>
        </w:rPr>
        <w:lastRenderedPageBreak/>
        <w:t xml:space="preserve">společnostech </w:t>
      </w:r>
      <w:r w:rsidR="00924810" w:rsidRPr="0055589B">
        <w:rPr>
          <w:rFonts w:ascii="Arial" w:hAnsi="Arial" w:cs="Arial"/>
          <w:color w:val="000000" w:themeColor="text1"/>
          <w:szCs w:val="24"/>
          <w:lang w:val="cs-CZ" w:eastAsia="de-AT"/>
        </w:rPr>
        <w:t>s ručení</w:t>
      </w:r>
      <w:r w:rsidRPr="0055589B">
        <w:rPr>
          <w:rFonts w:ascii="Arial" w:hAnsi="Arial" w:cs="Arial"/>
          <w:color w:val="000000" w:themeColor="text1"/>
          <w:szCs w:val="24"/>
          <w:lang w:val="cs-CZ" w:eastAsia="de-AT"/>
        </w:rPr>
        <w:t>m omezeným</w:t>
      </w:r>
      <w:r w:rsidR="00924810" w:rsidRPr="0055589B">
        <w:rPr>
          <w:rFonts w:ascii="Arial" w:hAnsi="Arial" w:cs="Arial"/>
          <w:color w:val="000000" w:themeColor="text1"/>
          <w:szCs w:val="24"/>
          <w:lang w:val="cs-CZ" w:eastAsia="de-AT"/>
        </w:rPr>
        <w:t xml:space="preserve"> </w:t>
      </w:r>
      <w:r w:rsidR="00224561" w:rsidRPr="0055589B">
        <w:rPr>
          <w:rFonts w:ascii="Arial" w:hAnsi="Arial" w:cs="Arial"/>
          <w:color w:val="000000" w:themeColor="text1"/>
          <w:szCs w:val="24"/>
          <w:lang w:val="cs-CZ" w:eastAsia="de-AT"/>
        </w:rPr>
        <w:t xml:space="preserve">("GmbH") je </w:t>
      </w:r>
      <w:r w:rsidR="007E4DE3" w:rsidRPr="0055589B">
        <w:rPr>
          <w:rFonts w:ascii="Arial" w:hAnsi="Arial" w:cs="Arial"/>
          <w:color w:val="000000" w:themeColor="text1"/>
          <w:szCs w:val="24"/>
          <w:lang w:val="cs-CZ" w:eastAsia="de-AT"/>
        </w:rPr>
        <w:t>Dozorčí ra</w:t>
      </w:r>
      <w:r w:rsidR="00224561" w:rsidRPr="0055589B">
        <w:rPr>
          <w:rFonts w:ascii="Arial" w:hAnsi="Arial" w:cs="Arial"/>
          <w:color w:val="000000" w:themeColor="text1"/>
          <w:szCs w:val="24"/>
          <w:lang w:val="cs-CZ" w:eastAsia="de-AT"/>
        </w:rPr>
        <w:t xml:space="preserve">da oprávněna zastupovat </w:t>
      </w:r>
      <w:r w:rsidRPr="0055589B">
        <w:rPr>
          <w:rFonts w:ascii="Arial" w:hAnsi="Arial" w:cs="Arial"/>
          <w:color w:val="000000" w:themeColor="text1"/>
          <w:szCs w:val="24"/>
          <w:lang w:val="cs-CZ" w:eastAsia="de-AT"/>
        </w:rPr>
        <w:t>S</w:t>
      </w:r>
      <w:r w:rsidR="00224561" w:rsidRPr="0055589B">
        <w:rPr>
          <w:rFonts w:ascii="Arial" w:hAnsi="Arial" w:cs="Arial"/>
          <w:color w:val="000000" w:themeColor="text1"/>
          <w:szCs w:val="24"/>
          <w:lang w:val="cs-CZ" w:eastAsia="de-AT"/>
        </w:rPr>
        <w:t xml:space="preserve">polečnost v právních záležitostech </w:t>
      </w:r>
      <w:r w:rsidR="00E46BB0" w:rsidRPr="0055589B">
        <w:rPr>
          <w:rFonts w:ascii="Arial" w:hAnsi="Arial" w:cs="Arial"/>
          <w:color w:val="000000" w:themeColor="text1"/>
          <w:szCs w:val="24"/>
          <w:lang w:val="cs-CZ" w:eastAsia="de-AT"/>
        </w:rPr>
        <w:t>souvisejících s</w:t>
      </w:r>
      <w:r w:rsidR="00224561" w:rsidRPr="0055589B">
        <w:rPr>
          <w:rFonts w:ascii="Arial" w:hAnsi="Arial" w:cs="Arial"/>
          <w:color w:val="000000" w:themeColor="text1"/>
          <w:szCs w:val="24"/>
          <w:lang w:val="cs-CZ" w:eastAsia="de-AT"/>
        </w:rPr>
        <w:t xml:space="preserve">e členy </w:t>
      </w:r>
      <w:r w:rsidR="007E4DE3" w:rsidRPr="0055589B">
        <w:rPr>
          <w:rFonts w:ascii="Arial" w:hAnsi="Arial" w:cs="Arial"/>
          <w:color w:val="000000" w:themeColor="text1"/>
          <w:szCs w:val="24"/>
          <w:lang w:val="cs-CZ" w:eastAsia="de-AT"/>
        </w:rPr>
        <w:t>Představenst</w:t>
      </w:r>
      <w:r w:rsidR="005401C8" w:rsidRPr="0055589B">
        <w:rPr>
          <w:rFonts w:ascii="Arial" w:hAnsi="Arial" w:cs="Arial"/>
          <w:color w:val="000000" w:themeColor="text1"/>
          <w:szCs w:val="24"/>
          <w:lang w:val="cs-CZ" w:eastAsia="de-AT"/>
        </w:rPr>
        <w:t>va</w:t>
      </w:r>
      <w:r w:rsidR="00224561" w:rsidRPr="0055589B">
        <w:rPr>
          <w:rFonts w:ascii="Arial" w:hAnsi="Arial" w:cs="Arial"/>
          <w:color w:val="000000" w:themeColor="text1"/>
          <w:szCs w:val="24"/>
          <w:lang w:val="cs-CZ" w:eastAsia="de-AT"/>
        </w:rPr>
        <w:t>.</w:t>
      </w:r>
    </w:p>
    <w:p w14:paraId="1A35555A" w14:textId="578A9709" w:rsidR="00224561" w:rsidRPr="0055589B" w:rsidRDefault="00224561" w:rsidP="007F006A">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Výbor pro odměňování </w:t>
      </w:r>
      <w:r w:rsidR="00E46BB0" w:rsidRPr="0055589B">
        <w:rPr>
          <w:rFonts w:ascii="Arial" w:hAnsi="Arial" w:cs="Arial"/>
          <w:color w:val="000000" w:themeColor="text1"/>
          <w:szCs w:val="24"/>
          <w:lang w:val="cs-CZ" w:eastAsia="de-AT"/>
        </w:rPr>
        <w:t xml:space="preserve">zasedá </w:t>
      </w:r>
      <w:r w:rsidRPr="0055589B">
        <w:rPr>
          <w:rFonts w:ascii="Arial" w:hAnsi="Arial" w:cs="Arial"/>
          <w:color w:val="000000" w:themeColor="text1"/>
          <w:szCs w:val="24"/>
          <w:lang w:val="cs-CZ" w:eastAsia="de-AT"/>
        </w:rPr>
        <w:t>nejméně dvakrát ročně.</w:t>
      </w:r>
    </w:p>
    <w:p w14:paraId="7AD1287B" w14:textId="77777777" w:rsidR="00935FCB" w:rsidRPr="0055589B" w:rsidRDefault="00935FCB" w:rsidP="007F006A">
      <w:pPr>
        <w:spacing w:after="120" w:line="276" w:lineRule="auto"/>
        <w:jc w:val="both"/>
        <w:rPr>
          <w:rFonts w:ascii="Arial" w:eastAsia="Times New Roman" w:hAnsi="Arial" w:cs="Arial"/>
          <w:color w:val="000000" w:themeColor="text1"/>
          <w:szCs w:val="24"/>
          <w:lang w:val="cs-CZ" w:eastAsia="de-AT"/>
        </w:rPr>
      </w:pPr>
    </w:p>
    <w:p w14:paraId="0B180F14" w14:textId="53634FAE" w:rsidR="00224561" w:rsidRPr="0055589B" w:rsidRDefault="00935FCB" w:rsidP="00694A20">
      <w:pPr>
        <w:pStyle w:val="Nadpis1"/>
        <w:rPr>
          <w:rFonts w:eastAsia="Times New Roman"/>
          <w:color w:val="000000" w:themeColor="text1"/>
          <w:lang w:val="cs-CZ"/>
        </w:rPr>
      </w:pPr>
      <w:bookmarkStart w:id="24" w:name="_Toc108689198"/>
      <w:r w:rsidRPr="0055589B">
        <w:rPr>
          <w:color w:val="000000" w:themeColor="text1"/>
          <w:lang w:val="cs-CZ"/>
        </w:rPr>
        <w:t>Všeo</w:t>
      </w:r>
      <w:r w:rsidR="00224561" w:rsidRPr="0055589B">
        <w:rPr>
          <w:color w:val="000000" w:themeColor="text1"/>
          <w:lang w:val="cs-CZ"/>
        </w:rPr>
        <w:t>becné zásady</w:t>
      </w:r>
      <w:bookmarkEnd w:id="24"/>
    </w:p>
    <w:p w14:paraId="35071A47" w14:textId="7BCF3754"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Obecná pravidla odměňování se vztahují na všechny zaměstnance a členy </w:t>
      </w:r>
      <w:r w:rsidR="00935FCB" w:rsidRPr="0055589B">
        <w:rPr>
          <w:rFonts w:ascii="Arial" w:hAnsi="Arial" w:cs="Arial"/>
          <w:color w:val="000000" w:themeColor="text1"/>
          <w:szCs w:val="24"/>
          <w:lang w:val="cs-CZ" w:eastAsia="de-AT"/>
        </w:rPr>
        <w:t>P</w:t>
      </w:r>
      <w:r w:rsidR="005401C8" w:rsidRPr="0055589B">
        <w:rPr>
          <w:rFonts w:ascii="Arial" w:hAnsi="Arial" w:cs="Arial"/>
          <w:color w:val="000000" w:themeColor="text1"/>
          <w:szCs w:val="24"/>
          <w:lang w:val="cs-CZ" w:eastAsia="de-AT"/>
        </w:rPr>
        <w:t>ředstavenstva</w:t>
      </w:r>
      <w:r w:rsidRPr="0055589B">
        <w:rPr>
          <w:rFonts w:ascii="Arial" w:hAnsi="Arial" w:cs="Arial"/>
          <w:color w:val="000000" w:themeColor="text1"/>
          <w:szCs w:val="24"/>
          <w:lang w:val="cs-CZ" w:eastAsia="de-AT"/>
        </w:rPr>
        <w:t xml:space="preserve"> společnosti. </w:t>
      </w:r>
    </w:p>
    <w:p w14:paraId="6C87EF7B" w14:textId="17C6FF7F" w:rsidR="00224561" w:rsidRPr="0055589B" w:rsidRDefault="00935FCB" w:rsidP="006033BF">
      <w:pPr>
        <w:pStyle w:val="Nadpis2"/>
        <w:rPr>
          <w:rFonts w:eastAsia="Times New Roman"/>
          <w:color w:val="000000" w:themeColor="text1"/>
          <w:lang w:val="cs-CZ"/>
        </w:rPr>
      </w:pPr>
      <w:bookmarkStart w:id="25" w:name="_Toc108689199"/>
      <w:r w:rsidRPr="0055589B">
        <w:rPr>
          <w:color w:val="000000" w:themeColor="text1"/>
          <w:lang w:val="cs-CZ"/>
        </w:rPr>
        <w:t>Složky mzdy</w:t>
      </w:r>
      <w:bookmarkEnd w:id="25"/>
      <w:r w:rsidRPr="0055589B">
        <w:rPr>
          <w:color w:val="000000" w:themeColor="text1"/>
          <w:lang w:val="cs-CZ"/>
        </w:rPr>
        <w:t xml:space="preserve"> </w:t>
      </w:r>
    </w:p>
    <w:p w14:paraId="35FB2BC8" w14:textId="1B9B73E2" w:rsidR="00224561" w:rsidRPr="0055589B" w:rsidRDefault="00224561" w:rsidP="007F006A">
      <w:p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Celkov</w:t>
      </w:r>
      <w:r w:rsidR="008D7AC3" w:rsidRPr="0055589B">
        <w:rPr>
          <w:rFonts w:ascii="Arial" w:hAnsi="Arial" w:cs="Arial"/>
          <w:color w:val="000000" w:themeColor="text1"/>
          <w:szCs w:val="24"/>
          <w:lang w:val="cs-CZ" w:eastAsia="de-AT"/>
        </w:rPr>
        <w:t>á</w:t>
      </w:r>
      <w:r w:rsidRPr="0055589B">
        <w:rPr>
          <w:rFonts w:ascii="Arial" w:hAnsi="Arial" w:cs="Arial"/>
          <w:color w:val="000000" w:themeColor="text1"/>
          <w:szCs w:val="24"/>
          <w:lang w:val="cs-CZ" w:eastAsia="de-AT"/>
        </w:rPr>
        <w:t xml:space="preserve"> pravideln</w:t>
      </w:r>
      <w:r w:rsidR="008D7AC3" w:rsidRPr="0055589B">
        <w:rPr>
          <w:rFonts w:ascii="Arial" w:hAnsi="Arial" w:cs="Arial"/>
          <w:color w:val="000000" w:themeColor="text1"/>
          <w:szCs w:val="24"/>
          <w:lang w:val="cs-CZ" w:eastAsia="de-AT"/>
        </w:rPr>
        <w:t>á</w:t>
      </w:r>
      <w:r w:rsidRPr="0055589B">
        <w:rPr>
          <w:rFonts w:ascii="Arial" w:hAnsi="Arial" w:cs="Arial"/>
          <w:color w:val="000000" w:themeColor="text1"/>
          <w:szCs w:val="24"/>
          <w:lang w:val="cs-CZ" w:eastAsia="de-AT"/>
        </w:rPr>
        <w:t xml:space="preserve"> základní </w:t>
      </w:r>
      <w:r w:rsidR="008D7AC3" w:rsidRPr="0055589B">
        <w:rPr>
          <w:rFonts w:ascii="Arial" w:hAnsi="Arial" w:cs="Arial"/>
          <w:color w:val="000000" w:themeColor="text1"/>
          <w:szCs w:val="24"/>
          <w:lang w:val="cs-CZ" w:eastAsia="de-AT"/>
        </w:rPr>
        <w:t>mzda</w:t>
      </w:r>
      <w:r w:rsidRPr="0055589B">
        <w:rPr>
          <w:rFonts w:ascii="Arial" w:hAnsi="Arial" w:cs="Arial"/>
          <w:color w:val="000000" w:themeColor="text1"/>
          <w:szCs w:val="24"/>
          <w:lang w:val="cs-CZ" w:eastAsia="de-AT"/>
        </w:rPr>
        <w:t xml:space="preserve"> osoby se může skládat z několika </w:t>
      </w:r>
      <w:r w:rsidR="00935FCB" w:rsidRPr="0055589B">
        <w:rPr>
          <w:rFonts w:ascii="Arial" w:hAnsi="Arial" w:cs="Arial"/>
          <w:color w:val="000000" w:themeColor="text1"/>
          <w:szCs w:val="24"/>
          <w:lang w:val="cs-CZ" w:eastAsia="de-AT"/>
        </w:rPr>
        <w:t>složek</w:t>
      </w:r>
      <w:r w:rsidRPr="0055589B">
        <w:rPr>
          <w:rFonts w:ascii="Arial" w:hAnsi="Arial" w:cs="Arial"/>
          <w:color w:val="000000" w:themeColor="text1"/>
          <w:szCs w:val="24"/>
          <w:lang w:val="cs-CZ" w:eastAsia="de-AT"/>
        </w:rPr>
        <w:t xml:space="preserve">. </w:t>
      </w:r>
      <w:r w:rsidR="008D7AC3" w:rsidRPr="0055589B">
        <w:rPr>
          <w:rFonts w:ascii="Arial" w:hAnsi="Arial" w:cs="Arial"/>
          <w:color w:val="000000" w:themeColor="text1"/>
          <w:szCs w:val="24"/>
          <w:lang w:val="cs-CZ" w:eastAsia="de-AT"/>
        </w:rPr>
        <w:t>Celková pravidelná základní mzda</w:t>
      </w:r>
      <w:r w:rsidRPr="0055589B">
        <w:rPr>
          <w:rFonts w:ascii="Arial" w:hAnsi="Arial" w:cs="Arial"/>
          <w:color w:val="000000" w:themeColor="text1"/>
          <w:szCs w:val="24"/>
          <w:lang w:val="cs-CZ" w:eastAsia="de-AT"/>
        </w:rPr>
        <w:t xml:space="preserve"> je součtem </w:t>
      </w:r>
      <w:r w:rsidR="008D7AC3" w:rsidRPr="0055589B">
        <w:rPr>
          <w:rFonts w:ascii="Arial" w:hAnsi="Arial" w:cs="Arial"/>
          <w:color w:val="000000" w:themeColor="text1"/>
          <w:szCs w:val="24"/>
          <w:lang w:val="cs-CZ" w:eastAsia="de-AT"/>
        </w:rPr>
        <w:t xml:space="preserve">základní zákonné mzdy a tržního nebo funkční příplatku, příplatku za vedoucí pozici a příplatku za </w:t>
      </w:r>
      <w:r w:rsidRPr="0055589B">
        <w:rPr>
          <w:rFonts w:ascii="Arial" w:hAnsi="Arial" w:cs="Arial"/>
          <w:color w:val="000000" w:themeColor="text1"/>
          <w:szCs w:val="24"/>
          <w:lang w:val="cs-CZ" w:eastAsia="de-AT"/>
        </w:rPr>
        <w:t>přesčasy.</w:t>
      </w:r>
    </w:p>
    <w:p w14:paraId="7FCB7949" w14:textId="7AAAD25E" w:rsidR="00224561" w:rsidRPr="0055589B" w:rsidRDefault="00224561" w:rsidP="007F006A">
      <w:p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Příspěvek na </w:t>
      </w:r>
      <w:r w:rsidR="00DC4E7C" w:rsidRPr="0055589B">
        <w:rPr>
          <w:rFonts w:ascii="Arial" w:hAnsi="Arial" w:cs="Arial"/>
          <w:color w:val="000000" w:themeColor="text1"/>
          <w:szCs w:val="24"/>
          <w:lang w:val="cs-CZ" w:eastAsia="de-AT"/>
        </w:rPr>
        <w:t xml:space="preserve">výkon </w:t>
      </w:r>
      <w:r w:rsidRPr="0055589B">
        <w:rPr>
          <w:rFonts w:ascii="Arial" w:hAnsi="Arial" w:cs="Arial"/>
          <w:color w:val="000000" w:themeColor="text1"/>
          <w:szCs w:val="24"/>
          <w:lang w:val="cs-CZ" w:eastAsia="de-AT"/>
        </w:rPr>
        <w:t>pracovní funkc</w:t>
      </w:r>
      <w:r w:rsidR="00DC4E7C" w:rsidRPr="0055589B">
        <w:rPr>
          <w:rFonts w:ascii="Arial" w:hAnsi="Arial" w:cs="Arial"/>
          <w:color w:val="000000" w:themeColor="text1"/>
          <w:szCs w:val="24"/>
          <w:lang w:val="cs-CZ" w:eastAsia="de-AT"/>
        </w:rPr>
        <w:t>e</w:t>
      </w:r>
      <w:r w:rsidRPr="0055589B">
        <w:rPr>
          <w:rFonts w:ascii="Arial" w:hAnsi="Arial" w:cs="Arial"/>
          <w:color w:val="000000" w:themeColor="text1"/>
          <w:szCs w:val="24"/>
          <w:lang w:val="cs-CZ" w:eastAsia="de-AT"/>
        </w:rPr>
        <w:t xml:space="preserve"> (</w:t>
      </w:r>
      <w:r w:rsidR="00DC4E7C" w:rsidRPr="0055589B">
        <w:rPr>
          <w:rFonts w:ascii="Arial" w:hAnsi="Arial" w:cs="Arial"/>
          <w:color w:val="000000" w:themeColor="text1"/>
          <w:szCs w:val="24"/>
          <w:lang w:val="cs-CZ" w:eastAsia="de-AT"/>
        </w:rPr>
        <w:t>„</w:t>
      </w:r>
      <w:r w:rsidRPr="0055589B">
        <w:rPr>
          <w:rFonts w:ascii="Arial" w:hAnsi="Arial" w:cs="Arial"/>
          <w:color w:val="000000" w:themeColor="text1"/>
          <w:szCs w:val="24"/>
          <w:lang w:val="cs-CZ" w:eastAsia="de-AT"/>
        </w:rPr>
        <w:t xml:space="preserve">Funktionszulage"): manažer a </w:t>
      </w:r>
      <w:r w:rsidR="00DC4E7C" w:rsidRPr="0055589B">
        <w:rPr>
          <w:rFonts w:ascii="Arial" w:hAnsi="Arial" w:cs="Arial"/>
          <w:color w:val="000000" w:themeColor="text1"/>
          <w:szCs w:val="24"/>
          <w:lang w:val="cs-CZ" w:eastAsia="de-AT"/>
        </w:rPr>
        <w:t xml:space="preserve">oddělení lidských zdrojů </w:t>
      </w:r>
      <w:r w:rsidRPr="0055589B">
        <w:rPr>
          <w:rFonts w:ascii="Arial" w:hAnsi="Arial" w:cs="Arial"/>
          <w:color w:val="000000" w:themeColor="text1"/>
          <w:szCs w:val="24"/>
          <w:lang w:val="cs-CZ" w:eastAsia="de-AT"/>
        </w:rPr>
        <w:t>se mohou rozhodnout</w:t>
      </w:r>
      <w:r w:rsidR="000359D7" w:rsidRPr="0055589B">
        <w:rPr>
          <w:rFonts w:ascii="Arial" w:hAnsi="Arial" w:cs="Arial"/>
          <w:color w:val="000000" w:themeColor="text1"/>
          <w:szCs w:val="24"/>
          <w:lang w:val="cs-CZ" w:eastAsia="de-AT"/>
        </w:rPr>
        <w:t xml:space="preserve"> vyplácet </w:t>
      </w:r>
      <w:r w:rsidRPr="0055589B">
        <w:rPr>
          <w:rFonts w:ascii="Arial" w:hAnsi="Arial" w:cs="Arial"/>
          <w:color w:val="000000" w:themeColor="text1"/>
          <w:szCs w:val="24"/>
          <w:lang w:val="cs-CZ" w:eastAsia="de-AT"/>
        </w:rPr>
        <w:t>zaměstnanc</w:t>
      </w:r>
      <w:r w:rsidR="000359D7" w:rsidRPr="0055589B">
        <w:rPr>
          <w:rFonts w:ascii="Arial" w:hAnsi="Arial" w:cs="Arial"/>
          <w:color w:val="000000" w:themeColor="text1"/>
          <w:szCs w:val="24"/>
          <w:lang w:val="cs-CZ" w:eastAsia="de-AT"/>
        </w:rPr>
        <w:t>i</w:t>
      </w:r>
      <w:r w:rsidRPr="0055589B">
        <w:rPr>
          <w:rFonts w:ascii="Arial" w:hAnsi="Arial" w:cs="Arial"/>
          <w:color w:val="000000" w:themeColor="text1"/>
          <w:szCs w:val="24"/>
          <w:lang w:val="cs-CZ" w:eastAsia="de-AT"/>
        </w:rPr>
        <w:t xml:space="preserve"> </w:t>
      </w:r>
      <w:r w:rsidR="00DC4E7C" w:rsidRPr="0055589B">
        <w:rPr>
          <w:rFonts w:ascii="Arial" w:hAnsi="Arial" w:cs="Arial"/>
          <w:color w:val="000000" w:themeColor="text1"/>
          <w:szCs w:val="24"/>
          <w:lang w:val="cs-CZ" w:eastAsia="de-AT"/>
        </w:rPr>
        <w:t>příplat</w:t>
      </w:r>
      <w:r w:rsidRPr="0055589B">
        <w:rPr>
          <w:rFonts w:ascii="Arial" w:hAnsi="Arial" w:cs="Arial"/>
          <w:color w:val="000000" w:themeColor="text1"/>
          <w:szCs w:val="24"/>
          <w:lang w:val="cs-CZ" w:eastAsia="de-AT"/>
        </w:rPr>
        <w:t>ek na pracovní funkci. Zaměstnanci v</w:t>
      </w:r>
      <w:r w:rsidR="000359D7" w:rsidRPr="0055589B">
        <w:rPr>
          <w:rFonts w:ascii="Arial" w:hAnsi="Arial" w:cs="Arial"/>
          <w:color w:val="000000" w:themeColor="text1"/>
          <w:szCs w:val="24"/>
          <w:lang w:val="cs-CZ" w:eastAsia="de-AT"/>
        </w:rPr>
        <w:t xml:space="preserve"> nevedoucích pozicích </w:t>
      </w:r>
      <w:r w:rsidRPr="0055589B">
        <w:rPr>
          <w:rFonts w:ascii="Arial" w:hAnsi="Arial" w:cs="Arial"/>
          <w:color w:val="000000" w:themeColor="text1"/>
          <w:szCs w:val="24"/>
          <w:lang w:val="cs-CZ" w:eastAsia="de-AT"/>
        </w:rPr>
        <w:t xml:space="preserve">mají nárok na </w:t>
      </w:r>
      <w:r w:rsidR="00DC4E7C" w:rsidRPr="0055589B">
        <w:rPr>
          <w:rFonts w:ascii="Arial" w:hAnsi="Arial" w:cs="Arial"/>
          <w:color w:val="000000" w:themeColor="text1"/>
          <w:szCs w:val="24"/>
          <w:lang w:val="cs-CZ" w:eastAsia="de-AT"/>
        </w:rPr>
        <w:t>příplat</w:t>
      </w:r>
      <w:r w:rsidRPr="0055589B">
        <w:rPr>
          <w:rFonts w:ascii="Arial" w:hAnsi="Arial" w:cs="Arial"/>
          <w:color w:val="000000" w:themeColor="text1"/>
          <w:szCs w:val="24"/>
          <w:lang w:val="cs-CZ" w:eastAsia="de-AT"/>
        </w:rPr>
        <w:t xml:space="preserve">ek na pracovní funkci. </w:t>
      </w:r>
      <w:r w:rsidR="00DC4E7C" w:rsidRPr="0055589B">
        <w:rPr>
          <w:rFonts w:ascii="Arial" w:hAnsi="Arial" w:cs="Arial"/>
          <w:color w:val="000000" w:themeColor="text1"/>
          <w:szCs w:val="24"/>
          <w:lang w:val="cs-CZ" w:eastAsia="de-AT"/>
        </w:rPr>
        <w:t>Příplat</w:t>
      </w:r>
      <w:r w:rsidRPr="0055589B">
        <w:rPr>
          <w:rFonts w:ascii="Arial" w:hAnsi="Arial" w:cs="Arial"/>
          <w:color w:val="000000" w:themeColor="text1"/>
          <w:szCs w:val="24"/>
          <w:lang w:val="cs-CZ" w:eastAsia="de-AT"/>
        </w:rPr>
        <w:t xml:space="preserve">ek </w:t>
      </w:r>
      <w:r w:rsidR="000359D7" w:rsidRPr="0055589B">
        <w:rPr>
          <w:rFonts w:ascii="Arial" w:hAnsi="Arial" w:cs="Arial"/>
          <w:color w:val="000000" w:themeColor="text1"/>
          <w:szCs w:val="24"/>
          <w:lang w:val="cs-CZ" w:eastAsia="de-AT"/>
        </w:rPr>
        <w:t>za</w:t>
      </w:r>
      <w:r w:rsidRPr="0055589B">
        <w:rPr>
          <w:rFonts w:ascii="Arial" w:hAnsi="Arial" w:cs="Arial"/>
          <w:color w:val="000000" w:themeColor="text1"/>
          <w:szCs w:val="24"/>
          <w:lang w:val="cs-CZ" w:eastAsia="de-AT"/>
        </w:rPr>
        <w:t xml:space="preserve"> pracovní funkci lze použít v různých situacích</w:t>
      </w:r>
      <w:r w:rsidR="000359D7" w:rsidRPr="0055589B">
        <w:rPr>
          <w:rFonts w:ascii="Arial" w:hAnsi="Arial" w:cs="Arial"/>
          <w:color w:val="000000" w:themeColor="text1"/>
          <w:szCs w:val="24"/>
          <w:lang w:val="cs-CZ" w:eastAsia="de-AT"/>
        </w:rPr>
        <w:t xml:space="preserve"> souvisejících s obchodní činností společnosti</w:t>
      </w:r>
      <w:r w:rsidRPr="0055589B">
        <w:rPr>
          <w:rFonts w:ascii="Arial" w:hAnsi="Arial" w:cs="Arial"/>
          <w:color w:val="000000" w:themeColor="text1"/>
          <w:szCs w:val="24"/>
          <w:lang w:val="cs-CZ" w:eastAsia="de-AT"/>
        </w:rPr>
        <w:t xml:space="preserve">. Například </w:t>
      </w:r>
      <w:r w:rsidR="000359D7" w:rsidRPr="0055589B">
        <w:rPr>
          <w:rFonts w:ascii="Arial" w:hAnsi="Arial" w:cs="Arial"/>
          <w:color w:val="000000" w:themeColor="text1"/>
          <w:szCs w:val="24"/>
          <w:lang w:val="cs-CZ" w:eastAsia="de-AT"/>
        </w:rPr>
        <w:t xml:space="preserve">dočasný vnější </w:t>
      </w:r>
      <w:r w:rsidRPr="0055589B">
        <w:rPr>
          <w:rFonts w:ascii="Arial" w:hAnsi="Arial" w:cs="Arial"/>
          <w:color w:val="000000" w:themeColor="text1"/>
          <w:szCs w:val="24"/>
          <w:lang w:val="cs-CZ" w:eastAsia="de-AT"/>
        </w:rPr>
        <w:t>tlak</w:t>
      </w:r>
      <w:r w:rsidR="000359D7" w:rsidRPr="0055589B">
        <w:rPr>
          <w:rFonts w:ascii="Arial" w:hAnsi="Arial" w:cs="Arial"/>
          <w:color w:val="000000" w:themeColor="text1"/>
          <w:szCs w:val="24"/>
          <w:lang w:val="cs-CZ" w:eastAsia="de-AT"/>
        </w:rPr>
        <w:t xml:space="preserve"> trhu na mzdy nebo </w:t>
      </w:r>
      <w:r w:rsidRPr="0055589B">
        <w:rPr>
          <w:rFonts w:ascii="Arial" w:hAnsi="Arial" w:cs="Arial"/>
          <w:color w:val="000000" w:themeColor="text1"/>
          <w:szCs w:val="24"/>
          <w:lang w:val="cs-CZ" w:eastAsia="de-AT"/>
        </w:rPr>
        <w:t>organizační změny</w:t>
      </w:r>
      <w:r w:rsidR="000359D7" w:rsidRPr="0055589B">
        <w:rPr>
          <w:rFonts w:ascii="Arial" w:hAnsi="Arial" w:cs="Arial"/>
          <w:color w:val="000000" w:themeColor="text1"/>
          <w:szCs w:val="24"/>
          <w:lang w:val="cs-CZ" w:eastAsia="de-AT"/>
        </w:rPr>
        <w:t xml:space="preserve">, které si vyžádají </w:t>
      </w:r>
      <w:r w:rsidRPr="0055589B">
        <w:rPr>
          <w:rFonts w:ascii="Arial" w:hAnsi="Arial" w:cs="Arial"/>
          <w:color w:val="000000" w:themeColor="text1"/>
          <w:szCs w:val="24"/>
          <w:lang w:val="cs-CZ" w:eastAsia="de-AT"/>
        </w:rPr>
        <w:t>tržních úprav</w:t>
      </w:r>
      <w:r w:rsidR="000359D7" w:rsidRPr="0055589B">
        <w:rPr>
          <w:rFonts w:ascii="Arial" w:hAnsi="Arial" w:cs="Arial"/>
          <w:color w:val="000000" w:themeColor="text1"/>
          <w:szCs w:val="24"/>
          <w:lang w:val="cs-CZ" w:eastAsia="de-AT"/>
        </w:rPr>
        <w:t xml:space="preserve">y mzdy u konkrétní </w:t>
      </w:r>
      <w:r w:rsidRPr="0055589B">
        <w:rPr>
          <w:rFonts w:ascii="Arial" w:hAnsi="Arial" w:cs="Arial"/>
          <w:color w:val="000000" w:themeColor="text1"/>
          <w:szCs w:val="24"/>
          <w:lang w:val="cs-CZ" w:eastAsia="de-AT"/>
        </w:rPr>
        <w:t>pracovní funkc</w:t>
      </w:r>
      <w:r w:rsidR="000359D7" w:rsidRPr="0055589B">
        <w:rPr>
          <w:rFonts w:ascii="Arial" w:hAnsi="Arial" w:cs="Arial"/>
          <w:color w:val="000000" w:themeColor="text1"/>
          <w:szCs w:val="24"/>
          <w:lang w:val="cs-CZ" w:eastAsia="de-AT"/>
        </w:rPr>
        <w:t>e</w:t>
      </w:r>
      <w:r w:rsidRPr="0055589B">
        <w:rPr>
          <w:rFonts w:ascii="Arial" w:hAnsi="Arial" w:cs="Arial"/>
          <w:color w:val="000000" w:themeColor="text1"/>
          <w:szCs w:val="24"/>
          <w:lang w:val="cs-CZ" w:eastAsia="de-AT"/>
        </w:rPr>
        <w:t xml:space="preserve">. </w:t>
      </w:r>
      <w:r w:rsidR="00DC4E7C" w:rsidRPr="0055589B">
        <w:rPr>
          <w:rFonts w:ascii="Arial" w:hAnsi="Arial" w:cs="Arial"/>
          <w:color w:val="000000" w:themeColor="text1"/>
          <w:szCs w:val="24"/>
          <w:lang w:val="cs-CZ" w:eastAsia="de-AT"/>
        </w:rPr>
        <w:t>Příplat</w:t>
      </w:r>
      <w:r w:rsidRPr="0055589B">
        <w:rPr>
          <w:rFonts w:ascii="Arial" w:hAnsi="Arial" w:cs="Arial"/>
          <w:color w:val="000000" w:themeColor="text1"/>
          <w:szCs w:val="24"/>
          <w:lang w:val="cs-CZ" w:eastAsia="de-AT"/>
        </w:rPr>
        <w:t xml:space="preserve">ek </w:t>
      </w:r>
      <w:r w:rsidR="000359D7" w:rsidRPr="0055589B">
        <w:rPr>
          <w:rFonts w:ascii="Arial" w:hAnsi="Arial" w:cs="Arial"/>
          <w:color w:val="000000" w:themeColor="text1"/>
          <w:szCs w:val="24"/>
          <w:lang w:val="cs-CZ" w:eastAsia="de-AT"/>
        </w:rPr>
        <w:t>za</w:t>
      </w:r>
      <w:r w:rsidRPr="0055589B">
        <w:rPr>
          <w:rFonts w:ascii="Arial" w:hAnsi="Arial" w:cs="Arial"/>
          <w:color w:val="000000" w:themeColor="text1"/>
          <w:szCs w:val="24"/>
          <w:lang w:val="cs-CZ" w:eastAsia="de-AT"/>
        </w:rPr>
        <w:t xml:space="preserve"> pracovní funkci je omezen na dobu </w:t>
      </w:r>
      <w:r w:rsidR="000359D7" w:rsidRPr="0055589B">
        <w:rPr>
          <w:rFonts w:ascii="Arial" w:hAnsi="Arial" w:cs="Arial"/>
          <w:color w:val="000000" w:themeColor="text1"/>
          <w:szCs w:val="24"/>
          <w:lang w:val="cs-CZ" w:eastAsia="de-AT"/>
        </w:rPr>
        <w:t xml:space="preserve">výkonu </w:t>
      </w:r>
      <w:r w:rsidRPr="0055589B">
        <w:rPr>
          <w:rFonts w:ascii="Arial" w:hAnsi="Arial" w:cs="Arial"/>
          <w:color w:val="000000" w:themeColor="text1"/>
          <w:szCs w:val="24"/>
          <w:lang w:val="cs-CZ" w:eastAsia="de-AT"/>
        </w:rPr>
        <w:t>určité funkce.</w:t>
      </w:r>
    </w:p>
    <w:p w14:paraId="3BF8D95C" w14:textId="14C12C00" w:rsidR="00224561" w:rsidRPr="0055589B" w:rsidRDefault="00224561" w:rsidP="007F006A">
      <w:p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Funkce může </w:t>
      </w:r>
      <w:r w:rsidR="000359D7" w:rsidRPr="0055589B">
        <w:rPr>
          <w:rFonts w:ascii="Arial" w:hAnsi="Arial" w:cs="Arial"/>
          <w:color w:val="000000" w:themeColor="text1"/>
          <w:szCs w:val="24"/>
          <w:lang w:val="cs-CZ" w:eastAsia="de-AT"/>
        </w:rPr>
        <w:t xml:space="preserve">týkat i </w:t>
      </w:r>
      <w:r w:rsidRPr="0055589B">
        <w:rPr>
          <w:rFonts w:ascii="Arial" w:hAnsi="Arial" w:cs="Arial"/>
          <w:color w:val="000000" w:themeColor="text1"/>
          <w:szCs w:val="24"/>
          <w:lang w:val="cs-CZ" w:eastAsia="de-AT"/>
        </w:rPr>
        <w:t>mimořádn</w:t>
      </w:r>
      <w:r w:rsidR="000359D7" w:rsidRPr="0055589B">
        <w:rPr>
          <w:rFonts w:ascii="Arial" w:hAnsi="Arial" w:cs="Arial"/>
          <w:color w:val="000000" w:themeColor="text1"/>
          <w:szCs w:val="24"/>
          <w:lang w:val="cs-CZ" w:eastAsia="de-AT"/>
        </w:rPr>
        <w:t xml:space="preserve">á úprava mzdy. </w:t>
      </w:r>
      <w:r w:rsidR="004E3859" w:rsidRPr="0055589B">
        <w:rPr>
          <w:rFonts w:ascii="Arial" w:hAnsi="Arial" w:cs="Arial"/>
          <w:color w:val="000000" w:themeColor="text1"/>
          <w:szCs w:val="24"/>
          <w:lang w:val="cs-CZ" w:eastAsia="de-AT"/>
        </w:rPr>
        <w:t xml:space="preserve">Orientačně </w:t>
      </w:r>
      <w:r w:rsidRPr="0055589B">
        <w:rPr>
          <w:rFonts w:ascii="Arial" w:hAnsi="Arial" w:cs="Arial"/>
          <w:color w:val="000000" w:themeColor="text1"/>
          <w:szCs w:val="24"/>
          <w:lang w:val="cs-CZ" w:eastAsia="de-AT"/>
        </w:rPr>
        <w:t xml:space="preserve">by měl </w:t>
      </w:r>
      <w:r w:rsidR="00DC4E7C" w:rsidRPr="0055589B">
        <w:rPr>
          <w:rFonts w:ascii="Arial" w:hAnsi="Arial" w:cs="Arial"/>
          <w:color w:val="000000" w:themeColor="text1"/>
          <w:szCs w:val="24"/>
          <w:lang w:val="cs-CZ" w:eastAsia="de-AT"/>
        </w:rPr>
        <w:t>příplat</w:t>
      </w:r>
      <w:r w:rsidRPr="0055589B">
        <w:rPr>
          <w:rFonts w:ascii="Arial" w:hAnsi="Arial" w:cs="Arial"/>
          <w:color w:val="000000" w:themeColor="text1"/>
          <w:szCs w:val="24"/>
          <w:lang w:val="cs-CZ" w:eastAsia="de-AT"/>
        </w:rPr>
        <w:t xml:space="preserve">ek na funkci </w:t>
      </w:r>
      <w:r w:rsidR="004E3859" w:rsidRPr="0055589B">
        <w:rPr>
          <w:rFonts w:ascii="Arial" w:hAnsi="Arial" w:cs="Arial"/>
          <w:color w:val="000000" w:themeColor="text1"/>
          <w:szCs w:val="24"/>
          <w:lang w:val="cs-CZ" w:eastAsia="de-AT"/>
        </w:rPr>
        <w:t xml:space="preserve">dosahovat </w:t>
      </w:r>
      <w:r w:rsidRPr="0055589B">
        <w:rPr>
          <w:rFonts w:ascii="Arial" w:hAnsi="Arial" w:cs="Arial"/>
          <w:color w:val="000000" w:themeColor="text1"/>
          <w:szCs w:val="24"/>
          <w:lang w:val="cs-CZ" w:eastAsia="de-AT"/>
        </w:rPr>
        <w:t>maximálně 25</w:t>
      </w:r>
      <w:r w:rsidR="001F76D7"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 xml:space="preserve">% z celkové </w:t>
      </w:r>
      <w:r w:rsidR="004E3859" w:rsidRPr="0055589B">
        <w:rPr>
          <w:rFonts w:ascii="Arial" w:hAnsi="Arial" w:cs="Arial"/>
          <w:color w:val="000000" w:themeColor="text1"/>
          <w:szCs w:val="24"/>
          <w:lang w:val="cs-CZ" w:eastAsia="de-AT"/>
        </w:rPr>
        <w:t xml:space="preserve">pravidelné </w:t>
      </w:r>
      <w:r w:rsidRPr="0055589B">
        <w:rPr>
          <w:rFonts w:ascii="Arial" w:hAnsi="Arial" w:cs="Arial"/>
          <w:color w:val="000000" w:themeColor="text1"/>
          <w:szCs w:val="24"/>
          <w:lang w:val="cs-CZ" w:eastAsia="de-AT"/>
        </w:rPr>
        <w:t>základní</w:t>
      </w:r>
      <w:r w:rsidR="00381BB4" w:rsidRPr="0055589B">
        <w:rPr>
          <w:rFonts w:ascii="Arial" w:hAnsi="Arial" w:cs="Arial"/>
          <w:color w:val="000000" w:themeColor="text1"/>
          <w:szCs w:val="24"/>
          <w:lang w:val="cs-CZ" w:eastAsia="de-AT"/>
        </w:rPr>
        <w:t xml:space="preserve"> mzdy</w:t>
      </w:r>
      <w:r w:rsidRPr="0055589B">
        <w:rPr>
          <w:rFonts w:ascii="Arial" w:hAnsi="Arial" w:cs="Arial"/>
          <w:color w:val="000000" w:themeColor="text1"/>
          <w:szCs w:val="24"/>
          <w:lang w:val="cs-CZ" w:eastAsia="de-AT"/>
        </w:rPr>
        <w:t>.</w:t>
      </w:r>
    </w:p>
    <w:p w14:paraId="54B7715E" w14:textId="27E51327" w:rsidR="00224561" w:rsidRPr="0055589B" w:rsidRDefault="00DC4E7C" w:rsidP="007F006A">
      <w:p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Příplat</w:t>
      </w:r>
      <w:r w:rsidR="00224561" w:rsidRPr="0055589B">
        <w:rPr>
          <w:rFonts w:ascii="Arial" w:hAnsi="Arial" w:cs="Arial"/>
          <w:color w:val="000000" w:themeColor="text1"/>
          <w:szCs w:val="24"/>
          <w:lang w:val="cs-CZ" w:eastAsia="de-AT"/>
        </w:rPr>
        <w:t>ek na v</w:t>
      </w:r>
      <w:r w:rsidRPr="0055589B">
        <w:rPr>
          <w:rFonts w:ascii="Arial" w:hAnsi="Arial" w:cs="Arial"/>
          <w:color w:val="000000" w:themeColor="text1"/>
          <w:szCs w:val="24"/>
          <w:lang w:val="cs-CZ" w:eastAsia="de-AT"/>
        </w:rPr>
        <w:t>ýkon vedoucí funkce</w:t>
      </w:r>
      <w:r w:rsidR="00224561"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w:t>
      </w:r>
      <w:r w:rsidR="00224561" w:rsidRPr="0055589B">
        <w:rPr>
          <w:rFonts w:ascii="Arial" w:hAnsi="Arial" w:cs="Arial"/>
          <w:color w:val="000000" w:themeColor="text1"/>
          <w:szCs w:val="24"/>
          <w:lang w:val="cs-CZ" w:eastAsia="de-AT"/>
        </w:rPr>
        <w:t xml:space="preserve">Führungskräftezulage"): manažer se může rozhodnout </w:t>
      </w:r>
      <w:r w:rsidR="00676CA2" w:rsidRPr="0055589B">
        <w:rPr>
          <w:rFonts w:ascii="Arial" w:hAnsi="Arial" w:cs="Arial"/>
          <w:color w:val="000000" w:themeColor="text1"/>
          <w:szCs w:val="24"/>
          <w:lang w:val="cs-CZ" w:eastAsia="de-AT"/>
        </w:rPr>
        <w:t xml:space="preserve">vyplácet </w:t>
      </w:r>
      <w:r w:rsidR="00224561" w:rsidRPr="0055589B">
        <w:rPr>
          <w:rFonts w:ascii="Arial" w:hAnsi="Arial" w:cs="Arial"/>
          <w:color w:val="000000" w:themeColor="text1"/>
          <w:szCs w:val="24"/>
          <w:lang w:val="cs-CZ" w:eastAsia="de-AT"/>
        </w:rPr>
        <w:t xml:space="preserve">zaměstnanci </w:t>
      </w:r>
      <w:r w:rsidRPr="0055589B">
        <w:rPr>
          <w:rFonts w:ascii="Arial" w:hAnsi="Arial" w:cs="Arial"/>
          <w:color w:val="000000" w:themeColor="text1"/>
          <w:szCs w:val="24"/>
          <w:lang w:val="cs-CZ" w:eastAsia="de-AT"/>
        </w:rPr>
        <w:t>příplat</w:t>
      </w:r>
      <w:r w:rsidR="00224561" w:rsidRPr="0055589B">
        <w:rPr>
          <w:rFonts w:ascii="Arial" w:hAnsi="Arial" w:cs="Arial"/>
          <w:color w:val="000000" w:themeColor="text1"/>
          <w:szCs w:val="24"/>
          <w:lang w:val="cs-CZ" w:eastAsia="de-AT"/>
        </w:rPr>
        <w:t xml:space="preserve">ek na vedení. </w:t>
      </w:r>
      <w:r w:rsidR="00676CA2" w:rsidRPr="0055589B">
        <w:rPr>
          <w:rFonts w:ascii="Arial" w:hAnsi="Arial" w:cs="Arial"/>
          <w:color w:val="000000" w:themeColor="text1"/>
          <w:szCs w:val="24"/>
          <w:lang w:val="cs-CZ" w:eastAsia="de-AT"/>
        </w:rPr>
        <w:t>N</w:t>
      </w:r>
      <w:r w:rsidR="00224561" w:rsidRPr="0055589B">
        <w:rPr>
          <w:rFonts w:ascii="Arial" w:hAnsi="Arial" w:cs="Arial"/>
          <w:color w:val="000000" w:themeColor="text1"/>
          <w:szCs w:val="24"/>
          <w:lang w:val="cs-CZ" w:eastAsia="de-AT"/>
        </w:rPr>
        <w:t xml:space="preserve">árok na </w:t>
      </w:r>
      <w:r w:rsidRPr="0055589B">
        <w:rPr>
          <w:rFonts w:ascii="Arial" w:hAnsi="Arial" w:cs="Arial"/>
          <w:color w:val="000000" w:themeColor="text1"/>
          <w:szCs w:val="24"/>
          <w:lang w:val="cs-CZ" w:eastAsia="de-AT"/>
        </w:rPr>
        <w:t>příplat</w:t>
      </w:r>
      <w:r w:rsidR="00224561" w:rsidRPr="0055589B">
        <w:rPr>
          <w:rFonts w:ascii="Arial" w:hAnsi="Arial" w:cs="Arial"/>
          <w:color w:val="000000" w:themeColor="text1"/>
          <w:szCs w:val="24"/>
          <w:lang w:val="cs-CZ" w:eastAsia="de-AT"/>
        </w:rPr>
        <w:t>ek na vedení</w:t>
      </w:r>
      <w:r w:rsidR="00676CA2" w:rsidRPr="0055589B">
        <w:rPr>
          <w:rFonts w:ascii="Arial" w:hAnsi="Arial" w:cs="Arial"/>
          <w:color w:val="000000" w:themeColor="text1"/>
          <w:szCs w:val="24"/>
          <w:lang w:val="cs-CZ" w:eastAsia="de-AT"/>
        </w:rPr>
        <w:t xml:space="preserve"> mají zaměstnanci v manažerských pracovních pozicích</w:t>
      </w:r>
      <w:r w:rsidR="00224561"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Příplat</w:t>
      </w:r>
      <w:r w:rsidR="00224561" w:rsidRPr="0055589B">
        <w:rPr>
          <w:rFonts w:ascii="Arial" w:hAnsi="Arial" w:cs="Arial"/>
          <w:color w:val="000000" w:themeColor="text1"/>
          <w:szCs w:val="24"/>
          <w:lang w:val="cs-CZ" w:eastAsia="de-AT"/>
        </w:rPr>
        <w:t xml:space="preserve">ek na vedení </w:t>
      </w:r>
      <w:r w:rsidR="00867F7E" w:rsidRPr="0055589B">
        <w:rPr>
          <w:rFonts w:ascii="Arial" w:hAnsi="Arial" w:cs="Arial"/>
          <w:color w:val="000000" w:themeColor="text1"/>
          <w:szCs w:val="24"/>
          <w:lang w:val="cs-CZ" w:eastAsia="de-AT"/>
        </w:rPr>
        <w:t>lze použít v různých situacích souvisejících s obchodní činností společnosti</w:t>
      </w:r>
      <w:r w:rsidR="00224561" w:rsidRPr="0055589B">
        <w:rPr>
          <w:rFonts w:ascii="Arial" w:hAnsi="Arial" w:cs="Arial"/>
          <w:color w:val="000000" w:themeColor="text1"/>
          <w:szCs w:val="24"/>
          <w:lang w:val="cs-CZ" w:eastAsia="de-AT"/>
        </w:rPr>
        <w:t xml:space="preserve">. Například </w:t>
      </w:r>
      <w:r w:rsidR="00867F7E" w:rsidRPr="0055589B">
        <w:rPr>
          <w:rFonts w:ascii="Arial" w:hAnsi="Arial" w:cs="Arial"/>
          <w:color w:val="000000" w:themeColor="text1"/>
          <w:szCs w:val="24"/>
          <w:lang w:val="cs-CZ" w:eastAsia="de-AT"/>
        </w:rPr>
        <w:t xml:space="preserve">dočasné jmenování do vedoucí pozice. </w:t>
      </w:r>
      <w:r w:rsidRPr="0055589B">
        <w:rPr>
          <w:rFonts w:ascii="Arial" w:hAnsi="Arial" w:cs="Arial"/>
          <w:color w:val="000000" w:themeColor="text1"/>
          <w:szCs w:val="24"/>
          <w:lang w:val="cs-CZ" w:eastAsia="de-AT"/>
        </w:rPr>
        <w:t>Příplat</w:t>
      </w:r>
      <w:r w:rsidR="00224561" w:rsidRPr="0055589B">
        <w:rPr>
          <w:rFonts w:ascii="Arial" w:hAnsi="Arial" w:cs="Arial"/>
          <w:color w:val="000000" w:themeColor="text1"/>
          <w:szCs w:val="24"/>
          <w:lang w:val="cs-CZ" w:eastAsia="de-AT"/>
        </w:rPr>
        <w:t xml:space="preserve">ek na vedení je omezen na dobu </w:t>
      </w:r>
      <w:r w:rsidR="00867F7E" w:rsidRPr="0055589B">
        <w:rPr>
          <w:rFonts w:ascii="Arial" w:hAnsi="Arial" w:cs="Arial"/>
          <w:color w:val="000000" w:themeColor="text1"/>
          <w:szCs w:val="24"/>
          <w:lang w:val="cs-CZ" w:eastAsia="de-AT"/>
        </w:rPr>
        <w:t xml:space="preserve">výkonu </w:t>
      </w:r>
      <w:r w:rsidR="00224561" w:rsidRPr="0055589B">
        <w:rPr>
          <w:rFonts w:ascii="Arial" w:hAnsi="Arial" w:cs="Arial"/>
          <w:color w:val="000000" w:themeColor="text1"/>
          <w:szCs w:val="24"/>
          <w:lang w:val="cs-CZ" w:eastAsia="de-AT"/>
        </w:rPr>
        <w:t xml:space="preserve">řídící funkce. </w:t>
      </w:r>
      <w:r w:rsidR="004E3859" w:rsidRPr="0055589B">
        <w:rPr>
          <w:rFonts w:ascii="Arial" w:hAnsi="Arial" w:cs="Arial"/>
          <w:color w:val="000000" w:themeColor="text1"/>
          <w:szCs w:val="24"/>
          <w:lang w:val="cs-CZ" w:eastAsia="de-AT"/>
        </w:rPr>
        <w:t xml:space="preserve">Orientačně </w:t>
      </w:r>
      <w:r w:rsidR="00224561" w:rsidRPr="0055589B">
        <w:rPr>
          <w:rFonts w:ascii="Arial" w:hAnsi="Arial" w:cs="Arial"/>
          <w:color w:val="000000" w:themeColor="text1"/>
          <w:szCs w:val="24"/>
          <w:lang w:val="cs-CZ" w:eastAsia="de-AT"/>
        </w:rPr>
        <w:t xml:space="preserve">by měl </w:t>
      </w:r>
      <w:r w:rsidRPr="0055589B">
        <w:rPr>
          <w:rFonts w:ascii="Arial" w:hAnsi="Arial" w:cs="Arial"/>
          <w:color w:val="000000" w:themeColor="text1"/>
          <w:szCs w:val="24"/>
          <w:lang w:val="cs-CZ" w:eastAsia="de-AT"/>
        </w:rPr>
        <w:t>příplat</w:t>
      </w:r>
      <w:r w:rsidR="00224561" w:rsidRPr="0055589B">
        <w:rPr>
          <w:rFonts w:ascii="Arial" w:hAnsi="Arial" w:cs="Arial"/>
          <w:color w:val="000000" w:themeColor="text1"/>
          <w:szCs w:val="24"/>
          <w:lang w:val="cs-CZ" w:eastAsia="de-AT"/>
        </w:rPr>
        <w:t xml:space="preserve">ek </w:t>
      </w:r>
      <w:r w:rsidR="004E3859" w:rsidRPr="0055589B">
        <w:rPr>
          <w:rFonts w:ascii="Arial" w:hAnsi="Arial" w:cs="Arial"/>
          <w:color w:val="000000" w:themeColor="text1"/>
          <w:szCs w:val="24"/>
          <w:lang w:val="cs-CZ" w:eastAsia="de-AT"/>
        </w:rPr>
        <w:t>za</w:t>
      </w:r>
      <w:r w:rsidR="00224561" w:rsidRPr="0055589B">
        <w:rPr>
          <w:rFonts w:ascii="Arial" w:hAnsi="Arial" w:cs="Arial"/>
          <w:color w:val="000000" w:themeColor="text1"/>
          <w:szCs w:val="24"/>
          <w:lang w:val="cs-CZ" w:eastAsia="de-AT"/>
        </w:rPr>
        <w:t xml:space="preserve"> vedení činit maximálně 25</w:t>
      </w:r>
      <w:r w:rsidR="00381BB4" w:rsidRPr="0055589B">
        <w:rPr>
          <w:rFonts w:ascii="Arial" w:hAnsi="Arial" w:cs="Arial"/>
          <w:color w:val="000000" w:themeColor="text1"/>
          <w:szCs w:val="24"/>
          <w:lang w:val="cs-CZ" w:eastAsia="de-AT"/>
        </w:rPr>
        <w:t xml:space="preserve"> </w:t>
      </w:r>
      <w:r w:rsidR="00224561" w:rsidRPr="0055589B">
        <w:rPr>
          <w:rFonts w:ascii="Arial" w:hAnsi="Arial" w:cs="Arial"/>
          <w:color w:val="000000" w:themeColor="text1"/>
          <w:szCs w:val="24"/>
          <w:lang w:val="cs-CZ" w:eastAsia="de-AT"/>
        </w:rPr>
        <w:t xml:space="preserve">% </w:t>
      </w:r>
      <w:r w:rsidR="004E3859" w:rsidRPr="0055589B">
        <w:rPr>
          <w:rFonts w:ascii="Arial" w:hAnsi="Arial" w:cs="Arial"/>
          <w:color w:val="000000" w:themeColor="text1"/>
          <w:szCs w:val="24"/>
          <w:lang w:val="cs-CZ" w:eastAsia="de-AT"/>
        </w:rPr>
        <w:t xml:space="preserve">z </w:t>
      </w:r>
      <w:r w:rsidR="00224561" w:rsidRPr="0055589B">
        <w:rPr>
          <w:rFonts w:ascii="Arial" w:hAnsi="Arial" w:cs="Arial"/>
          <w:color w:val="000000" w:themeColor="text1"/>
          <w:szCs w:val="24"/>
          <w:lang w:val="cs-CZ" w:eastAsia="de-AT"/>
        </w:rPr>
        <w:t xml:space="preserve">celkové </w:t>
      </w:r>
      <w:r w:rsidR="004E3859" w:rsidRPr="0055589B">
        <w:rPr>
          <w:rFonts w:ascii="Arial" w:hAnsi="Arial" w:cs="Arial"/>
          <w:color w:val="000000" w:themeColor="text1"/>
          <w:szCs w:val="24"/>
          <w:lang w:val="cs-CZ" w:eastAsia="de-AT"/>
        </w:rPr>
        <w:t xml:space="preserve">pravidelné </w:t>
      </w:r>
      <w:r w:rsidR="00224561" w:rsidRPr="0055589B">
        <w:rPr>
          <w:rFonts w:ascii="Arial" w:hAnsi="Arial" w:cs="Arial"/>
          <w:color w:val="000000" w:themeColor="text1"/>
          <w:szCs w:val="24"/>
          <w:lang w:val="cs-CZ" w:eastAsia="de-AT"/>
        </w:rPr>
        <w:t>základní</w:t>
      </w:r>
      <w:r w:rsidR="00381BB4" w:rsidRPr="0055589B">
        <w:rPr>
          <w:rFonts w:ascii="Arial" w:hAnsi="Arial" w:cs="Arial"/>
          <w:color w:val="000000" w:themeColor="text1"/>
          <w:szCs w:val="24"/>
          <w:lang w:val="cs-CZ" w:eastAsia="de-AT"/>
        </w:rPr>
        <w:t xml:space="preserve"> mzdy</w:t>
      </w:r>
      <w:r w:rsidR="00224561" w:rsidRPr="0055589B">
        <w:rPr>
          <w:rFonts w:ascii="Arial" w:hAnsi="Arial" w:cs="Arial"/>
          <w:color w:val="000000" w:themeColor="text1"/>
          <w:szCs w:val="24"/>
          <w:lang w:val="cs-CZ" w:eastAsia="de-AT"/>
        </w:rPr>
        <w:t>.</w:t>
      </w:r>
    </w:p>
    <w:p w14:paraId="1C84FFEA" w14:textId="2DA856BE" w:rsidR="00224561" w:rsidRPr="0055589B" w:rsidRDefault="00DC4E7C" w:rsidP="007F006A">
      <w:p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Příplat</w:t>
      </w:r>
      <w:r w:rsidR="00224561" w:rsidRPr="0055589B">
        <w:rPr>
          <w:rFonts w:ascii="Arial" w:hAnsi="Arial" w:cs="Arial"/>
          <w:color w:val="000000" w:themeColor="text1"/>
          <w:szCs w:val="24"/>
          <w:lang w:val="cs-CZ" w:eastAsia="de-AT"/>
        </w:rPr>
        <w:t xml:space="preserve">ek </w:t>
      </w:r>
      <w:r w:rsidR="003D0E62" w:rsidRPr="0055589B">
        <w:rPr>
          <w:rFonts w:ascii="Arial" w:hAnsi="Arial" w:cs="Arial"/>
          <w:color w:val="000000" w:themeColor="text1"/>
          <w:szCs w:val="24"/>
          <w:lang w:val="cs-CZ" w:eastAsia="de-AT"/>
        </w:rPr>
        <w:t xml:space="preserve">za práci </w:t>
      </w:r>
      <w:r w:rsidR="00224561" w:rsidRPr="0055589B">
        <w:rPr>
          <w:rFonts w:ascii="Arial" w:hAnsi="Arial" w:cs="Arial"/>
          <w:color w:val="000000" w:themeColor="text1"/>
          <w:szCs w:val="24"/>
          <w:lang w:val="cs-CZ" w:eastAsia="de-AT"/>
        </w:rPr>
        <w:t xml:space="preserve">přesčas: </w:t>
      </w:r>
      <w:r w:rsidRPr="0055589B">
        <w:rPr>
          <w:rFonts w:ascii="Arial" w:hAnsi="Arial" w:cs="Arial"/>
          <w:color w:val="000000" w:themeColor="text1"/>
          <w:szCs w:val="24"/>
          <w:lang w:val="cs-CZ" w:eastAsia="de-AT"/>
        </w:rPr>
        <w:t>příplat</w:t>
      </w:r>
      <w:r w:rsidR="00224561" w:rsidRPr="0055589B">
        <w:rPr>
          <w:rFonts w:ascii="Arial" w:hAnsi="Arial" w:cs="Arial"/>
          <w:color w:val="000000" w:themeColor="text1"/>
          <w:szCs w:val="24"/>
          <w:lang w:val="cs-CZ" w:eastAsia="de-AT"/>
        </w:rPr>
        <w:t xml:space="preserve">ek </w:t>
      </w:r>
      <w:r w:rsidR="003D0E62" w:rsidRPr="0055589B">
        <w:rPr>
          <w:rFonts w:ascii="Arial" w:hAnsi="Arial" w:cs="Arial"/>
          <w:color w:val="000000" w:themeColor="text1"/>
          <w:szCs w:val="24"/>
          <w:lang w:val="cs-CZ" w:eastAsia="de-AT"/>
        </w:rPr>
        <w:t>za</w:t>
      </w:r>
      <w:r w:rsidR="00224561" w:rsidRPr="0055589B">
        <w:rPr>
          <w:rFonts w:ascii="Arial" w:hAnsi="Arial" w:cs="Arial"/>
          <w:color w:val="000000" w:themeColor="text1"/>
          <w:szCs w:val="24"/>
          <w:lang w:val="cs-CZ" w:eastAsia="de-AT"/>
        </w:rPr>
        <w:t xml:space="preserve"> přesčasy je částka</w:t>
      </w:r>
      <w:r w:rsidR="003D0E62" w:rsidRPr="0055589B">
        <w:rPr>
          <w:rFonts w:ascii="Arial" w:hAnsi="Arial" w:cs="Arial"/>
          <w:color w:val="000000" w:themeColor="text1"/>
          <w:szCs w:val="24"/>
          <w:lang w:val="cs-CZ" w:eastAsia="de-AT"/>
        </w:rPr>
        <w:t xml:space="preserve"> vyplácená </w:t>
      </w:r>
      <w:r w:rsidR="00224561" w:rsidRPr="0055589B">
        <w:rPr>
          <w:rFonts w:ascii="Arial" w:hAnsi="Arial" w:cs="Arial"/>
          <w:color w:val="000000" w:themeColor="text1"/>
          <w:szCs w:val="24"/>
          <w:lang w:val="cs-CZ" w:eastAsia="de-AT"/>
        </w:rPr>
        <w:t xml:space="preserve">zaměstnancům, kteří </w:t>
      </w:r>
      <w:r w:rsidR="003D0E62" w:rsidRPr="0055589B">
        <w:rPr>
          <w:rFonts w:ascii="Arial" w:hAnsi="Arial" w:cs="Arial"/>
          <w:color w:val="000000" w:themeColor="text1"/>
          <w:szCs w:val="24"/>
          <w:lang w:val="cs-CZ" w:eastAsia="de-AT"/>
        </w:rPr>
        <w:t xml:space="preserve">musejí být flexibilní a musejí být k </w:t>
      </w:r>
      <w:r w:rsidR="00224561" w:rsidRPr="0055589B">
        <w:rPr>
          <w:rFonts w:ascii="Arial" w:hAnsi="Arial" w:cs="Arial"/>
          <w:color w:val="000000" w:themeColor="text1"/>
          <w:szCs w:val="24"/>
          <w:lang w:val="cs-CZ" w:eastAsia="de-AT"/>
        </w:rPr>
        <w:t xml:space="preserve">dispozici mimo běžnou pracovní dobu. </w:t>
      </w:r>
      <w:r w:rsidR="003D0E62" w:rsidRPr="0055589B">
        <w:rPr>
          <w:rFonts w:ascii="Arial" w:hAnsi="Arial" w:cs="Arial"/>
          <w:color w:val="000000" w:themeColor="text1"/>
          <w:szCs w:val="24"/>
          <w:lang w:val="cs-CZ" w:eastAsia="de-AT"/>
        </w:rPr>
        <w:t>O</w:t>
      </w:r>
      <w:r w:rsidR="00224561" w:rsidRPr="0055589B">
        <w:rPr>
          <w:rFonts w:ascii="Arial" w:hAnsi="Arial" w:cs="Arial"/>
          <w:color w:val="000000" w:themeColor="text1"/>
          <w:szCs w:val="24"/>
          <w:lang w:val="cs-CZ" w:eastAsia="de-AT"/>
        </w:rPr>
        <w:t xml:space="preserve">becně </w:t>
      </w:r>
      <w:r w:rsidR="003D0E62" w:rsidRPr="0055589B">
        <w:rPr>
          <w:rFonts w:ascii="Arial" w:hAnsi="Arial" w:cs="Arial"/>
          <w:color w:val="000000" w:themeColor="text1"/>
          <w:szCs w:val="24"/>
          <w:lang w:val="cs-CZ" w:eastAsia="de-AT"/>
        </w:rPr>
        <w:t xml:space="preserve">se stanoví </w:t>
      </w:r>
      <w:r w:rsidR="00224561" w:rsidRPr="0055589B">
        <w:rPr>
          <w:rFonts w:ascii="Arial" w:hAnsi="Arial" w:cs="Arial"/>
          <w:color w:val="000000" w:themeColor="text1"/>
          <w:szCs w:val="24"/>
          <w:lang w:val="cs-CZ" w:eastAsia="de-AT"/>
        </w:rPr>
        <w:t>standardizovan</w:t>
      </w:r>
      <w:r w:rsidR="003D0E62" w:rsidRPr="0055589B">
        <w:rPr>
          <w:rFonts w:ascii="Arial" w:hAnsi="Arial" w:cs="Arial"/>
          <w:color w:val="000000" w:themeColor="text1"/>
          <w:szCs w:val="24"/>
          <w:lang w:val="cs-CZ" w:eastAsia="de-AT"/>
        </w:rPr>
        <w:t xml:space="preserve">á doba od </w:t>
      </w:r>
      <w:r w:rsidR="00224561" w:rsidRPr="0055589B">
        <w:rPr>
          <w:rFonts w:ascii="Arial" w:hAnsi="Arial" w:cs="Arial"/>
          <w:color w:val="000000" w:themeColor="text1"/>
          <w:szCs w:val="24"/>
          <w:lang w:val="cs-CZ" w:eastAsia="de-AT"/>
        </w:rPr>
        <w:t xml:space="preserve">10 </w:t>
      </w:r>
      <w:r w:rsidR="003D0E62" w:rsidRPr="0055589B">
        <w:rPr>
          <w:rFonts w:ascii="Arial" w:hAnsi="Arial" w:cs="Arial"/>
          <w:color w:val="000000" w:themeColor="text1"/>
          <w:szCs w:val="24"/>
          <w:lang w:val="cs-CZ" w:eastAsia="de-AT"/>
        </w:rPr>
        <w:t>do</w:t>
      </w:r>
      <w:r w:rsidR="00224561" w:rsidRPr="0055589B">
        <w:rPr>
          <w:rFonts w:ascii="Arial" w:hAnsi="Arial" w:cs="Arial"/>
          <w:color w:val="000000" w:themeColor="text1"/>
          <w:szCs w:val="24"/>
          <w:lang w:val="cs-CZ" w:eastAsia="de-AT"/>
        </w:rPr>
        <w:t xml:space="preserve"> 25 hodin měsíčně a </w:t>
      </w:r>
      <w:r w:rsidR="003D0E62" w:rsidRPr="0055589B">
        <w:rPr>
          <w:rFonts w:ascii="Arial" w:hAnsi="Arial" w:cs="Arial"/>
          <w:color w:val="000000" w:themeColor="text1"/>
          <w:szCs w:val="24"/>
          <w:lang w:val="cs-CZ" w:eastAsia="de-AT"/>
        </w:rPr>
        <w:t xml:space="preserve">přípatek je </w:t>
      </w:r>
      <w:r w:rsidR="00224561" w:rsidRPr="0055589B">
        <w:rPr>
          <w:rFonts w:ascii="Arial" w:hAnsi="Arial" w:cs="Arial"/>
          <w:color w:val="000000" w:themeColor="text1"/>
          <w:szCs w:val="24"/>
          <w:lang w:val="cs-CZ" w:eastAsia="de-AT"/>
        </w:rPr>
        <w:t>vyplácen 12krát ročně.</w:t>
      </w:r>
    </w:p>
    <w:p w14:paraId="355A628A" w14:textId="1BE40E43" w:rsidR="00224561" w:rsidRPr="0055589B" w:rsidRDefault="003D0E62" w:rsidP="007F006A">
      <w:p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H</w:t>
      </w:r>
      <w:r w:rsidR="00224561" w:rsidRPr="0055589B">
        <w:rPr>
          <w:rFonts w:ascii="Arial" w:hAnsi="Arial" w:cs="Arial"/>
          <w:color w:val="000000" w:themeColor="text1"/>
          <w:szCs w:val="24"/>
          <w:lang w:val="cs-CZ" w:eastAsia="de-AT"/>
        </w:rPr>
        <w:t>odin</w:t>
      </w:r>
      <w:r w:rsidRPr="0055589B">
        <w:rPr>
          <w:rFonts w:ascii="Arial" w:hAnsi="Arial" w:cs="Arial"/>
          <w:color w:val="000000" w:themeColor="text1"/>
          <w:szCs w:val="24"/>
          <w:lang w:val="cs-CZ" w:eastAsia="de-AT"/>
        </w:rPr>
        <w:t>y</w:t>
      </w:r>
      <w:r w:rsidR="00224561" w:rsidRPr="0055589B">
        <w:rPr>
          <w:rFonts w:ascii="Arial" w:hAnsi="Arial" w:cs="Arial"/>
          <w:color w:val="000000" w:themeColor="text1"/>
          <w:szCs w:val="24"/>
          <w:lang w:val="cs-CZ" w:eastAsia="de-AT"/>
        </w:rPr>
        <w:t xml:space="preserve"> zahrnut</w:t>
      </w:r>
      <w:r w:rsidRPr="0055589B">
        <w:rPr>
          <w:rFonts w:ascii="Arial" w:hAnsi="Arial" w:cs="Arial"/>
          <w:color w:val="000000" w:themeColor="text1"/>
          <w:szCs w:val="24"/>
          <w:lang w:val="cs-CZ" w:eastAsia="de-AT"/>
        </w:rPr>
        <w:t>é</w:t>
      </w:r>
      <w:r w:rsidR="00224561" w:rsidRPr="0055589B">
        <w:rPr>
          <w:rFonts w:ascii="Arial" w:hAnsi="Arial" w:cs="Arial"/>
          <w:color w:val="000000" w:themeColor="text1"/>
          <w:szCs w:val="24"/>
          <w:lang w:val="cs-CZ" w:eastAsia="de-AT"/>
        </w:rPr>
        <w:t xml:space="preserve"> do přesčasů </w:t>
      </w:r>
      <w:r w:rsidRPr="0055589B">
        <w:rPr>
          <w:rFonts w:ascii="Arial" w:hAnsi="Arial" w:cs="Arial"/>
          <w:color w:val="000000" w:themeColor="text1"/>
          <w:szCs w:val="24"/>
          <w:lang w:val="cs-CZ" w:eastAsia="de-AT"/>
        </w:rPr>
        <w:t xml:space="preserve">je nutné v určitém dlouhodobém období odpracovat; </w:t>
      </w:r>
      <w:r w:rsidR="00224561" w:rsidRPr="0055589B">
        <w:rPr>
          <w:rFonts w:ascii="Arial" w:hAnsi="Arial" w:cs="Arial"/>
          <w:color w:val="000000" w:themeColor="text1"/>
          <w:szCs w:val="24"/>
          <w:lang w:val="cs-CZ" w:eastAsia="de-AT"/>
        </w:rPr>
        <w:t xml:space="preserve">v opačném případě </w:t>
      </w:r>
      <w:r w:rsidRPr="0055589B">
        <w:rPr>
          <w:rFonts w:ascii="Arial" w:hAnsi="Arial" w:cs="Arial"/>
          <w:color w:val="000000" w:themeColor="text1"/>
          <w:szCs w:val="24"/>
          <w:lang w:val="cs-CZ" w:eastAsia="de-AT"/>
        </w:rPr>
        <w:t xml:space="preserve">musejí být </w:t>
      </w:r>
      <w:r w:rsidR="00224561" w:rsidRPr="0055589B">
        <w:rPr>
          <w:rFonts w:ascii="Arial" w:hAnsi="Arial" w:cs="Arial"/>
          <w:color w:val="000000" w:themeColor="text1"/>
          <w:szCs w:val="24"/>
          <w:lang w:val="cs-CZ" w:eastAsia="de-AT"/>
        </w:rPr>
        <w:t>zrušen</w:t>
      </w:r>
      <w:r w:rsidRPr="0055589B">
        <w:rPr>
          <w:rFonts w:ascii="Arial" w:hAnsi="Arial" w:cs="Arial"/>
          <w:color w:val="000000" w:themeColor="text1"/>
          <w:szCs w:val="24"/>
          <w:lang w:val="cs-CZ" w:eastAsia="de-AT"/>
        </w:rPr>
        <w:t>y</w:t>
      </w:r>
      <w:r w:rsidR="00224561" w:rsidRPr="0055589B">
        <w:rPr>
          <w:rFonts w:ascii="Arial" w:hAnsi="Arial" w:cs="Arial"/>
          <w:color w:val="000000" w:themeColor="text1"/>
          <w:szCs w:val="24"/>
          <w:lang w:val="cs-CZ" w:eastAsia="de-AT"/>
        </w:rPr>
        <w:t>, protože j</w:t>
      </w:r>
      <w:r w:rsidRPr="0055589B">
        <w:rPr>
          <w:rFonts w:ascii="Arial" w:hAnsi="Arial" w:cs="Arial"/>
          <w:color w:val="000000" w:themeColor="text1"/>
          <w:szCs w:val="24"/>
          <w:lang w:val="cs-CZ" w:eastAsia="de-AT"/>
        </w:rPr>
        <w:t xml:space="preserve">ejich neodpracování </w:t>
      </w:r>
      <w:r w:rsidR="00224561" w:rsidRPr="0055589B">
        <w:rPr>
          <w:rFonts w:ascii="Arial" w:hAnsi="Arial" w:cs="Arial"/>
          <w:color w:val="000000" w:themeColor="text1"/>
          <w:szCs w:val="24"/>
          <w:lang w:val="cs-CZ" w:eastAsia="de-AT"/>
        </w:rPr>
        <w:t>představuje zánik předpokladů pro</w:t>
      </w:r>
      <w:r w:rsidR="00F13F2A" w:rsidRPr="0055589B">
        <w:rPr>
          <w:rFonts w:ascii="Arial" w:hAnsi="Arial" w:cs="Arial"/>
          <w:color w:val="000000" w:themeColor="text1"/>
          <w:szCs w:val="24"/>
          <w:lang w:val="cs-CZ" w:eastAsia="de-AT"/>
        </w:rPr>
        <w:t xml:space="preserve"> vyplacení příplatku.</w:t>
      </w:r>
    </w:p>
    <w:p w14:paraId="67831A41" w14:textId="2158D862" w:rsidR="00224561" w:rsidRPr="0055589B" w:rsidRDefault="00CC583B" w:rsidP="007F006A">
      <w:p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Mohou existovat i jiné typy příplatků. O</w:t>
      </w:r>
      <w:r w:rsidR="00224561" w:rsidRPr="0055589B">
        <w:rPr>
          <w:rFonts w:ascii="Arial" w:hAnsi="Arial" w:cs="Arial"/>
          <w:color w:val="000000" w:themeColor="text1"/>
          <w:szCs w:val="24"/>
          <w:lang w:val="cs-CZ" w:eastAsia="de-AT"/>
        </w:rPr>
        <w:t xml:space="preserve">statní </w:t>
      </w:r>
      <w:r w:rsidR="00DC4E7C" w:rsidRPr="0055589B">
        <w:rPr>
          <w:rFonts w:ascii="Arial" w:hAnsi="Arial" w:cs="Arial"/>
          <w:color w:val="000000" w:themeColor="text1"/>
          <w:szCs w:val="24"/>
          <w:lang w:val="cs-CZ" w:eastAsia="de-AT"/>
        </w:rPr>
        <w:t>příplat</w:t>
      </w:r>
      <w:r w:rsidR="00224561" w:rsidRPr="0055589B">
        <w:rPr>
          <w:rFonts w:ascii="Arial" w:hAnsi="Arial" w:cs="Arial"/>
          <w:color w:val="000000" w:themeColor="text1"/>
          <w:szCs w:val="24"/>
          <w:lang w:val="cs-CZ" w:eastAsia="de-AT"/>
        </w:rPr>
        <w:t>ky: zaměstnan</w:t>
      </w:r>
      <w:r w:rsidRPr="0055589B">
        <w:rPr>
          <w:rFonts w:ascii="Arial" w:hAnsi="Arial" w:cs="Arial"/>
          <w:color w:val="000000" w:themeColor="text1"/>
          <w:szCs w:val="24"/>
          <w:lang w:val="cs-CZ" w:eastAsia="de-AT"/>
        </w:rPr>
        <w:t xml:space="preserve">ci může být poskytován jiný druh peněžitých příspěvků. </w:t>
      </w:r>
      <w:r w:rsidR="00224561" w:rsidRPr="0055589B">
        <w:rPr>
          <w:rFonts w:ascii="Arial" w:hAnsi="Arial" w:cs="Arial"/>
          <w:color w:val="000000" w:themeColor="text1"/>
          <w:szCs w:val="24"/>
          <w:lang w:val="cs-CZ" w:eastAsia="de-AT"/>
        </w:rPr>
        <w:t>Příkladem těchto pří</w:t>
      </w:r>
      <w:r w:rsidRPr="0055589B">
        <w:rPr>
          <w:rFonts w:ascii="Arial" w:hAnsi="Arial" w:cs="Arial"/>
          <w:color w:val="000000" w:themeColor="text1"/>
          <w:szCs w:val="24"/>
          <w:lang w:val="cs-CZ" w:eastAsia="de-AT"/>
        </w:rPr>
        <w:t xml:space="preserve">spěvků </w:t>
      </w:r>
      <w:r w:rsidR="00224561" w:rsidRPr="0055589B">
        <w:rPr>
          <w:rFonts w:ascii="Arial" w:hAnsi="Arial" w:cs="Arial"/>
          <w:color w:val="000000" w:themeColor="text1"/>
          <w:szCs w:val="24"/>
          <w:lang w:val="cs-CZ" w:eastAsia="de-AT"/>
        </w:rPr>
        <w:t xml:space="preserve">jsou: </w:t>
      </w:r>
      <w:r w:rsidR="00DC4E7C" w:rsidRPr="0055589B">
        <w:rPr>
          <w:rFonts w:ascii="Arial" w:hAnsi="Arial" w:cs="Arial"/>
          <w:color w:val="000000" w:themeColor="text1"/>
          <w:szCs w:val="24"/>
          <w:lang w:val="cs-CZ" w:eastAsia="de-AT"/>
        </w:rPr>
        <w:t>pří</w:t>
      </w:r>
      <w:r w:rsidRPr="0055589B">
        <w:rPr>
          <w:rFonts w:ascii="Arial" w:hAnsi="Arial" w:cs="Arial"/>
          <w:color w:val="000000" w:themeColor="text1"/>
          <w:szCs w:val="24"/>
          <w:lang w:val="cs-CZ" w:eastAsia="de-AT"/>
        </w:rPr>
        <w:t xml:space="preserve">spěvek </w:t>
      </w:r>
      <w:r w:rsidR="00224561" w:rsidRPr="0055589B">
        <w:rPr>
          <w:rFonts w:ascii="Arial" w:hAnsi="Arial" w:cs="Arial"/>
          <w:color w:val="000000" w:themeColor="text1"/>
          <w:szCs w:val="24"/>
          <w:lang w:val="cs-CZ" w:eastAsia="de-AT"/>
        </w:rPr>
        <w:t xml:space="preserve">na auto, </w:t>
      </w:r>
      <w:r w:rsidR="00DC4E7C" w:rsidRPr="0055589B">
        <w:rPr>
          <w:rFonts w:ascii="Arial" w:hAnsi="Arial" w:cs="Arial"/>
          <w:color w:val="000000" w:themeColor="text1"/>
          <w:szCs w:val="24"/>
          <w:lang w:val="cs-CZ" w:eastAsia="de-AT"/>
        </w:rPr>
        <w:t>pří</w:t>
      </w:r>
      <w:r w:rsidRPr="0055589B">
        <w:rPr>
          <w:rFonts w:ascii="Arial" w:hAnsi="Arial" w:cs="Arial"/>
          <w:color w:val="000000" w:themeColor="text1"/>
          <w:szCs w:val="24"/>
          <w:lang w:val="cs-CZ" w:eastAsia="de-AT"/>
        </w:rPr>
        <w:t xml:space="preserve">spěvek </w:t>
      </w:r>
      <w:r w:rsidR="003A6EFD" w:rsidRPr="0055589B">
        <w:rPr>
          <w:rFonts w:ascii="Arial" w:hAnsi="Arial" w:cs="Arial"/>
          <w:color w:val="000000" w:themeColor="text1"/>
          <w:szCs w:val="24"/>
          <w:lang w:val="cs-CZ" w:eastAsia="de-AT"/>
        </w:rPr>
        <w:t xml:space="preserve">pro zahraniční pracovníky, </w:t>
      </w:r>
      <w:r w:rsidR="00224561" w:rsidRPr="0055589B">
        <w:rPr>
          <w:rFonts w:ascii="Arial" w:hAnsi="Arial" w:cs="Arial"/>
          <w:color w:val="000000" w:themeColor="text1"/>
          <w:szCs w:val="24"/>
          <w:lang w:val="cs-CZ" w:eastAsia="de-AT"/>
        </w:rPr>
        <w:t xml:space="preserve">příspěvek na bydlení, příspěvek na školné. Všechny tyto příspěvky jsou vázány na konkrétní </w:t>
      </w:r>
      <w:r w:rsidR="00433B94" w:rsidRPr="0055589B">
        <w:rPr>
          <w:rFonts w:ascii="Arial" w:hAnsi="Arial" w:cs="Arial"/>
          <w:color w:val="000000" w:themeColor="text1"/>
          <w:szCs w:val="24"/>
          <w:lang w:val="cs-CZ" w:eastAsia="de-AT"/>
        </w:rPr>
        <w:t xml:space="preserve">směrnice </w:t>
      </w:r>
      <w:r w:rsidR="00224561" w:rsidRPr="0055589B">
        <w:rPr>
          <w:rFonts w:ascii="Arial" w:hAnsi="Arial" w:cs="Arial"/>
          <w:color w:val="000000" w:themeColor="text1"/>
          <w:szCs w:val="24"/>
          <w:lang w:val="cs-CZ" w:eastAsia="de-AT"/>
        </w:rPr>
        <w:t>a pravidla.</w:t>
      </w:r>
    </w:p>
    <w:p w14:paraId="2B930C73" w14:textId="3676BE3B" w:rsidR="00224561" w:rsidRPr="0055589B" w:rsidRDefault="00224561" w:rsidP="007F006A">
      <w:p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lastRenderedPageBreak/>
        <w:t xml:space="preserve">Mzda za </w:t>
      </w:r>
      <w:r w:rsidR="00420A66" w:rsidRPr="0055589B">
        <w:rPr>
          <w:rFonts w:ascii="Arial" w:hAnsi="Arial" w:cs="Arial"/>
          <w:color w:val="000000" w:themeColor="text1"/>
          <w:szCs w:val="24"/>
          <w:lang w:val="cs-CZ" w:eastAsia="de-AT"/>
        </w:rPr>
        <w:t xml:space="preserve">práci </w:t>
      </w:r>
      <w:r w:rsidRPr="0055589B">
        <w:rPr>
          <w:rFonts w:ascii="Arial" w:hAnsi="Arial" w:cs="Arial"/>
          <w:color w:val="000000" w:themeColor="text1"/>
          <w:szCs w:val="24"/>
          <w:lang w:val="cs-CZ" w:eastAsia="de-AT"/>
        </w:rPr>
        <w:t>přesčas: zaměstnan</w:t>
      </w:r>
      <w:r w:rsidR="00C75185" w:rsidRPr="0055589B">
        <w:rPr>
          <w:rFonts w:ascii="Arial" w:hAnsi="Arial" w:cs="Arial"/>
          <w:color w:val="000000" w:themeColor="text1"/>
          <w:szCs w:val="24"/>
          <w:lang w:val="cs-CZ" w:eastAsia="de-AT"/>
        </w:rPr>
        <w:t xml:space="preserve">ci může být vyplácena další odměna za práci přesčas. </w:t>
      </w:r>
      <w:r w:rsidRPr="0055589B">
        <w:rPr>
          <w:rFonts w:ascii="Arial" w:hAnsi="Arial" w:cs="Arial"/>
          <w:color w:val="000000" w:themeColor="text1"/>
          <w:szCs w:val="24"/>
          <w:lang w:val="cs-CZ" w:eastAsia="de-AT"/>
        </w:rPr>
        <w:t>Obecně platí, že zaměstnanec</w:t>
      </w:r>
      <w:r w:rsidR="00C75185" w:rsidRPr="0055589B">
        <w:rPr>
          <w:rFonts w:ascii="Arial" w:hAnsi="Arial" w:cs="Arial"/>
          <w:color w:val="000000" w:themeColor="text1"/>
          <w:szCs w:val="24"/>
          <w:lang w:val="cs-CZ" w:eastAsia="de-AT"/>
        </w:rPr>
        <w:t>, jemuž je vyplácen příplatek za práci přesčas, nebude vyplácena další odměna za práci přesčas</w:t>
      </w:r>
      <w:r w:rsidRPr="0055589B">
        <w:rPr>
          <w:rFonts w:ascii="Arial" w:hAnsi="Arial" w:cs="Arial"/>
          <w:color w:val="000000" w:themeColor="text1"/>
          <w:szCs w:val="24"/>
          <w:lang w:val="cs-CZ" w:eastAsia="de-AT"/>
        </w:rPr>
        <w:t>.</w:t>
      </w:r>
    </w:p>
    <w:p w14:paraId="435173A4" w14:textId="77777777"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p>
    <w:tbl>
      <w:tblPr>
        <w:tblStyle w:val="Table3"/>
        <w:tblW w:w="9229" w:type="dxa"/>
        <w:tblLayout w:type="fixed"/>
        <w:tblLook w:val="04A0" w:firstRow="1" w:lastRow="0" w:firstColumn="1" w:lastColumn="0" w:noHBand="0" w:noVBand="1"/>
      </w:tblPr>
      <w:tblGrid>
        <w:gridCol w:w="2238"/>
        <w:gridCol w:w="1398"/>
        <w:gridCol w:w="1398"/>
        <w:gridCol w:w="1398"/>
        <w:gridCol w:w="1398"/>
        <w:gridCol w:w="1399"/>
      </w:tblGrid>
      <w:tr w:rsidR="0055589B" w:rsidRPr="0055589B" w14:paraId="09557E4B" w14:textId="77777777" w:rsidTr="00924810">
        <w:trPr>
          <w:cnfStyle w:val="100000000000" w:firstRow="1" w:lastRow="0" w:firstColumn="0" w:lastColumn="0" w:oddVBand="0" w:evenVBand="0" w:oddHBand="0" w:evenHBand="0" w:firstRowFirstColumn="0" w:firstRowLastColumn="0" w:lastRowFirstColumn="0" w:lastRowLastColumn="0"/>
          <w:trHeight w:val="1188"/>
        </w:trPr>
        <w:tc>
          <w:tcPr>
            <w:tcW w:w="2238" w:type="dxa"/>
          </w:tcPr>
          <w:p w14:paraId="26CE2895" w14:textId="51217835" w:rsidR="00224561" w:rsidRPr="0055589B" w:rsidRDefault="0031092A"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 xml:space="preserve">Složka </w:t>
            </w:r>
            <w:r w:rsidR="00224561" w:rsidRPr="0055589B">
              <w:rPr>
                <w:rFonts w:cs="Arial"/>
                <w:color w:val="000000" w:themeColor="text1"/>
                <w:sz w:val="20"/>
                <w:lang w:val="cs-CZ" w:eastAsia="de-AT"/>
              </w:rPr>
              <w:t>odmě</w:t>
            </w:r>
            <w:r w:rsidR="00D30BDD" w:rsidRPr="0055589B">
              <w:rPr>
                <w:rFonts w:cs="Arial"/>
                <w:color w:val="000000" w:themeColor="text1"/>
                <w:sz w:val="20"/>
                <w:lang w:val="cs-CZ" w:eastAsia="de-AT"/>
              </w:rPr>
              <w:t>n</w:t>
            </w:r>
            <w:r w:rsidRPr="0055589B">
              <w:rPr>
                <w:rFonts w:cs="Arial"/>
                <w:color w:val="000000" w:themeColor="text1"/>
                <w:sz w:val="20"/>
                <w:lang w:val="cs-CZ" w:eastAsia="de-AT"/>
              </w:rPr>
              <w:t>y</w:t>
            </w:r>
          </w:p>
        </w:tc>
        <w:tc>
          <w:tcPr>
            <w:tcW w:w="1398" w:type="dxa"/>
          </w:tcPr>
          <w:p w14:paraId="4DF792FA" w14:textId="3D09C961" w:rsidR="00224561" w:rsidRPr="0055589B" w:rsidRDefault="00924810"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Motivace</w:t>
            </w:r>
          </w:p>
        </w:tc>
        <w:tc>
          <w:tcPr>
            <w:tcW w:w="1398" w:type="dxa"/>
          </w:tcPr>
          <w:p w14:paraId="2DCE592A" w14:textId="5DC30851" w:rsidR="00224561" w:rsidRPr="0055589B" w:rsidRDefault="00C75185"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Rozvoj</w:t>
            </w:r>
            <w:r w:rsidR="00224561" w:rsidRPr="0055589B">
              <w:rPr>
                <w:rFonts w:cs="Arial"/>
                <w:color w:val="000000" w:themeColor="text1"/>
                <w:sz w:val="20"/>
                <w:lang w:val="cs-CZ" w:eastAsia="de-AT"/>
              </w:rPr>
              <w:t xml:space="preserve"> kompetencí</w:t>
            </w:r>
          </w:p>
        </w:tc>
        <w:tc>
          <w:tcPr>
            <w:tcW w:w="1398" w:type="dxa"/>
          </w:tcPr>
          <w:p w14:paraId="603F59A7" w14:textId="1E230509" w:rsidR="00224561" w:rsidRPr="0055589B" w:rsidRDefault="00224561"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Výkon</w:t>
            </w:r>
            <w:r w:rsidR="00C75185" w:rsidRPr="0055589B">
              <w:rPr>
                <w:rFonts w:cs="Arial"/>
                <w:color w:val="000000" w:themeColor="text1"/>
                <w:sz w:val="20"/>
                <w:lang w:val="cs-CZ" w:eastAsia="de-AT"/>
              </w:rPr>
              <w:t>y</w:t>
            </w:r>
          </w:p>
        </w:tc>
        <w:tc>
          <w:tcPr>
            <w:tcW w:w="1398" w:type="dxa"/>
          </w:tcPr>
          <w:p w14:paraId="795F3AC0" w14:textId="0A00AD32" w:rsidR="00224561" w:rsidRPr="0055589B" w:rsidRDefault="00224561"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U</w:t>
            </w:r>
            <w:r w:rsidR="00C75185" w:rsidRPr="0055589B">
              <w:rPr>
                <w:rFonts w:cs="Arial"/>
                <w:color w:val="000000" w:themeColor="text1"/>
                <w:sz w:val="20"/>
                <w:lang w:val="cs-CZ" w:eastAsia="de-AT"/>
              </w:rPr>
              <w:t>držen</w:t>
            </w:r>
            <w:r w:rsidRPr="0055589B">
              <w:rPr>
                <w:rFonts w:cs="Arial"/>
                <w:color w:val="000000" w:themeColor="text1"/>
                <w:sz w:val="20"/>
                <w:lang w:val="cs-CZ" w:eastAsia="de-AT"/>
              </w:rPr>
              <w:t>í</w:t>
            </w:r>
          </w:p>
        </w:tc>
        <w:tc>
          <w:tcPr>
            <w:tcW w:w="1399" w:type="dxa"/>
          </w:tcPr>
          <w:p w14:paraId="555DC4D8" w14:textId="3F410862" w:rsidR="00224561" w:rsidRPr="0055589B" w:rsidRDefault="0069655F"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 xml:space="preserve">Materiální </w:t>
            </w:r>
            <w:r w:rsidR="00224561" w:rsidRPr="0055589B">
              <w:rPr>
                <w:rFonts w:cs="Arial"/>
                <w:color w:val="000000" w:themeColor="text1"/>
                <w:sz w:val="20"/>
                <w:lang w:val="cs-CZ" w:eastAsia="de-AT"/>
              </w:rPr>
              <w:t>/</w:t>
            </w:r>
            <w:r w:rsidRPr="0055589B">
              <w:rPr>
                <w:rFonts w:cs="Arial"/>
                <w:color w:val="000000" w:themeColor="text1"/>
                <w:sz w:val="20"/>
                <w:lang w:val="cs-CZ" w:eastAsia="de-AT"/>
              </w:rPr>
              <w:t xml:space="preserve"> </w:t>
            </w:r>
            <w:r w:rsidR="00224561" w:rsidRPr="0055589B">
              <w:rPr>
                <w:rFonts w:cs="Arial"/>
                <w:color w:val="000000" w:themeColor="text1"/>
                <w:sz w:val="20"/>
                <w:lang w:val="cs-CZ" w:eastAsia="de-AT"/>
              </w:rPr>
              <w:t>sociální zabezpečení</w:t>
            </w:r>
          </w:p>
        </w:tc>
      </w:tr>
      <w:tr w:rsidR="0055589B" w:rsidRPr="0055589B" w14:paraId="27964E2D" w14:textId="77777777" w:rsidTr="00924810">
        <w:trPr>
          <w:trHeight w:val="509"/>
        </w:trPr>
        <w:tc>
          <w:tcPr>
            <w:tcW w:w="2238" w:type="dxa"/>
          </w:tcPr>
          <w:p w14:paraId="2FDAC556" w14:textId="7D23956E" w:rsidR="00224561" w:rsidRPr="0055589B" w:rsidRDefault="00224561" w:rsidP="007F006A">
            <w:pPr>
              <w:spacing w:after="120" w:line="288" w:lineRule="auto"/>
              <w:jc w:val="both"/>
              <w:rPr>
                <w:rFonts w:cs="Arial"/>
                <w:color w:val="000000" w:themeColor="text1"/>
                <w:sz w:val="20"/>
                <w:lang w:val="cs-CZ" w:eastAsia="de-AT"/>
              </w:rPr>
            </w:pPr>
            <w:r w:rsidRPr="0055589B">
              <w:rPr>
                <w:rFonts w:cs="Arial"/>
                <w:color w:val="000000" w:themeColor="text1"/>
                <w:sz w:val="20"/>
                <w:lang w:val="cs-CZ" w:eastAsia="de-AT"/>
              </w:rPr>
              <w:t>Základní</w:t>
            </w:r>
            <w:r w:rsidR="00C75185" w:rsidRPr="0055589B">
              <w:rPr>
                <w:rFonts w:cs="Arial"/>
                <w:color w:val="000000" w:themeColor="text1"/>
                <w:sz w:val="20"/>
                <w:lang w:val="cs-CZ" w:eastAsia="de-AT"/>
              </w:rPr>
              <w:t xml:space="preserve"> mzda</w:t>
            </w:r>
          </w:p>
        </w:tc>
        <w:tc>
          <w:tcPr>
            <w:tcW w:w="1398" w:type="dxa"/>
          </w:tcPr>
          <w:p w14:paraId="76D12FA8" w14:textId="77777777" w:rsidR="00224561" w:rsidRPr="0055589B" w:rsidRDefault="00224561"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X</w:t>
            </w:r>
          </w:p>
        </w:tc>
        <w:tc>
          <w:tcPr>
            <w:tcW w:w="1398" w:type="dxa"/>
          </w:tcPr>
          <w:p w14:paraId="521E41CE" w14:textId="77777777" w:rsidR="00224561" w:rsidRPr="0055589B" w:rsidRDefault="00224561"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X</w:t>
            </w:r>
          </w:p>
        </w:tc>
        <w:tc>
          <w:tcPr>
            <w:tcW w:w="1398" w:type="dxa"/>
          </w:tcPr>
          <w:p w14:paraId="6DCF6CC0" w14:textId="77777777" w:rsidR="00224561" w:rsidRPr="0055589B" w:rsidRDefault="00224561" w:rsidP="007F006A">
            <w:pPr>
              <w:spacing w:after="120" w:line="288" w:lineRule="auto"/>
              <w:jc w:val="center"/>
              <w:rPr>
                <w:rFonts w:cs="Arial"/>
                <w:color w:val="000000" w:themeColor="text1"/>
                <w:sz w:val="20"/>
                <w:lang w:val="cs-CZ" w:eastAsia="de-AT"/>
              </w:rPr>
            </w:pPr>
          </w:p>
        </w:tc>
        <w:tc>
          <w:tcPr>
            <w:tcW w:w="1398" w:type="dxa"/>
          </w:tcPr>
          <w:p w14:paraId="498BF7B0" w14:textId="77777777" w:rsidR="00224561" w:rsidRPr="0055589B" w:rsidRDefault="00224561"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X</w:t>
            </w:r>
          </w:p>
        </w:tc>
        <w:tc>
          <w:tcPr>
            <w:tcW w:w="1399" w:type="dxa"/>
          </w:tcPr>
          <w:p w14:paraId="19A9F12F" w14:textId="77777777" w:rsidR="00224561" w:rsidRPr="0055589B" w:rsidRDefault="00224561"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X</w:t>
            </w:r>
          </w:p>
        </w:tc>
      </w:tr>
      <w:tr w:rsidR="0055589B" w:rsidRPr="0055589B" w14:paraId="19398749" w14:textId="77777777" w:rsidTr="00924810">
        <w:trPr>
          <w:trHeight w:val="490"/>
        </w:trPr>
        <w:tc>
          <w:tcPr>
            <w:tcW w:w="2238" w:type="dxa"/>
          </w:tcPr>
          <w:p w14:paraId="4C41CD5E" w14:textId="53D13944" w:rsidR="00224561" w:rsidRPr="0055589B" w:rsidRDefault="00224561" w:rsidP="007F006A">
            <w:pPr>
              <w:spacing w:after="120" w:line="288" w:lineRule="auto"/>
              <w:jc w:val="both"/>
              <w:rPr>
                <w:rFonts w:cs="Arial"/>
                <w:color w:val="000000" w:themeColor="text1"/>
                <w:sz w:val="20"/>
                <w:lang w:val="cs-CZ" w:eastAsia="de-AT"/>
              </w:rPr>
            </w:pPr>
            <w:r w:rsidRPr="0055589B">
              <w:rPr>
                <w:rFonts w:cs="Arial"/>
                <w:color w:val="000000" w:themeColor="text1"/>
                <w:sz w:val="20"/>
                <w:lang w:val="cs-CZ" w:eastAsia="de-AT"/>
              </w:rPr>
              <w:t>Pří</w:t>
            </w:r>
            <w:r w:rsidR="00C75185" w:rsidRPr="0055589B">
              <w:rPr>
                <w:rFonts w:cs="Arial"/>
                <w:color w:val="000000" w:themeColor="text1"/>
                <w:sz w:val="20"/>
                <w:lang w:val="cs-CZ" w:eastAsia="de-AT"/>
              </w:rPr>
              <w:t>platky</w:t>
            </w:r>
          </w:p>
        </w:tc>
        <w:tc>
          <w:tcPr>
            <w:tcW w:w="1398" w:type="dxa"/>
          </w:tcPr>
          <w:p w14:paraId="137071C2" w14:textId="77777777" w:rsidR="00224561" w:rsidRPr="0055589B" w:rsidRDefault="00224561" w:rsidP="007F006A">
            <w:pPr>
              <w:spacing w:after="120" w:line="288" w:lineRule="auto"/>
              <w:jc w:val="center"/>
              <w:rPr>
                <w:rFonts w:cs="Arial"/>
                <w:color w:val="000000" w:themeColor="text1"/>
                <w:sz w:val="20"/>
                <w:lang w:val="cs-CZ" w:eastAsia="de-AT"/>
              </w:rPr>
            </w:pPr>
          </w:p>
        </w:tc>
        <w:tc>
          <w:tcPr>
            <w:tcW w:w="1398" w:type="dxa"/>
          </w:tcPr>
          <w:p w14:paraId="5BC8D473" w14:textId="77777777" w:rsidR="00224561" w:rsidRPr="0055589B" w:rsidRDefault="00224561"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X</w:t>
            </w:r>
          </w:p>
        </w:tc>
        <w:tc>
          <w:tcPr>
            <w:tcW w:w="1398" w:type="dxa"/>
          </w:tcPr>
          <w:p w14:paraId="428B29BA" w14:textId="77777777" w:rsidR="00224561" w:rsidRPr="0055589B" w:rsidRDefault="00224561" w:rsidP="007F006A">
            <w:pPr>
              <w:spacing w:after="120" w:line="288" w:lineRule="auto"/>
              <w:jc w:val="center"/>
              <w:rPr>
                <w:rFonts w:cs="Arial"/>
                <w:color w:val="000000" w:themeColor="text1"/>
                <w:sz w:val="20"/>
                <w:lang w:val="cs-CZ" w:eastAsia="de-AT"/>
              </w:rPr>
            </w:pPr>
          </w:p>
        </w:tc>
        <w:tc>
          <w:tcPr>
            <w:tcW w:w="1398" w:type="dxa"/>
          </w:tcPr>
          <w:p w14:paraId="6FCC9843" w14:textId="77777777" w:rsidR="00224561" w:rsidRPr="0055589B" w:rsidRDefault="00224561"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X</w:t>
            </w:r>
          </w:p>
        </w:tc>
        <w:tc>
          <w:tcPr>
            <w:tcW w:w="1399" w:type="dxa"/>
          </w:tcPr>
          <w:p w14:paraId="16FA3E6D" w14:textId="77777777" w:rsidR="00224561" w:rsidRPr="0055589B" w:rsidRDefault="00224561" w:rsidP="007F006A">
            <w:pPr>
              <w:spacing w:after="120" w:line="288" w:lineRule="auto"/>
              <w:jc w:val="center"/>
              <w:rPr>
                <w:rFonts w:cs="Arial"/>
                <w:color w:val="000000" w:themeColor="text1"/>
                <w:sz w:val="20"/>
                <w:lang w:val="cs-CZ" w:eastAsia="de-AT"/>
              </w:rPr>
            </w:pPr>
          </w:p>
        </w:tc>
      </w:tr>
      <w:tr w:rsidR="0055589B" w:rsidRPr="0055589B" w14:paraId="44F186F6" w14:textId="77777777" w:rsidTr="00924810">
        <w:trPr>
          <w:trHeight w:val="849"/>
        </w:trPr>
        <w:tc>
          <w:tcPr>
            <w:tcW w:w="2238" w:type="dxa"/>
          </w:tcPr>
          <w:p w14:paraId="4F07AB06" w14:textId="65FEE82C" w:rsidR="00224561" w:rsidRPr="0055589B" w:rsidRDefault="00C75185" w:rsidP="007F006A">
            <w:pPr>
              <w:spacing w:after="120" w:line="288" w:lineRule="auto"/>
              <w:jc w:val="both"/>
              <w:rPr>
                <w:rFonts w:cs="Arial"/>
                <w:color w:val="000000" w:themeColor="text1"/>
                <w:sz w:val="20"/>
                <w:lang w:val="cs-CZ" w:eastAsia="de-AT"/>
              </w:rPr>
            </w:pPr>
            <w:r w:rsidRPr="0055589B">
              <w:rPr>
                <w:rFonts w:cs="Arial"/>
                <w:color w:val="000000" w:themeColor="text1"/>
                <w:sz w:val="20"/>
                <w:lang w:val="cs-CZ" w:eastAsia="de-AT"/>
              </w:rPr>
              <w:t>Systémy v</w:t>
            </w:r>
            <w:r w:rsidR="00224561" w:rsidRPr="0055589B">
              <w:rPr>
                <w:rFonts w:cs="Arial"/>
                <w:color w:val="000000" w:themeColor="text1"/>
                <w:sz w:val="20"/>
                <w:lang w:val="cs-CZ" w:eastAsia="de-AT"/>
              </w:rPr>
              <w:t>ariabilní</w:t>
            </w:r>
            <w:r w:rsidRPr="0055589B">
              <w:rPr>
                <w:rFonts w:cs="Arial"/>
                <w:color w:val="000000" w:themeColor="text1"/>
                <w:sz w:val="20"/>
                <w:lang w:val="cs-CZ" w:eastAsia="de-AT"/>
              </w:rPr>
              <w:t>ch</w:t>
            </w:r>
            <w:r w:rsidR="00224561" w:rsidRPr="0055589B">
              <w:rPr>
                <w:rFonts w:cs="Arial"/>
                <w:color w:val="000000" w:themeColor="text1"/>
                <w:sz w:val="20"/>
                <w:lang w:val="cs-CZ" w:eastAsia="de-AT"/>
              </w:rPr>
              <w:t xml:space="preserve"> odměny</w:t>
            </w:r>
            <w:r w:rsidRPr="0055589B">
              <w:rPr>
                <w:rFonts w:cs="Arial"/>
                <w:color w:val="000000" w:themeColor="text1"/>
                <w:sz w:val="20"/>
                <w:lang w:val="cs-CZ" w:eastAsia="de-AT"/>
              </w:rPr>
              <w:t xml:space="preserve"> </w:t>
            </w:r>
          </w:p>
        </w:tc>
        <w:tc>
          <w:tcPr>
            <w:tcW w:w="1398" w:type="dxa"/>
          </w:tcPr>
          <w:p w14:paraId="7438E529" w14:textId="77777777" w:rsidR="00224561" w:rsidRPr="0055589B" w:rsidRDefault="00224561" w:rsidP="007F006A">
            <w:pPr>
              <w:spacing w:after="120" w:line="288" w:lineRule="auto"/>
              <w:jc w:val="center"/>
              <w:rPr>
                <w:rFonts w:cs="Arial"/>
                <w:color w:val="000000" w:themeColor="text1"/>
                <w:sz w:val="20"/>
                <w:lang w:val="cs-CZ" w:eastAsia="de-AT"/>
              </w:rPr>
            </w:pPr>
          </w:p>
        </w:tc>
        <w:tc>
          <w:tcPr>
            <w:tcW w:w="1398" w:type="dxa"/>
          </w:tcPr>
          <w:p w14:paraId="45BC49E2" w14:textId="77777777" w:rsidR="00224561" w:rsidRPr="0055589B" w:rsidRDefault="00224561" w:rsidP="007F006A">
            <w:pPr>
              <w:spacing w:after="120" w:line="288" w:lineRule="auto"/>
              <w:jc w:val="center"/>
              <w:rPr>
                <w:rFonts w:cs="Arial"/>
                <w:color w:val="000000" w:themeColor="text1"/>
                <w:sz w:val="20"/>
                <w:lang w:val="cs-CZ" w:eastAsia="de-AT"/>
              </w:rPr>
            </w:pPr>
          </w:p>
        </w:tc>
        <w:tc>
          <w:tcPr>
            <w:tcW w:w="1398" w:type="dxa"/>
          </w:tcPr>
          <w:p w14:paraId="636B43D5" w14:textId="77777777" w:rsidR="00224561" w:rsidRPr="0055589B" w:rsidRDefault="00224561"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X</w:t>
            </w:r>
          </w:p>
        </w:tc>
        <w:tc>
          <w:tcPr>
            <w:tcW w:w="1398" w:type="dxa"/>
          </w:tcPr>
          <w:p w14:paraId="25162F54" w14:textId="77777777" w:rsidR="00224561" w:rsidRPr="0055589B" w:rsidRDefault="00224561" w:rsidP="007F006A">
            <w:pPr>
              <w:spacing w:after="120" w:line="288" w:lineRule="auto"/>
              <w:jc w:val="center"/>
              <w:rPr>
                <w:rFonts w:cs="Arial"/>
                <w:color w:val="000000" w:themeColor="text1"/>
                <w:sz w:val="20"/>
                <w:lang w:val="cs-CZ" w:eastAsia="de-AT"/>
              </w:rPr>
            </w:pPr>
          </w:p>
        </w:tc>
        <w:tc>
          <w:tcPr>
            <w:tcW w:w="1399" w:type="dxa"/>
          </w:tcPr>
          <w:p w14:paraId="5F226109" w14:textId="77777777" w:rsidR="00224561" w:rsidRPr="0055589B" w:rsidRDefault="00224561" w:rsidP="007F006A">
            <w:pPr>
              <w:spacing w:after="120" w:line="288" w:lineRule="auto"/>
              <w:jc w:val="center"/>
              <w:rPr>
                <w:rFonts w:cs="Arial"/>
                <w:color w:val="000000" w:themeColor="text1"/>
                <w:sz w:val="20"/>
                <w:lang w:val="cs-CZ" w:eastAsia="de-AT"/>
              </w:rPr>
            </w:pPr>
          </w:p>
        </w:tc>
      </w:tr>
      <w:tr w:rsidR="0055589B" w:rsidRPr="0055589B" w14:paraId="61E66229" w14:textId="77777777" w:rsidTr="00924810">
        <w:trPr>
          <w:trHeight w:val="490"/>
        </w:trPr>
        <w:tc>
          <w:tcPr>
            <w:tcW w:w="2238" w:type="dxa"/>
          </w:tcPr>
          <w:p w14:paraId="00D36C67" w14:textId="77777777" w:rsidR="00224561" w:rsidRPr="0055589B" w:rsidRDefault="00224561" w:rsidP="007F006A">
            <w:pPr>
              <w:spacing w:after="120" w:line="288" w:lineRule="auto"/>
              <w:jc w:val="both"/>
              <w:rPr>
                <w:rFonts w:cs="Arial"/>
                <w:color w:val="000000" w:themeColor="text1"/>
                <w:sz w:val="20"/>
                <w:lang w:val="cs-CZ" w:eastAsia="de-AT"/>
              </w:rPr>
            </w:pPr>
            <w:r w:rsidRPr="0055589B">
              <w:rPr>
                <w:rFonts w:cs="Arial"/>
                <w:color w:val="000000" w:themeColor="text1"/>
                <w:sz w:val="20"/>
                <w:lang w:val="cs-CZ" w:eastAsia="de-AT"/>
              </w:rPr>
              <w:t>Retenční bonus</w:t>
            </w:r>
          </w:p>
        </w:tc>
        <w:tc>
          <w:tcPr>
            <w:tcW w:w="1398" w:type="dxa"/>
          </w:tcPr>
          <w:p w14:paraId="49F26783" w14:textId="77777777" w:rsidR="00224561" w:rsidRPr="0055589B" w:rsidRDefault="00224561" w:rsidP="007F006A">
            <w:pPr>
              <w:spacing w:after="120" w:line="288" w:lineRule="auto"/>
              <w:jc w:val="center"/>
              <w:rPr>
                <w:rFonts w:cs="Arial"/>
                <w:color w:val="000000" w:themeColor="text1"/>
                <w:sz w:val="20"/>
                <w:lang w:val="cs-CZ" w:eastAsia="de-AT"/>
              </w:rPr>
            </w:pPr>
          </w:p>
        </w:tc>
        <w:tc>
          <w:tcPr>
            <w:tcW w:w="1398" w:type="dxa"/>
          </w:tcPr>
          <w:p w14:paraId="7379D9FD" w14:textId="77777777" w:rsidR="00224561" w:rsidRPr="0055589B" w:rsidRDefault="00224561" w:rsidP="007F006A">
            <w:pPr>
              <w:spacing w:after="120" w:line="288" w:lineRule="auto"/>
              <w:jc w:val="center"/>
              <w:rPr>
                <w:rFonts w:cs="Arial"/>
                <w:color w:val="000000" w:themeColor="text1"/>
                <w:sz w:val="20"/>
                <w:lang w:val="cs-CZ" w:eastAsia="de-AT"/>
              </w:rPr>
            </w:pPr>
          </w:p>
        </w:tc>
        <w:tc>
          <w:tcPr>
            <w:tcW w:w="1398" w:type="dxa"/>
          </w:tcPr>
          <w:p w14:paraId="24ACBC91" w14:textId="77777777" w:rsidR="00224561" w:rsidRPr="0055589B" w:rsidRDefault="00224561" w:rsidP="007F006A">
            <w:pPr>
              <w:spacing w:after="120" w:line="288" w:lineRule="auto"/>
              <w:jc w:val="center"/>
              <w:rPr>
                <w:rFonts w:cs="Arial"/>
                <w:color w:val="000000" w:themeColor="text1"/>
                <w:sz w:val="20"/>
                <w:lang w:val="cs-CZ" w:eastAsia="de-AT"/>
              </w:rPr>
            </w:pPr>
          </w:p>
        </w:tc>
        <w:tc>
          <w:tcPr>
            <w:tcW w:w="1398" w:type="dxa"/>
          </w:tcPr>
          <w:p w14:paraId="11CAD1AF" w14:textId="77777777" w:rsidR="00224561" w:rsidRPr="0055589B" w:rsidRDefault="00224561"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X</w:t>
            </w:r>
          </w:p>
        </w:tc>
        <w:tc>
          <w:tcPr>
            <w:tcW w:w="1399" w:type="dxa"/>
          </w:tcPr>
          <w:p w14:paraId="2CDAD33C" w14:textId="77777777" w:rsidR="00224561" w:rsidRPr="0055589B" w:rsidRDefault="00224561" w:rsidP="007F006A">
            <w:pPr>
              <w:spacing w:after="120" w:line="288" w:lineRule="auto"/>
              <w:jc w:val="center"/>
              <w:rPr>
                <w:rFonts w:cs="Arial"/>
                <w:color w:val="000000" w:themeColor="text1"/>
                <w:sz w:val="20"/>
                <w:lang w:val="cs-CZ" w:eastAsia="de-AT"/>
              </w:rPr>
            </w:pPr>
          </w:p>
        </w:tc>
      </w:tr>
      <w:tr w:rsidR="0055589B" w:rsidRPr="0055589B" w14:paraId="726E98E3" w14:textId="77777777" w:rsidTr="00924810">
        <w:trPr>
          <w:trHeight w:val="849"/>
        </w:trPr>
        <w:tc>
          <w:tcPr>
            <w:tcW w:w="2238" w:type="dxa"/>
          </w:tcPr>
          <w:p w14:paraId="5E50B607" w14:textId="26F86CC0" w:rsidR="00224561" w:rsidRPr="0055589B" w:rsidRDefault="00C75185" w:rsidP="007F006A">
            <w:pPr>
              <w:spacing w:after="120" w:line="288" w:lineRule="auto"/>
              <w:jc w:val="both"/>
              <w:rPr>
                <w:rFonts w:cs="Arial"/>
                <w:color w:val="000000" w:themeColor="text1"/>
                <w:sz w:val="20"/>
                <w:lang w:val="cs-CZ" w:eastAsia="de-AT"/>
              </w:rPr>
            </w:pPr>
            <w:r w:rsidRPr="0055589B">
              <w:rPr>
                <w:rFonts w:cs="Arial"/>
                <w:color w:val="000000" w:themeColor="text1"/>
                <w:sz w:val="20"/>
                <w:lang w:val="cs-CZ" w:eastAsia="de-AT"/>
              </w:rPr>
              <w:t>Benefity</w:t>
            </w:r>
            <w:r w:rsidR="00224561" w:rsidRPr="0055589B">
              <w:rPr>
                <w:rFonts w:cs="Arial"/>
                <w:color w:val="000000" w:themeColor="text1"/>
                <w:sz w:val="20"/>
                <w:lang w:val="cs-CZ" w:eastAsia="de-AT"/>
              </w:rPr>
              <w:t xml:space="preserve"> (peněž</w:t>
            </w:r>
            <w:r w:rsidRPr="0055589B">
              <w:rPr>
                <w:rFonts w:cs="Arial"/>
                <w:color w:val="000000" w:themeColor="text1"/>
                <w:sz w:val="20"/>
                <w:lang w:val="cs-CZ" w:eastAsia="de-AT"/>
              </w:rPr>
              <w:t>n</w:t>
            </w:r>
            <w:r w:rsidR="00224561" w:rsidRPr="0055589B">
              <w:rPr>
                <w:rFonts w:cs="Arial"/>
                <w:color w:val="000000" w:themeColor="text1"/>
                <w:sz w:val="20"/>
                <w:lang w:val="cs-CZ" w:eastAsia="de-AT"/>
              </w:rPr>
              <w:t>í a nepeněžní)</w:t>
            </w:r>
          </w:p>
        </w:tc>
        <w:tc>
          <w:tcPr>
            <w:tcW w:w="1398" w:type="dxa"/>
          </w:tcPr>
          <w:p w14:paraId="59642367" w14:textId="77777777" w:rsidR="00224561" w:rsidRPr="0055589B" w:rsidRDefault="00224561"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X</w:t>
            </w:r>
          </w:p>
        </w:tc>
        <w:tc>
          <w:tcPr>
            <w:tcW w:w="1398" w:type="dxa"/>
          </w:tcPr>
          <w:p w14:paraId="71AEFFBB" w14:textId="77777777" w:rsidR="00224561" w:rsidRPr="0055589B" w:rsidRDefault="00224561" w:rsidP="007F006A">
            <w:pPr>
              <w:spacing w:after="120" w:line="288" w:lineRule="auto"/>
              <w:jc w:val="center"/>
              <w:rPr>
                <w:rFonts w:cs="Arial"/>
                <w:color w:val="000000" w:themeColor="text1"/>
                <w:sz w:val="20"/>
                <w:lang w:val="cs-CZ" w:eastAsia="de-AT"/>
              </w:rPr>
            </w:pPr>
          </w:p>
        </w:tc>
        <w:tc>
          <w:tcPr>
            <w:tcW w:w="1398" w:type="dxa"/>
          </w:tcPr>
          <w:p w14:paraId="6195968D" w14:textId="77777777" w:rsidR="00224561" w:rsidRPr="0055589B" w:rsidRDefault="00224561" w:rsidP="007F006A">
            <w:pPr>
              <w:spacing w:after="120" w:line="288" w:lineRule="auto"/>
              <w:jc w:val="center"/>
              <w:rPr>
                <w:rFonts w:cs="Arial"/>
                <w:color w:val="000000" w:themeColor="text1"/>
                <w:sz w:val="20"/>
                <w:lang w:val="cs-CZ" w:eastAsia="de-AT"/>
              </w:rPr>
            </w:pPr>
          </w:p>
        </w:tc>
        <w:tc>
          <w:tcPr>
            <w:tcW w:w="1398" w:type="dxa"/>
          </w:tcPr>
          <w:p w14:paraId="42BD9589" w14:textId="77777777" w:rsidR="00224561" w:rsidRPr="0055589B" w:rsidRDefault="00224561"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X</w:t>
            </w:r>
          </w:p>
        </w:tc>
        <w:tc>
          <w:tcPr>
            <w:tcW w:w="1399" w:type="dxa"/>
          </w:tcPr>
          <w:p w14:paraId="7E1E7B56" w14:textId="77777777" w:rsidR="00224561" w:rsidRPr="0055589B" w:rsidRDefault="00224561" w:rsidP="007F006A">
            <w:pPr>
              <w:spacing w:after="120" w:line="288" w:lineRule="auto"/>
              <w:jc w:val="center"/>
              <w:rPr>
                <w:rFonts w:cs="Arial"/>
                <w:color w:val="000000" w:themeColor="text1"/>
                <w:sz w:val="20"/>
                <w:lang w:val="cs-CZ" w:eastAsia="de-AT"/>
              </w:rPr>
            </w:pPr>
            <w:r w:rsidRPr="0055589B">
              <w:rPr>
                <w:rFonts w:cs="Arial"/>
                <w:color w:val="000000" w:themeColor="text1"/>
                <w:sz w:val="20"/>
                <w:lang w:val="cs-CZ" w:eastAsia="de-AT"/>
              </w:rPr>
              <w:t>X</w:t>
            </w:r>
          </w:p>
        </w:tc>
      </w:tr>
    </w:tbl>
    <w:p w14:paraId="17EC260B" w14:textId="77777777"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p>
    <w:p w14:paraId="597C24EC" w14:textId="77777777" w:rsidR="00224561" w:rsidRPr="0055589B" w:rsidRDefault="00224561" w:rsidP="006033BF">
      <w:pPr>
        <w:pStyle w:val="Nadpis2"/>
        <w:rPr>
          <w:rFonts w:eastAsia="Times New Roman"/>
          <w:color w:val="000000" w:themeColor="text1"/>
          <w:lang w:val="cs-CZ"/>
        </w:rPr>
      </w:pPr>
      <w:bookmarkStart w:id="26" w:name="_Ref476235016"/>
      <w:bookmarkStart w:id="27" w:name="_Toc476310054"/>
      <w:bookmarkStart w:id="28" w:name="_Toc476310279"/>
      <w:bookmarkStart w:id="29" w:name="_Toc459135630"/>
      <w:bookmarkStart w:id="30" w:name="_Toc479071349"/>
      <w:bookmarkStart w:id="31" w:name="_Toc490657424"/>
      <w:bookmarkStart w:id="32" w:name="_Toc108689200"/>
      <w:r w:rsidRPr="0055589B">
        <w:rPr>
          <w:color w:val="000000" w:themeColor="text1"/>
          <w:lang w:val="cs-CZ"/>
        </w:rPr>
        <w:t>Odstupné</w:t>
      </w:r>
      <w:bookmarkEnd w:id="26"/>
      <w:bookmarkEnd w:id="27"/>
      <w:bookmarkEnd w:id="28"/>
      <w:bookmarkEnd w:id="29"/>
      <w:bookmarkEnd w:id="30"/>
      <w:bookmarkEnd w:id="31"/>
      <w:bookmarkEnd w:id="32"/>
      <w:r w:rsidRPr="0055589B">
        <w:rPr>
          <w:color w:val="000000" w:themeColor="text1"/>
          <w:lang w:val="cs-CZ"/>
        </w:rPr>
        <w:t xml:space="preserve"> </w:t>
      </w:r>
    </w:p>
    <w:p w14:paraId="0AA16308" w14:textId="5979DB19" w:rsidR="00224561" w:rsidRPr="0055589B" w:rsidRDefault="00224561" w:rsidP="007F006A">
      <w:p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Platby </w:t>
      </w:r>
      <w:r w:rsidR="00BB5795" w:rsidRPr="0055589B">
        <w:rPr>
          <w:rFonts w:ascii="Arial" w:hAnsi="Arial" w:cs="Arial"/>
          <w:color w:val="000000" w:themeColor="text1"/>
          <w:szCs w:val="24"/>
          <w:lang w:val="cs-CZ" w:eastAsia="de-AT"/>
        </w:rPr>
        <w:t>související s p</w:t>
      </w:r>
      <w:r w:rsidRPr="0055589B">
        <w:rPr>
          <w:rFonts w:ascii="Arial" w:hAnsi="Arial" w:cs="Arial"/>
          <w:color w:val="000000" w:themeColor="text1"/>
          <w:szCs w:val="24"/>
          <w:lang w:val="cs-CZ" w:eastAsia="de-AT"/>
        </w:rPr>
        <w:t>ředčasn</w:t>
      </w:r>
      <w:r w:rsidR="00BB5795" w:rsidRPr="0055589B">
        <w:rPr>
          <w:rFonts w:ascii="Arial" w:hAnsi="Arial" w:cs="Arial"/>
          <w:color w:val="000000" w:themeColor="text1"/>
          <w:szCs w:val="24"/>
          <w:lang w:val="cs-CZ" w:eastAsia="de-AT"/>
        </w:rPr>
        <w:t xml:space="preserve">ým </w:t>
      </w:r>
      <w:r w:rsidRPr="0055589B">
        <w:rPr>
          <w:rFonts w:ascii="Arial" w:hAnsi="Arial" w:cs="Arial"/>
          <w:color w:val="000000" w:themeColor="text1"/>
          <w:szCs w:val="24"/>
          <w:lang w:val="cs-CZ" w:eastAsia="de-AT"/>
        </w:rPr>
        <w:t>ukončení</w:t>
      </w:r>
      <w:r w:rsidR="00BB5795" w:rsidRPr="0055589B">
        <w:rPr>
          <w:rFonts w:ascii="Arial" w:hAnsi="Arial" w:cs="Arial"/>
          <w:color w:val="000000" w:themeColor="text1"/>
          <w:szCs w:val="24"/>
          <w:lang w:val="cs-CZ" w:eastAsia="de-AT"/>
        </w:rPr>
        <w:t xml:space="preserve">m pracovního poměru </w:t>
      </w:r>
      <w:r w:rsidRPr="0055589B">
        <w:rPr>
          <w:rFonts w:ascii="Arial" w:hAnsi="Arial" w:cs="Arial"/>
          <w:color w:val="000000" w:themeColor="text1"/>
          <w:szCs w:val="24"/>
          <w:lang w:val="cs-CZ" w:eastAsia="de-AT"/>
        </w:rPr>
        <w:t>mus</w:t>
      </w:r>
      <w:r w:rsidR="00BB5795" w:rsidRPr="0055589B">
        <w:rPr>
          <w:rFonts w:ascii="Arial" w:hAnsi="Arial" w:cs="Arial"/>
          <w:color w:val="000000" w:themeColor="text1"/>
          <w:szCs w:val="24"/>
          <w:lang w:val="cs-CZ" w:eastAsia="de-AT"/>
        </w:rPr>
        <w:t>ej</w:t>
      </w:r>
      <w:r w:rsidRPr="0055589B">
        <w:rPr>
          <w:rFonts w:ascii="Arial" w:hAnsi="Arial" w:cs="Arial"/>
          <w:color w:val="000000" w:themeColor="text1"/>
          <w:szCs w:val="24"/>
          <w:lang w:val="cs-CZ" w:eastAsia="de-AT"/>
        </w:rPr>
        <w:t>í být v souladu s obchodní strategií</w:t>
      </w:r>
      <w:r w:rsidR="00A50FB8" w:rsidRPr="0055589B">
        <w:rPr>
          <w:rFonts w:ascii="Arial" w:hAnsi="Arial" w:cs="Arial"/>
          <w:color w:val="000000" w:themeColor="text1"/>
          <w:szCs w:val="24"/>
          <w:lang w:val="cs-CZ" w:eastAsia="de-AT"/>
        </w:rPr>
        <w:t xml:space="preserve"> společnostmi, s jejími hodnotami a dl</w:t>
      </w:r>
      <w:r w:rsidRPr="0055589B">
        <w:rPr>
          <w:rFonts w:ascii="Arial" w:hAnsi="Arial" w:cs="Arial"/>
          <w:color w:val="000000" w:themeColor="text1"/>
          <w:szCs w:val="24"/>
          <w:lang w:val="cs-CZ" w:eastAsia="de-AT"/>
        </w:rPr>
        <w:t xml:space="preserve">ouhodobými cíli, jakož i s příslušnými místními právními předpisy a platnými kolektivními smlouvami. </w:t>
      </w:r>
    </w:p>
    <w:p w14:paraId="6C60CF98" w14:textId="6F481CA9" w:rsidR="00224561" w:rsidRPr="0055589B" w:rsidRDefault="00224561" w:rsidP="007F006A">
      <w:p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Odstupné musí odrážet výkon dosažený v</w:t>
      </w:r>
      <w:r w:rsidR="001A7858" w:rsidRPr="0055589B">
        <w:rPr>
          <w:rFonts w:ascii="Arial" w:hAnsi="Arial" w:cs="Arial"/>
          <w:color w:val="000000" w:themeColor="text1"/>
          <w:szCs w:val="24"/>
          <w:lang w:val="cs-CZ" w:eastAsia="de-AT"/>
        </w:rPr>
        <w:t> </w:t>
      </w:r>
      <w:r w:rsidRPr="0055589B">
        <w:rPr>
          <w:rFonts w:ascii="Arial" w:hAnsi="Arial" w:cs="Arial"/>
          <w:color w:val="000000" w:themeColor="text1"/>
          <w:szCs w:val="24"/>
          <w:lang w:val="cs-CZ" w:eastAsia="de-AT"/>
        </w:rPr>
        <w:t>průběhu</w:t>
      </w:r>
      <w:r w:rsidR="001A7858" w:rsidRPr="0055589B">
        <w:rPr>
          <w:rFonts w:ascii="Arial" w:hAnsi="Arial" w:cs="Arial"/>
          <w:color w:val="000000" w:themeColor="text1"/>
          <w:szCs w:val="24"/>
          <w:lang w:val="cs-CZ" w:eastAsia="de-AT"/>
        </w:rPr>
        <w:t xml:space="preserve"> pracovního poměru </w:t>
      </w:r>
      <w:r w:rsidRPr="0055589B">
        <w:rPr>
          <w:rFonts w:ascii="Arial" w:hAnsi="Arial" w:cs="Arial"/>
          <w:color w:val="000000" w:themeColor="text1"/>
          <w:szCs w:val="24"/>
          <w:lang w:val="cs-CZ" w:eastAsia="de-AT"/>
        </w:rPr>
        <w:t>a nesmí odměňovat selhání nebo pochybení. Odstupné by neměl</w:t>
      </w:r>
      <w:r w:rsidR="001A7858" w:rsidRPr="0055589B">
        <w:rPr>
          <w:rFonts w:ascii="Arial" w:hAnsi="Arial" w:cs="Arial"/>
          <w:color w:val="000000" w:themeColor="text1"/>
          <w:szCs w:val="24"/>
          <w:lang w:val="cs-CZ" w:eastAsia="de-AT"/>
        </w:rPr>
        <w:t>o</w:t>
      </w:r>
      <w:r w:rsidRPr="0055589B">
        <w:rPr>
          <w:rFonts w:ascii="Arial" w:hAnsi="Arial" w:cs="Arial"/>
          <w:color w:val="000000" w:themeColor="text1"/>
          <w:szCs w:val="24"/>
          <w:lang w:val="cs-CZ" w:eastAsia="de-AT"/>
        </w:rPr>
        <w:t xml:space="preserve"> být přiznán</w:t>
      </w:r>
      <w:r w:rsidR="001A7858" w:rsidRPr="0055589B">
        <w:rPr>
          <w:rFonts w:ascii="Arial" w:hAnsi="Arial" w:cs="Arial"/>
          <w:color w:val="000000" w:themeColor="text1"/>
          <w:szCs w:val="24"/>
          <w:lang w:val="cs-CZ" w:eastAsia="de-AT"/>
        </w:rPr>
        <w:t>o</w:t>
      </w:r>
      <w:r w:rsidRPr="0055589B">
        <w:rPr>
          <w:rFonts w:ascii="Arial" w:hAnsi="Arial" w:cs="Arial"/>
          <w:color w:val="000000" w:themeColor="text1"/>
          <w:szCs w:val="24"/>
          <w:lang w:val="cs-CZ" w:eastAsia="de-AT"/>
        </w:rPr>
        <w:t xml:space="preserve">, pokud zaměstnanec </w:t>
      </w:r>
      <w:proofErr w:type="gramStart"/>
      <w:r w:rsidR="001A7858" w:rsidRPr="0055589B">
        <w:rPr>
          <w:rFonts w:ascii="Arial" w:hAnsi="Arial" w:cs="Arial"/>
          <w:color w:val="000000" w:themeColor="text1"/>
          <w:szCs w:val="24"/>
          <w:lang w:val="cs-CZ" w:eastAsia="de-AT"/>
        </w:rPr>
        <w:t>ukončí</w:t>
      </w:r>
      <w:proofErr w:type="gramEnd"/>
      <w:r w:rsidR="001A7858" w:rsidRPr="0055589B">
        <w:rPr>
          <w:rFonts w:ascii="Arial" w:hAnsi="Arial" w:cs="Arial"/>
          <w:color w:val="000000" w:themeColor="text1"/>
          <w:szCs w:val="24"/>
          <w:lang w:val="cs-CZ" w:eastAsia="de-AT"/>
        </w:rPr>
        <w:t xml:space="preserve"> pracovní poměr dob</w:t>
      </w:r>
      <w:r w:rsidRPr="0055589B">
        <w:rPr>
          <w:rFonts w:ascii="Arial" w:hAnsi="Arial" w:cs="Arial"/>
          <w:color w:val="000000" w:themeColor="text1"/>
          <w:szCs w:val="24"/>
          <w:lang w:val="cs-CZ" w:eastAsia="de-AT"/>
        </w:rPr>
        <w:t>rovolně</w:t>
      </w:r>
      <w:r w:rsidRPr="0055589B">
        <w:rPr>
          <w:rFonts w:ascii="Arial" w:hAnsi="Arial" w:cs="Arial"/>
          <w:color w:val="000000" w:themeColor="text1"/>
          <w:szCs w:val="24"/>
          <w:vertAlign w:val="superscript"/>
          <w:lang w:val="cs-CZ" w:eastAsia="de-AT"/>
        </w:rPr>
        <w:footnoteReference w:id="2"/>
      </w:r>
      <w:r w:rsidRPr="0055589B">
        <w:rPr>
          <w:rFonts w:ascii="Arial" w:hAnsi="Arial" w:cs="Arial"/>
          <w:color w:val="000000" w:themeColor="text1"/>
          <w:szCs w:val="24"/>
          <w:lang w:val="cs-CZ" w:eastAsia="de-AT"/>
        </w:rPr>
        <w:t xml:space="preserve">. </w:t>
      </w:r>
    </w:p>
    <w:p w14:paraId="5908E211" w14:textId="7B7B0288" w:rsidR="00224561" w:rsidRPr="0055589B" w:rsidRDefault="00224561" w:rsidP="007F006A">
      <w:p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Je-li odstupné </w:t>
      </w:r>
      <w:r w:rsidR="00B87B46" w:rsidRPr="0055589B">
        <w:rPr>
          <w:rFonts w:ascii="Arial" w:hAnsi="Arial" w:cs="Arial"/>
          <w:color w:val="000000" w:themeColor="text1"/>
          <w:szCs w:val="24"/>
          <w:lang w:val="cs-CZ" w:eastAsia="de-AT"/>
        </w:rPr>
        <w:t>poskytnuto</w:t>
      </w:r>
      <w:r w:rsidRPr="0055589B">
        <w:rPr>
          <w:rFonts w:ascii="Arial" w:hAnsi="Arial" w:cs="Arial"/>
          <w:color w:val="000000" w:themeColor="text1"/>
          <w:szCs w:val="24"/>
          <w:lang w:val="cs-CZ" w:eastAsia="de-AT"/>
        </w:rPr>
        <w:t xml:space="preserve">, </w:t>
      </w:r>
      <w:r w:rsidR="00B87B46" w:rsidRPr="0055589B">
        <w:rPr>
          <w:rFonts w:ascii="Arial" w:hAnsi="Arial" w:cs="Arial"/>
          <w:color w:val="000000" w:themeColor="text1"/>
          <w:szCs w:val="24"/>
          <w:lang w:val="cs-CZ" w:eastAsia="de-AT"/>
        </w:rPr>
        <w:t xml:space="preserve">je nutné zdokumentovat </w:t>
      </w:r>
      <w:r w:rsidRPr="0055589B">
        <w:rPr>
          <w:rFonts w:ascii="Arial" w:hAnsi="Arial" w:cs="Arial"/>
          <w:color w:val="000000" w:themeColor="text1"/>
          <w:szCs w:val="24"/>
          <w:lang w:val="cs-CZ" w:eastAsia="de-AT"/>
        </w:rPr>
        <w:t xml:space="preserve">důvody pro </w:t>
      </w:r>
      <w:r w:rsidR="00B87B46" w:rsidRPr="0055589B">
        <w:rPr>
          <w:rFonts w:ascii="Arial" w:hAnsi="Arial" w:cs="Arial"/>
          <w:color w:val="000000" w:themeColor="text1"/>
          <w:szCs w:val="24"/>
          <w:lang w:val="cs-CZ" w:eastAsia="de-AT"/>
        </w:rPr>
        <w:t xml:space="preserve">jeho poskytnutí, </w:t>
      </w:r>
      <w:r w:rsidRPr="0055589B">
        <w:rPr>
          <w:rFonts w:ascii="Arial" w:hAnsi="Arial" w:cs="Arial"/>
          <w:color w:val="000000" w:themeColor="text1"/>
          <w:szCs w:val="24"/>
          <w:lang w:val="cs-CZ" w:eastAsia="de-AT"/>
        </w:rPr>
        <w:t xml:space="preserve">přiměřenost </w:t>
      </w:r>
      <w:r w:rsidR="00B87B46" w:rsidRPr="0055589B">
        <w:rPr>
          <w:rFonts w:ascii="Arial" w:hAnsi="Arial" w:cs="Arial"/>
          <w:color w:val="000000" w:themeColor="text1"/>
          <w:szCs w:val="24"/>
          <w:lang w:val="cs-CZ" w:eastAsia="de-AT"/>
        </w:rPr>
        <w:t>poskytnut</w:t>
      </w:r>
      <w:r w:rsidRPr="0055589B">
        <w:rPr>
          <w:rFonts w:ascii="Arial" w:hAnsi="Arial" w:cs="Arial"/>
          <w:color w:val="000000" w:themeColor="text1"/>
          <w:szCs w:val="24"/>
          <w:lang w:val="cs-CZ" w:eastAsia="de-AT"/>
        </w:rPr>
        <w:t xml:space="preserve">é částky a kritéria použitá pro </w:t>
      </w:r>
      <w:r w:rsidR="00B87B46" w:rsidRPr="0055589B">
        <w:rPr>
          <w:rFonts w:ascii="Arial" w:hAnsi="Arial" w:cs="Arial"/>
          <w:color w:val="000000" w:themeColor="text1"/>
          <w:szCs w:val="24"/>
          <w:lang w:val="cs-CZ" w:eastAsia="de-AT"/>
        </w:rPr>
        <w:t xml:space="preserve">její stanovení, </w:t>
      </w:r>
      <w:r w:rsidRPr="0055589B">
        <w:rPr>
          <w:rFonts w:ascii="Arial" w:hAnsi="Arial" w:cs="Arial"/>
          <w:color w:val="000000" w:themeColor="text1"/>
          <w:szCs w:val="24"/>
          <w:lang w:val="cs-CZ" w:eastAsia="de-AT"/>
        </w:rPr>
        <w:t xml:space="preserve">včetně </w:t>
      </w:r>
      <w:r w:rsidR="00B87B46" w:rsidRPr="0055589B">
        <w:rPr>
          <w:rFonts w:ascii="Arial" w:hAnsi="Arial" w:cs="Arial"/>
          <w:color w:val="000000" w:themeColor="text1"/>
          <w:szCs w:val="24"/>
          <w:lang w:val="cs-CZ" w:eastAsia="de-AT"/>
        </w:rPr>
        <w:t xml:space="preserve">skutečnosti, že souvisí s </w:t>
      </w:r>
      <w:r w:rsidRPr="0055589B">
        <w:rPr>
          <w:rFonts w:ascii="Arial" w:hAnsi="Arial" w:cs="Arial"/>
          <w:color w:val="000000" w:themeColor="text1"/>
          <w:szCs w:val="24"/>
          <w:lang w:val="cs-CZ" w:eastAsia="de-AT"/>
        </w:rPr>
        <w:t>výkon</w:t>
      </w:r>
      <w:r w:rsidR="00B87B46" w:rsidRPr="0055589B">
        <w:rPr>
          <w:rFonts w:ascii="Arial" w:hAnsi="Arial" w:cs="Arial"/>
          <w:color w:val="000000" w:themeColor="text1"/>
          <w:szCs w:val="24"/>
          <w:lang w:val="cs-CZ" w:eastAsia="de-AT"/>
        </w:rPr>
        <w:t>y</w:t>
      </w:r>
      <w:r w:rsidRPr="0055589B">
        <w:rPr>
          <w:rFonts w:ascii="Arial" w:hAnsi="Arial" w:cs="Arial"/>
          <w:color w:val="000000" w:themeColor="text1"/>
          <w:szCs w:val="24"/>
          <w:lang w:val="cs-CZ" w:eastAsia="de-AT"/>
        </w:rPr>
        <w:t xml:space="preserve"> dosaženým</w:t>
      </w:r>
      <w:r w:rsidR="00B87B46" w:rsidRPr="0055589B">
        <w:rPr>
          <w:rFonts w:ascii="Arial" w:hAnsi="Arial" w:cs="Arial"/>
          <w:color w:val="000000" w:themeColor="text1"/>
          <w:szCs w:val="24"/>
          <w:lang w:val="cs-CZ" w:eastAsia="de-AT"/>
        </w:rPr>
        <w:t>i v průběhu pracovního poměru a nepředstavuje o</w:t>
      </w:r>
      <w:r w:rsidRPr="0055589B">
        <w:rPr>
          <w:rFonts w:ascii="Arial" w:hAnsi="Arial" w:cs="Arial"/>
          <w:color w:val="000000" w:themeColor="text1"/>
          <w:szCs w:val="24"/>
          <w:lang w:val="cs-CZ" w:eastAsia="de-AT"/>
        </w:rPr>
        <w:t>dměnu za selhání nebo pochybení.</w:t>
      </w:r>
    </w:p>
    <w:p w14:paraId="44D59D16" w14:textId="65E9593E" w:rsidR="00224561" w:rsidRPr="0055589B" w:rsidRDefault="00224561" w:rsidP="007F006A">
      <w:p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Odstupné může zahrnovat od</w:t>
      </w:r>
      <w:r w:rsidR="00107594" w:rsidRPr="0055589B">
        <w:rPr>
          <w:rFonts w:ascii="Arial" w:hAnsi="Arial" w:cs="Arial"/>
          <w:color w:val="000000" w:themeColor="text1"/>
          <w:szCs w:val="24"/>
          <w:lang w:val="cs-CZ" w:eastAsia="de-AT"/>
        </w:rPr>
        <w:t xml:space="preserve">škodnění </w:t>
      </w:r>
      <w:r w:rsidRPr="0055589B">
        <w:rPr>
          <w:rFonts w:ascii="Arial" w:hAnsi="Arial" w:cs="Arial"/>
          <w:color w:val="000000" w:themeColor="text1"/>
          <w:szCs w:val="24"/>
          <w:lang w:val="cs-CZ" w:eastAsia="de-AT"/>
        </w:rPr>
        <w:t xml:space="preserve">za ztrátu </w:t>
      </w:r>
      <w:r w:rsidR="00107594" w:rsidRPr="0055589B">
        <w:rPr>
          <w:rFonts w:ascii="Arial" w:hAnsi="Arial" w:cs="Arial"/>
          <w:color w:val="000000" w:themeColor="text1"/>
          <w:szCs w:val="24"/>
          <w:lang w:val="cs-CZ" w:eastAsia="de-AT"/>
        </w:rPr>
        <w:t xml:space="preserve">místa </w:t>
      </w:r>
      <w:r w:rsidRPr="0055589B">
        <w:rPr>
          <w:rFonts w:ascii="Arial" w:hAnsi="Arial" w:cs="Arial"/>
          <w:color w:val="000000" w:themeColor="text1"/>
          <w:szCs w:val="24"/>
          <w:lang w:val="cs-CZ" w:eastAsia="de-AT"/>
        </w:rPr>
        <w:t>a může být předmětem konkurenční doložk</w:t>
      </w:r>
      <w:r w:rsidR="00107594" w:rsidRPr="0055589B">
        <w:rPr>
          <w:rFonts w:ascii="Arial" w:hAnsi="Arial" w:cs="Arial"/>
          <w:color w:val="000000" w:themeColor="text1"/>
          <w:szCs w:val="24"/>
          <w:lang w:val="cs-CZ" w:eastAsia="de-AT"/>
        </w:rPr>
        <w:t>y</w:t>
      </w:r>
      <w:r w:rsidR="007B1DC5" w:rsidRPr="0055589B">
        <w:rPr>
          <w:rFonts w:ascii="Arial" w:hAnsi="Arial" w:cs="Arial"/>
          <w:color w:val="000000" w:themeColor="text1"/>
          <w:szCs w:val="24"/>
          <w:lang w:val="cs-CZ" w:eastAsia="de-AT"/>
        </w:rPr>
        <w:t xml:space="preserve"> v</w:t>
      </w:r>
      <w:r w:rsidRPr="0055589B">
        <w:rPr>
          <w:rFonts w:ascii="Arial" w:hAnsi="Arial" w:cs="Arial"/>
          <w:color w:val="000000" w:themeColor="text1"/>
          <w:szCs w:val="24"/>
          <w:lang w:val="cs-CZ" w:eastAsia="de-AT"/>
        </w:rPr>
        <w:t xml:space="preserve"> </w:t>
      </w:r>
      <w:r w:rsidR="00107594" w:rsidRPr="0055589B">
        <w:rPr>
          <w:rFonts w:ascii="Arial" w:hAnsi="Arial" w:cs="Arial"/>
          <w:color w:val="000000" w:themeColor="text1"/>
          <w:szCs w:val="24"/>
          <w:lang w:val="cs-CZ" w:eastAsia="de-AT"/>
        </w:rPr>
        <w:t xml:space="preserve">pracovní </w:t>
      </w:r>
      <w:r w:rsidRPr="0055589B">
        <w:rPr>
          <w:rFonts w:ascii="Arial" w:hAnsi="Arial" w:cs="Arial"/>
          <w:color w:val="000000" w:themeColor="text1"/>
          <w:szCs w:val="24"/>
          <w:lang w:val="cs-CZ" w:eastAsia="de-AT"/>
        </w:rPr>
        <w:t xml:space="preserve">smlouvě. </w:t>
      </w:r>
      <w:r w:rsidR="00107594" w:rsidRPr="0055589B">
        <w:rPr>
          <w:rFonts w:ascii="Arial" w:hAnsi="Arial" w:cs="Arial"/>
          <w:color w:val="000000" w:themeColor="text1"/>
          <w:szCs w:val="24"/>
          <w:lang w:val="cs-CZ" w:eastAsia="de-AT"/>
        </w:rPr>
        <w:t xml:space="preserve">Další platby hrazené z důvodu </w:t>
      </w:r>
      <w:r w:rsidRPr="0055589B">
        <w:rPr>
          <w:rFonts w:ascii="Arial" w:hAnsi="Arial" w:cs="Arial"/>
          <w:color w:val="000000" w:themeColor="text1"/>
          <w:szCs w:val="24"/>
          <w:lang w:val="cs-CZ" w:eastAsia="de-AT"/>
        </w:rPr>
        <w:t>předčasného ukončení smlouvy</w:t>
      </w:r>
      <w:r w:rsidR="00B97E32" w:rsidRPr="0055589B">
        <w:rPr>
          <w:rFonts w:ascii="Arial" w:hAnsi="Arial" w:cs="Arial"/>
          <w:color w:val="000000" w:themeColor="text1"/>
          <w:szCs w:val="24"/>
          <w:lang w:val="cs-CZ" w:eastAsia="de-AT"/>
        </w:rPr>
        <w:t xml:space="preserve"> by měly být za </w:t>
      </w:r>
      <w:r w:rsidRPr="0055589B">
        <w:rPr>
          <w:rFonts w:ascii="Arial" w:hAnsi="Arial" w:cs="Arial"/>
          <w:color w:val="000000" w:themeColor="text1"/>
          <w:szCs w:val="24"/>
          <w:lang w:val="cs-CZ" w:eastAsia="de-AT"/>
        </w:rPr>
        <w:t>odstupné</w:t>
      </w:r>
      <w:r w:rsidR="00B97E32" w:rsidRPr="0055589B">
        <w:rPr>
          <w:rFonts w:ascii="Arial" w:hAnsi="Arial" w:cs="Arial"/>
          <w:color w:val="000000" w:themeColor="text1"/>
          <w:szCs w:val="24"/>
          <w:lang w:val="cs-CZ" w:eastAsia="de-AT"/>
        </w:rPr>
        <w:t xml:space="preserve"> považovány zejména v následujících situacích</w:t>
      </w:r>
      <w:r w:rsidRPr="0055589B">
        <w:rPr>
          <w:rFonts w:ascii="Arial" w:hAnsi="Arial" w:cs="Arial"/>
          <w:color w:val="000000" w:themeColor="text1"/>
          <w:szCs w:val="24"/>
          <w:lang w:val="cs-CZ" w:eastAsia="de-AT"/>
        </w:rPr>
        <w:t>:</w:t>
      </w:r>
    </w:p>
    <w:p w14:paraId="51F838F2" w14:textId="55D82A25" w:rsidR="00224561" w:rsidRPr="0055589B" w:rsidRDefault="007B1DC5" w:rsidP="00224561">
      <w:pPr>
        <w:numPr>
          <w:ilvl w:val="0"/>
          <w:numId w:val="25"/>
        </w:num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i</w:t>
      </w:r>
      <w:r w:rsidR="003D20B3" w:rsidRPr="0055589B">
        <w:rPr>
          <w:rFonts w:ascii="Arial" w:hAnsi="Arial" w:cs="Arial"/>
          <w:color w:val="000000" w:themeColor="text1"/>
          <w:szCs w:val="24"/>
          <w:lang w:val="cs-CZ" w:eastAsia="de-AT"/>
        </w:rPr>
        <w:t>nstituce u</w:t>
      </w:r>
      <w:r w:rsidR="00224561" w:rsidRPr="0055589B">
        <w:rPr>
          <w:rFonts w:ascii="Arial" w:hAnsi="Arial" w:cs="Arial"/>
          <w:color w:val="000000" w:themeColor="text1"/>
          <w:szCs w:val="24"/>
          <w:lang w:val="cs-CZ" w:eastAsia="de-AT"/>
        </w:rPr>
        <w:t>končuje pracovní smlou</w:t>
      </w:r>
      <w:r w:rsidR="003D20B3" w:rsidRPr="0055589B">
        <w:rPr>
          <w:rFonts w:ascii="Arial" w:hAnsi="Arial" w:cs="Arial"/>
          <w:color w:val="000000" w:themeColor="text1"/>
          <w:szCs w:val="24"/>
          <w:lang w:val="cs-CZ" w:eastAsia="de-AT"/>
        </w:rPr>
        <w:t>vu</w:t>
      </w:r>
      <w:r w:rsidR="00224561" w:rsidRPr="0055589B">
        <w:rPr>
          <w:rFonts w:ascii="Arial" w:hAnsi="Arial" w:cs="Arial"/>
          <w:color w:val="000000" w:themeColor="text1"/>
          <w:szCs w:val="24"/>
          <w:lang w:val="cs-CZ" w:eastAsia="de-AT"/>
        </w:rPr>
        <w:t xml:space="preserve"> z důvodu </w:t>
      </w:r>
      <w:r w:rsidRPr="0055589B">
        <w:rPr>
          <w:rFonts w:ascii="Arial" w:hAnsi="Arial" w:cs="Arial"/>
          <w:color w:val="000000" w:themeColor="text1"/>
          <w:szCs w:val="24"/>
          <w:lang w:val="cs-CZ" w:eastAsia="de-AT"/>
        </w:rPr>
        <w:t>ukončení činnosti</w:t>
      </w:r>
      <w:r w:rsidR="00224561" w:rsidRPr="0055589B">
        <w:rPr>
          <w:rFonts w:ascii="Arial" w:hAnsi="Arial" w:cs="Arial"/>
          <w:color w:val="000000" w:themeColor="text1"/>
          <w:szCs w:val="24"/>
          <w:lang w:val="cs-CZ" w:eastAsia="de-AT"/>
        </w:rPr>
        <w:t xml:space="preserve"> instituce;</w:t>
      </w:r>
    </w:p>
    <w:p w14:paraId="3AAD8198" w14:textId="55366F7C" w:rsidR="00224561" w:rsidRPr="0055589B" w:rsidRDefault="00224561" w:rsidP="00224561">
      <w:pPr>
        <w:numPr>
          <w:ilvl w:val="0"/>
          <w:numId w:val="25"/>
        </w:num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lastRenderedPageBreak/>
        <w:t xml:space="preserve">instituce </w:t>
      </w:r>
      <w:r w:rsidR="003D20B3" w:rsidRPr="0055589B">
        <w:rPr>
          <w:rFonts w:ascii="Arial" w:hAnsi="Arial" w:cs="Arial"/>
          <w:color w:val="000000" w:themeColor="text1"/>
          <w:szCs w:val="24"/>
          <w:lang w:val="cs-CZ" w:eastAsia="de-AT"/>
        </w:rPr>
        <w:t xml:space="preserve">usiluje o ukončení smlouvy </w:t>
      </w:r>
      <w:r w:rsidR="00B42628" w:rsidRPr="0055589B">
        <w:rPr>
          <w:rFonts w:ascii="Arial" w:hAnsi="Arial" w:cs="Arial"/>
          <w:color w:val="000000" w:themeColor="text1"/>
          <w:szCs w:val="24"/>
          <w:lang w:val="cs-CZ" w:eastAsia="de-AT"/>
        </w:rPr>
        <w:t xml:space="preserve">na základě </w:t>
      </w:r>
      <w:r w:rsidRPr="0055589B">
        <w:rPr>
          <w:rFonts w:ascii="Arial" w:hAnsi="Arial" w:cs="Arial"/>
          <w:color w:val="000000" w:themeColor="text1"/>
          <w:szCs w:val="24"/>
          <w:lang w:val="cs-CZ" w:eastAsia="de-AT"/>
        </w:rPr>
        <w:t>podstatné</w:t>
      </w:r>
      <w:r w:rsidR="00B42628" w:rsidRPr="0055589B">
        <w:rPr>
          <w:rFonts w:ascii="Arial" w:hAnsi="Arial" w:cs="Arial"/>
          <w:color w:val="000000" w:themeColor="text1"/>
          <w:szCs w:val="24"/>
          <w:lang w:val="cs-CZ" w:eastAsia="de-AT"/>
        </w:rPr>
        <w:t>ho</w:t>
      </w:r>
      <w:r w:rsidRPr="0055589B">
        <w:rPr>
          <w:rFonts w:ascii="Arial" w:hAnsi="Arial" w:cs="Arial"/>
          <w:color w:val="000000" w:themeColor="text1"/>
          <w:szCs w:val="24"/>
          <w:lang w:val="cs-CZ" w:eastAsia="de-AT"/>
        </w:rPr>
        <w:t xml:space="preserve"> </w:t>
      </w:r>
      <w:r w:rsidR="00B42628" w:rsidRPr="0055589B">
        <w:rPr>
          <w:rFonts w:ascii="Arial" w:hAnsi="Arial" w:cs="Arial"/>
          <w:color w:val="000000" w:themeColor="text1"/>
          <w:szCs w:val="24"/>
          <w:lang w:val="cs-CZ" w:eastAsia="de-AT"/>
        </w:rPr>
        <w:t>zúžení č</w:t>
      </w:r>
      <w:r w:rsidRPr="0055589B">
        <w:rPr>
          <w:rFonts w:ascii="Arial" w:hAnsi="Arial" w:cs="Arial"/>
          <w:color w:val="000000" w:themeColor="text1"/>
          <w:szCs w:val="24"/>
          <w:lang w:val="cs-CZ" w:eastAsia="de-AT"/>
        </w:rPr>
        <w:t xml:space="preserve">inností instituce, </w:t>
      </w:r>
      <w:r w:rsidR="00B42628" w:rsidRPr="0055589B">
        <w:rPr>
          <w:rFonts w:ascii="Arial" w:hAnsi="Arial" w:cs="Arial"/>
          <w:color w:val="000000" w:themeColor="text1"/>
          <w:szCs w:val="24"/>
          <w:lang w:val="cs-CZ" w:eastAsia="de-AT"/>
        </w:rPr>
        <w:t xml:space="preserve">na níž se podílel </w:t>
      </w:r>
      <w:r w:rsidRPr="0055589B">
        <w:rPr>
          <w:rFonts w:ascii="Arial" w:hAnsi="Arial" w:cs="Arial"/>
          <w:color w:val="000000" w:themeColor="text1"/>
          <w:szCs w:val="24"/>
          <w:lang w:val="cs-CZ" w:eastAsia="de-AT"/>
        </w:rPr>
        <w:t>zaměstnanec nebo v nichž j</w:t>
      </w:r>
      <w:r w:rsidR="00B42628" w:rsidRPr="0055589B">
        <w:rPr>
          <w:rFonts w:ascii="Arial" w:hAnsi="Arial" w:cs="Arial"/>
          <w:color w:val="000000" w:themeColor="text1"/>
          <w:szCs w:val="24"/>
          <w:lang w:val="cs-CZ" w:eastAsia="de-AT"/>
        </w:rPr>
        <w:t>e</w:t>
      </w:r>
      <w:r w:rsidRPr="0055589B">
        <w:rPr>
          <w:rFonts w:ascii="Arial" w:hAnsi="Arial" w:cs="Arial"/>
          <w:color w:val="000000" w:themeColor="text1"/>
          <w:szCs w:val="24"/>
          <w:lang w:val="cs-CZ" w:eastAsia="de-AT"/>
        </w:rPr>
        <w:t xml:space="preserve"> podnikatelsk</w:t>
      </w:r>
      <w:r w:rsidR="00B42628" w:rsidRPr="0055589B">
        <w:rPr>
          <w:rFonts w:ascii="Arial" w:hAnsi="Arial" w:cs="Arial"/>
          <w:color w:val="000000" w:themeColor="text1"/>
          <w:szCs w:val="24"/>
          <w:lang w:val="cs-CZ" w:eastAsia="de-AT"/>
        </w:rPr>
        <w:t>ý</w:t>
      </w:r>
      <w:r w:rsidRPr="0055589B">
        <w:rPr>
          <w:rFonts w:ascii="Arial" w:hAnsi="Arial" w:cs="Arial"/>
          <w:color w:val="000000" w:themeColor="text1"/>
          <w:szCs w:val="24"/>
          <w:lang w:val="cs-CZ" w:eastAsia="de-AT"/>
        </w:rPr>
        <w:t xml:space="preserve"> prostor získán jinými institucemi bez možnosti, aby zaměstnanci zůstali zaměstnáni </w:t>
      </w:r>
      <w:r w:rsidR="00B42628" w:rsidRPr="0055589B">
        <w:rPr>
          <w:rFonts w:ascii="Arial" w:hAnsi="Arial" w:cs="Arial"/>
          <w:color w:val="000000" w:themeColor="text1"/>
          <w:szCs w:val="24"/>
          <w:lang w:val="cs-CZ" w:eastAsia="de-AT"/>
        </w:rPr>
        <w:t>nabývající</w:t>
      </w:r>
      <w:r w:rsidRPr="0055589B">
        <w:rPr>
          <w:rFonts w:ascii="Arial" w:hAnsi="Arial" w:cs="Arial"/>
          <w:color w:val="000000" w:themeColor="text1"/>
          <w:szCs w:val="24"/>
          <w:lang w:val="cs-CZ" w:eastAsia="de-AT"/>
        </w:rPr>
        <w:t xml:space="preserve"> instituce;</w:t>
      </w:r>
    </w:p>
    <w:p w14:paraId="2D516A5A" w14:textId="06504B07" w:rsidR="00224561" w:rsidRPr="0055589B" w:rsidRDefault="00224561" w:rsidP="00224561">
      <w:pPr>
        <w:numPr>
          <w:ilvl w:val="0"/>
          <w:numId w:val="25"/>
        </w:num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instituce a zaměstnanec se dohodnou na </w:t>
      </w:r>
      <w:r w:rsidR="00B42628" w:rsidRPr="0055589B">
        <w:rPr>
          <w:rFonts w:ascii="Arial" w:hAnsi="Arial" w:cs="Arial"/>
          <w:color w:val="000000" w:themeColor="text1"/>
          <w:szCs w:val="24"/>
          <w:lang w:val="cs-CZ" w:eastAsia="de-AT"/>
        </w:rPr>
        <w:t xml:space="preserve">smíru </w:t>
      </w:r>
      <w:r w:rsidRPr="0055589B">
        <w:rPr>
          <w:rFonts w:ascii="Arial" w:hAnsi="Arial" w:cs="Arial"/>
          <w:color w:val="000000" w:themeColor="text1"/>
          <w:szCs w:val="24"/>
          <w:lang w:val="cs-CZ" w:eastAsia="de-AT"/>
        </w:rPr>
        <w:t>v případě potenciálního nebo skutečného pracovn</w:t>
      </w:r>
      <w:r w:rsidR="00067398" w:rsidRPr="0055589B">
        <w:rPr>
          <w:rFonts w:ascii="Arial" w:hAnsi="Arial" w:cs="Arial"/>
          <w:color w:val="000000" w:themeColor="text1"/>
          <w:szCs w:val="24"/>
          <w:lang w:val="cs-CZ" w:eastAsia="de-AT"/>
        </w:rPr>
        <w:t xml:space="preserve">ěprávního </w:t>
      </w:r>
      <w:r w:rsidRPr="0055589B">
        <w:rPr>
          <w:rFonts w:ascii="Arial" w:hAnsi="Arial" w:cs="Arial"/>
          <w:color w:val="000000" w:themeColor="text1"/>
          <w:szCs w:val="24"/>
          <w:lang w:val="cs-CZ" w:eastAsia="de-AT"/>
        </w:rPr>
        <w:t>sporu</w:t>
      </w:r>
      <w:r w:rsidR="00067398" w:rsidRPr="0055589B">
        <w:rPr>
          <w:rFonts w:ascii="Arial" w:hAnsi="Arial" w:cs="Arial"/>
          <w:color w:val="000000" w:themeColor="text1"/>
          <w:szCs w:val="24"/>
          <w:lang w:val="cs-CZ" w:eastAsia="de-AT"/>
        </w:rPr>
        <w:t xml:space="preserve"> s cílem předejít r</w:t>
      </w:r>
      <w:r w:rsidRPr="0055589B">
        <w:rPr>
          <w:rFonts w:ascii="Arial" w:hAnsi="Arial" w:cs="Arial"/>
          <w:color w:val="000000" w:themeColor="text1"/>
          <w:szCs w:val="24"/>
          <w:lang w:val="cs-CZ" w:eastAsia="de-AT"/>
        </w:rPr>
        <w:t>ozhod</w:t>
      </w:r>
      <w:r w:rsidR="00067398" w:rsidRPr="0055589B">
        <w:rPr>
          <w:rFonts w:ascii="Arial" w:hAnsi="Arial" w:cs="Arial"/>
          <w:color w:val="000000" w:themeColor="text1"/>
          <w:szCs w:val="24"/>
          <w:lang w:val="cs-CZ" w:eastAsia="de-AT"/>
        </w:rPr>
        <w:t xml:space="preserve">ování o smíru u soudu. </w:t>
      </w:r>
    </w:p>
    <w:p w14:paraId="2769D923" w14:textId="17E43B65" w:rsidR="00224561" w:rsidRPr="0055589B" w:rsidRDefault="00224561" w:rsidP="007F006A">
      <w:p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Odstupné by měl</w:t>
      </w:r>
      <w:r w:rsidR="00067398" w:rsidRPr="0055589B">
        <w:rPr>
          <w:rFonts w:ascii="Arial" w:hAnsi="Arial" w:cs="Arial"/>
          <w:color w:val="000000" w:themeColor="text1"/>
          <w:szCs w:val="24"/>
          <w:lang w:val="cs-CZ" w:eastAsia="de-AT"/>
        </w:rPr>
        <w:t xml:space="preserve">o být považováno za variabilní </w:t>
      </w:r>
      <w:r w:rsidRPr="0055589B">
        <w:rPr>
          <w:rFonts w:ascii="Arial" w:hAnsi="Arial" w:cs="Arial"/>
          <w:color w:val="000000" w:themeColor="text1"/>
          <w:szCs w:val="24"/>
          <w:lang w:val="cs-CZ" w:eastAsia="de-AT"/>
        </w:rPr>
        <w:t xml:space="preserve">odměnu. Následující částky plateb </w:t>
      </w:r>
      <w:r w:rsidR="00322643" w:rsidRPr="0055589B">
        <w:rPr>
          <w:rFonts w:ascii="Arial" w:hAnsi="Arial" w:cs="Arial"/>
          <w:color w:val="000000" w:themeColor="text1"/>
          <w:szCs w:val="24"/>
          <w:lang w:val="cs-CZ" w:eastAsia="de-AT"/>
        </w:rPr>
        <w:t xml:space="preserve">odstupného </w:t>
      </w:r>
      <w:r w:rsidRPr="0055589B">
        <w:rPr>
          <w:rFonts w:ascii="Arial" w:hAnsi="Arial" w:cs="Arial"/>
          <w:color w:val="000000" w:themeColor="text1"/>
          <w:szCs w:val="24"/>
          <w:lang w:val="cs-CZ" w:eastAsia="de-AT"/>
        </w:rPr>
        <w:t>by neměly být brány v úvahu pro účely výpočtu poměru pevné a pohyblivé odměny a pro uplatnění odkladu a vyplacení v nástrojích:</w:t>
      </w:r>
    </w:p>
    <w:p w14:paraId="22BBD069" w14:textId="53DE8356" w:rsidR="00224561" w:rsidRPr="0055589B" w:rsidRDefault="00224561" w:rsidP="00224561">
      <w:pPr>
        <w:numPr>
          <w:ilvl w:val="0"/>
          <w:numId w:val="26"/>
        </w:num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platby odstupného </w:t>
      </w:r>
      <w:r w:rsidR="00545762" w:rsidRPr="0055589B">
        <w:rPr>
          <w:rFonts w:ascii="Arial" w:hAnsi="Arial" w:cs="Arial"/>
          <w:color w:val="000000" w:themeColor="text1"/>
          <w:szCs w:val="24"/>
          <w:lang w:val="cs-CZ" w:eastAsia="de-AT"/>
        </w:rPr>
        <w:t xml:space="preserve">povinné </w:t>
      </w:r>
      <w:r w:rsidRPr="0055589B">
        <w:rPr>
          <w:rFonts w:ascii="Arial" w:hAnsi="Arial" w:cs="Arial"/>
          <w:color w:val="000000" w:themeColor="text1"/>
          <w:szCs w:val="24"/>
          <w:lang w:val="cs-CZ" w:eastAsia="de-AT"/>
        </w:rPr>
        <w:t>podle vnitrostátního pracovního práva</w:t>
      </w:r>
      <w:r w:rsidR="003B3EC5" w:rsidRPr="0055589B">
        <w:rPr>
          <w:rFonts w:ascii="Arial" w:hAnsi="Arial" w:cs="Arial"/>
          <w:color w:val="000000" w:themeColor="text1"/>
          <w:szCs w:val="24"/>
          <w:lang w:val="cs-CZ" w:eastAsia="de-AT"/>
        </w:rPr>
        <w:t xml:space="preserve"> nebo podle </w:t>
      </w:r>
      <w:r w:rsidRPr="0055589B">
        <w:rPr>
          <w:rFonts w:ascii="Arial" w:hAnsi="Arial" w:cs="Arial"/>
          <w:color w:val="000000" w:themeColor="text1"/>
          <w:szCs w:val="24"/>
          <w:lang w:val="cs-CZ" w:eastAsia="de-AT"/>
        </w:rPr>
        <w:t>rozhodnutí soudu;</w:t>
      </w:r>
    </w:p>
    <w:p w14:paraId="1A370491" w14:textId="3BF654B2" w:rsidR="00224561" w:rsidRPr="0055589B" w:rsidRDefault="00224561" w:rsidP="00224561">
      <w:pPr>
        <w:numPr>
          <w:ilvl w:val="0"/>
          <w:numId w:val="26"/>
        </w:num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smíry </w:t>
      </w:r>
      <w:r w:rsidR="003B3EC5" w:rsidRPr="0055589B">
        <w:rPr>
          <w:rFonts w:ascii="Arial" w:hAnsi="Arial" w:cs="Arial"/>
          <w:color w:val="000000" w:themeColor="text1"/>
          <w:szCs w:val="24"/>
          <w:lang w:val="cs-CZ" w:eastAsia="de-AT"/>
        </w:rPr>
        <w:t xml:space="preserve">uzavřené v případě </w:t>
      </w:r>
      <w:r w:rsidRPr="0055589B">
        <w:rPr>
          <w:rFonts w:ascii="Arial" w:hAnsi="Arial" w:cs="Arial"/>
          <w:color w:val="000000" w:themeColor="text1"/>
          <w:szCs w:val="24"/>
          <w:lang w:val="cs-CZ" w:eastAsia="de-AT"/>
        </w:rPr>
        <w:t>ztrát</w:t>
      </w:r>
      <w:r w:rsidR="003B3EC5" w:rsidRPr="0055589B">
        <w:rPr>
          <w:rFonts w:ascii="Arial" w:hAnsi="Arial" w:cs="Arial"/>
          <w:color w:val="000000" w:themeColor="text1"/>
          <w:szCs w:val="24"/>
          <w:lang w:val="cs-CZ" w:eastAsia="de-AT"/>
        </w:rPr>
        <w:t>y</w:t>
      </w:r>
      <w:r w:rsidRPr="0055589B">
        <w:rPr>
          <w:rFonts w:ascii="Arial" w:hAnsi="Arial" w:cs="Arial"/>
          <w:color w:val="000000" w:themeColor="text1"/>
          <w:szCs w:val="24"/>
          <w:lang w:val="cs-CZ" w:eastAsia="de-AT"/>
        </w:rPr>
        <w:t xml:space="preserve"> funkce, pokud podléhají </w:t>
      </w:r>
      <w:r w:rsidR="003B3EC5" w:rsidRPr="0055589B">
        <w:rPr>
          <w:rFonts w:ascii="Arial" w:hAnsi="Arial" w:cs="Arial"/>
          <w:color w:val="000000" w:themeColor="text1"/>
          <w:szCs w:val="24"/>
          <w:lang w:val="cs-CZ" w:eastAsia="de-AT"/>
        </w:rPr>
        <w:t xml:space="preserve">doložce o zákazu konkurence </w:t>
      </w:r>
      <w:r w:rsidRPr="0055589B">
        <w:rPr>
          <w:rFonts w:ascii="Arial" w:hAnsi="Arial" w:cs="Arial"/>
          <w:color w:val="000000" w:themeColor="text1"/>
          <w:szCs w:val="24"/>
          <w:lang w:val="cs-CZ" w:eastAsia="de-AT"/>
        </w:rPr>
        <w:t>(</w:t>
      </w:r>
      <w:r w:rsidR="003B3EC5" w:rsidRPr="0055589B">
        <w:rPr>
          <w:rFonts w:ascii="Arial" w:hAnsi="Arial" w:cs="Arial"/>
          <w:color w:val="000000" w:themeColor="text1"/>
          <w:szCs w:val="24"/>
          <w:lang w:val="cs-CZ" w:eastAsia="de-AT"/>
        </w:rPr>
        <w:t>„volno na zahradničení“</w:t>
      </w:r>
      <w:r w:rsidRPr="0055589B">
        <w:rPr>
          <w:rFonts w:ascii="Arial" w:hAnsi="Arial" w:cs="Arial"/>
          <w:color w:val="000000" w:themeColor="text1"/>
          <w:szCs w:val="24"/>
          <w:lang w:val="cs-CZ" w:eastAsia="de-AT"/>
        </w:rPr>
        <w:t>)</w:t>
      </w:r>
      <w:r w:rsidR="003B3EC5" w:rsidRPr="0055589B">
        <w:rPr>
          <w:rFonts w:ascii="Arial" w:hAnsi="Arial" w:cs="Arial"/>
          <w:color w:val="000000" w:themeColor="text1"/>
          <w:szCs w:val="24"/>
          <w:lang w:val="cs-CZ" w:eastAsia="de-AT"/>
        </w:rPr>
        <w:t xml:space="preserve"> obsažené ve </w:t>
      </w:r>
      <w:r w:rsidRPr="0055589B">
        <w:rPr>
          <w:rFonts w:ascii="Arial" w:hAnsi="Arial" w:cs="Arial"/>
          <w:color w:val="000000" w:themeColor="text1"/>
          <w:szCs w:val="24"/>
          <w:lang w:val="cs-CZ" w:eastAsia="de-AT"/>
        </w:rPr>
        <w:t xml:space="preserve">smlouvě a </w:t>
      </w:r>
      <w:r w:rsidR="003B3EC5" w:rsidRPr="0055589B">
        <w:rPr>
          <w:rFonts w:ascii="Arial" w:hAnsi="Arial" w:cs="Arial"/>
          <w:color w:val="000000" w:themeColor="text1"/>
          <w:szCs w:val="24"/>
          <w:lang w:val="cs-CZ" w:eastAsia="de-AT"/>
        </w:rPr>
        <w:t xml:space="preserve">jsou </w:t>
      </w:r>
      <w:r w:rsidRPr="0055589B">
        <w:rPr>
          <w:rFonts w:ascii="Arial" w:hAnsi="Arial" w:cs="Arial"/>
          <w:color w:val="000000" w:themeColor="text1"/>
          <w:szCs w:val="24"/>
          <w:lang w:val="cs-CZ" w:eastAsia="de-AT"/>
        </w:rPr>
        <w:t>vyplác</w:t>
      </w:r>
      <w:r w:rsidR="003B3EC5" w:rsidRPr="0055589B">
        <w:rPr>
          <w:rFonts w:ascii="Arial" w:hAnsi="Arial" w:cs="Arial"/>
          <w:color w:val="000000" w:themeColor="text1"/>
          <w:szCs w:val="24"/>
          <w:lang w:val="cs-CZ" w:eastAsia="de-AT"/>
        </w:rPr>
        <w:t xml:space="preserve">eny </w:t>
      </w:r>
      <w:r w:rsidRPr="0055589B">
        <w:rPr>
          <w:rFonts w:ascii="Arial" w:hAnsi="Arial" w:cs="Arial"/>
          <w:color w:val="000000" w:themeColor="text1"/>
          <w:szCs w:val="24"/>
          <w:lang w:val="cs-CZ" w:eastAsia="de-AT"/>
        </w:rPr>
        <w:t>v budoucích obdobích až do výše p</w:t>
      </w:r>
      <w:r w:rsidR="003B3EC5" w:rsidRPr="0055589B">
        <w:rPr>
          <w:rFonts w:ascii="Arial" w:hAnsi="Arial" w:cs="Arial"/>
          <w:color w:val="000000" w:themeColor="text1"/>
          <w:szCs w:val="24"/>
          <w:lang w:val="cs-CZ" w:eastAsia="de-AT"/>
        </w:rPr>
        <w:t xml:space="preserve">evně stanovené </w:t>
      </w:r>
      <w:r w:rsidRPr="0055589B">
        <w:rPr>
          <w:rFonts w:ascii="Arial" w:hAnsi="Arial" w:cs="Arial"/>
          <w:color w:val="000000" w:themeColor="text1"/>
          <w:szCs w:val="24"/>
          <w:lang w:val="cs-CZ" w:eastAsia="de-AT"/>
        </w:rPr>
        <w:t xml:space="preserve">odměny, která by byla </w:t>
      </w:r>
      <w:r w:rsidR="003B3EC5" w:rsidRPr="0055589B">
        <w:rPr>
          <w:rFonts w:ascii="Arial" w:hAnsi="Arial" w:cs="Arial"/>
          <w:color w:val="000000" w:themeColor="text1"/>
          <w:szCs w:val="24"/>
          <w:lang w:val="cs-CZ" w:eastAsia="de-AT"/>
        </w:rPr>
        <w:t>vy</w:t>
      </w:r>
      <w:r w:rsidRPr="0055589B">
        <w:rPr>
          <w:rFonts w:ascii="Arial" w:hAnsi="Arial" w:cs="Arial"/>
          <w:color w:val="000000" w:themeColor="text1"/>
          <w:szCs w:val="24"/>
          <w:lang w:val="cs-CZ" w:eastAsia="de-AT"/>
        </w:rPr>
        <w:t>placena za období</w:t>
      </w:r>
      <w:r w:rsidR="003B3EC5" w:rsidRPr="0055589B">
        <w:rPr>
          <w:rFonts w:ascii="Arial" w:hAnsi="Arial" w:cs="Arial"/>
          <w:color w:val="000000" w:themeColor="text1"/>
          <w:szCs w:val="24"/>
          <w:lang w:val="cs-CZ" w:eastAsia="de-AT"/>
        </w:rPr>
        <w:t xml:space="preserve">, na něž se vztahuje doložka o zákazu konkurence, </w:t>
      </w:r>
      <w:r w:rsidRPr="0055589B">
        <w:rPr>
          <w:rFonts w:ascii="Arial" w:hAnsi="Arial" w:cs="Arial"/>
          <w:color w:val="000000" w:themeColor="text1"/>
          <w:szCs w:val="24"/>
          <w:lang w:val="cs-CZ" w:eastAsia="de-AT"/>
        </w:rPr>
        <w:t xml:space="preserve">pokud </w:t>
      </w:r>
      <w:r w:rsidR="003B3EC5" w:rsidRPr="0055589B">
        <w:rPr>
          <w:rFonts w:ascii="Arial" w:hAnsi="Arial" w:cs="Arial"/>
          <w:color w:val="000000" w:themeColor="text1"/>
          <w:szCs w:val="24"/>
          <w:lang w:val="cs-CZ" w:eastAsia="de-AT"/>
        </w:rPr>
        <w:t xml:space="preserve">by byl pracovník stále </w:t>
      </w:r>
      <w:r w:rsidRPr="0055589B">
        <w:rPr>
          <w:rFonts w:ascii="Arial" w:hAnsi="Arial" w:cs="Arial"/>
          <w:color w:val="000000" w:themeColor="text1"/>
          <w:szCs w:val="24"/>
          <w:lang w:val="cs-CZ" w:eastAsia="de-AT"/>
        </w:rPr>
        <w:t>zaměstnán;</w:t>
      </w:r>
    </w:p>
    <w:p w14:paraId="4BB6FFE6" w14:textId="59B42748" w:rsidR="00224561" w:rsidRPr="0055589B" w:rsidRDefault="00224561" w:rsidP="00224561">
      <w:pPr>
        <w:numPr>
          <w:ilvl w:val="0"/>
          <w:numId w:val="26"/>
        </w:num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odstupné, které nesplňuj</w:t>
      </w:r>
      <w:r w:rsidR="003B3EC5" w:rsidRPr="0055589B">
        <w:rPr>
          <w:rFonts w:ascii="Arial" w:hAnsi="Arial" w:cs="Arial"/>
          <w:color w:val="000000" w:themeColor="text1"/>
          <w:szCs w:val="24"/>
          <w:lang w:val="cs-CZ" w:eastAsia="de-AT"/>
        </w:rPr>
        <w:t>e</w:t>
      </w:r>
      <w:r w:rsidRPr="0055589B">
        <w:rPr>
          <w:rFonts w:ascii="Arial" w:hAnsi="Arial" w:cs="Arial"/>
          <w:color w:val="000000" w:themeColor="text1"/>
          <w:szCs w:val="24"/>
          <w:lang w:val="cs-CZ" w:eastAsia="de-AT"/>
        </w:rPr>
        <w:t xml:space="preserve"> podmínku </w:t>
      </w:r>
      <w:r w:rsidR="003B3EC5" w:rsidRPr="0055589B">
        <w:rPr>
          <w:rFonts w:ascii="Arial" w:hAnsi="Arial" w:cs="Arial"/>
          <w:color w:val="000000" w:themeColor="text1"/>
          <w:szCs w:val="24"/>
          <w:lang w:val="cs-CZ" w:eastAsia="de-AT"/>
        </w:rPr>
        <w:t xml:space="preserve">uvedenou pod písm. (a) </w:t>
      </w:r>
      <w:r w:rsidRPr="0055589B">
        <w:rPr>
          <w:rFonts w:ascii="Arial" w:hAnsi="Arial" w:cs="Arial"/>
          <w:color w:val="000000" w:themeColor="text1"/>
          <w:szCs w:val="24"/>
          <w:lang w:val="cs-CZ" w:eastAsia="de-AT"/>
        </w:rPr>
        <w:t xml:space="preserve">tohoto odstavce, pokud </w:t>
      </w:r>
      <w:r w:rsidR="003B3EC5" w:rsidRPr="0055589B">
        <w:rPr>
          <w:rFonts w:ascii="Arial" w:hAnsi="Arial" w:cs="Arial"/>
          <w:color w:val="000000" w:themeColor="text1"/>
          <w:szCs w:val="24"/>
          <w:lang w:val="cs-CZ" w:eastAsia="de-AT"/>
        </w:rPr>
        <w:t xml:space="preserve">instituce příslušnému orgánu doložila </w:t>
      </w:r>
      <w:r w:rsidRPr="0055589B">
        <w:rPr>
          <w:rFonts w:ascii="Arial" w:hAnsi="Arial" w:cs="Arial"/>
          <w:color w:val="000000" w:themeColor="text1"/>
          <w:szCs w:val="24"/>
          <w:lang w:val="cs-CZ" w:eastAsia="de-AT"/>
        </w:rPr>
        <w:t>důvody a vhodnost výše odstupného.</w:t>
      </w:r>
    </w:p>
    <w:p w14:paraId="4683F07F" w14:textId="19BE9F37" w:rsidR="00224561" w:rsidRPr="0055589B" w:rsidRDefault="00224561" w:rsidP="007F006A">
      <w:p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Pravideln</w:t>
      </w:r>
      <w:r w:rsidR="003B3EC5" w:rsidRPr="0055589B">
        <w:rPr>
          <w:rFonts w:ascii="Arial" w:hAnsi="Arial" w:cs="Arial"/>
          <w:color w:val="000000" w:themeColor="text1"/>
          <w:szCs w:val="24"/>
          <w:lang w:val="cs-CZ" w:eastAsia="de-AT"/>
        </w:rPr>
        <w:t>ě vyplácené</w:t>
      </w:r>
      <w:r w:rsidRPr="0055589B">
        <w:rPr>
          <w:rFonts w:ascii="Arial" w:hAnsi="Arial" w:cs="Arial"/>
          <w:color w:val="000000" w:themeColor="text1"/>
          <w:szCs w:val="24"/>
          <w:lang w:val="cs-CZ" w:eastAsia="de-AT"/>
        </w:rPr>
        <w:t xml:space="preserve"> odměn</w:t>
      </w:r>
      <w:r w:rsidR="003B3EC5" w:rsidRPr="0055589B">
        <w:rPr>
          <w:rFonts w:ascii="Arial" w:hAnsi="Arial" w:cs="Arial"/>
          <w:color w:val="000000" w:themeColor="text1"/>
          <w:szCs w:val="24"/>
          <w:lang w:val="cs-CZ" w:eastAsia="de-AT"/>
        </w:rPr>
        <w:t>y</w:t>
      </w:r>
      <w:r w:rsidRPr="0055589B">
        <w:rPr>
          <w:rFonts w:ascii="Arial" w:hAnsi="Arial" w:cs="Arial"/>
          <w:color w:val="000000" w:themeColor="text1"/>
          <w:szCs w:val="24"/>
          <w:lang w:val="cs-CZ" w:eastAsia="de-AT"/>
        </w:rPr>
        <w:t xml:space="preserve"> </w:t>
      </w:r>
      <w:r w:rsidR="003B3EC5" w:rsidRPr="0055589B">
        <w:rPr>
          <w:rFonts w:ascii="Arial" w:hAnsi="Arial" w:cs="Arial"/>
          <w:color w:val="000000" w:themeColor="text1"/>
          <w:szCs w:val="24"/>
          <w:lang w:val="cs-CZ" w:eastAsia="de-AT"/>
        </w:rPr>
        <w:t xml:space="preserve">související s délkou </w:t>
      </w:r>
      <w:r w:rsidRPr="0055589B">
        <w:rPr>
          <w:rFonts w:ascii="Arial" w:hAnsi="Arial" w:cs="Arial"/>
          <w:color w:val="000000" w:themeColor="text1"/>
          <w:szCs w:val="24"/>
          <w:lang w:val="cs-CZ" w:eastAsia="de-AT"/>
        </w:rPr>
        <w:t>výpovědní doby se za odstupné</w:t>
      </w:r>
      <w:r w:rsidR="003B3EC5" w:rsidRPr="0055589B">
        <w:rPr>
          <w:rFonts w:ascii="Arial" w:hAnsi="Arial" w:cs="Arial"/>
          <w:color w:val="000000" w:themeColor="text1"/>
          <w:szCs w:val="24"/>
          <w:lang w:val="cs-CZ" w:eastAsia="de-AT"/>
        </w:rPr>
        <w:t xml:space="preserve"> nepovažují</w:t>
      </w:r>
      <w:r w:rsidRPr="0055589B">
        <w:rPr>
          <w:rFonts w:ascii="Arial" w:hAnsi="Arial" w:cs="Arial"/>
          <w:color w:val="000000" w:themeColor="text1"/>
          <w:szCs w:val="24"/>
          <w:lang w:val="cs-CZ" w:eastAsia="de-AT"/>
        </w:rPr>
        <w:t>.</w:t>
      </w:r>
    </w:p>
    <w:p w14:paraId="4EAE1F16" w14:textId="77777777" w:rsidR="00224561" w:rsidRPr="0055589B" w:rsidRDefault="00224561" w:rsidP="006033BF">
      <w:pPr>
        <w:pStyle w:val="Nadpis2"/>
        <w:rPr>
          <w:rFonts w:eastAsia="Times New Roman"/>
          <w:color w:val="000000" w:themeColor="text1"/>
          <w:lang w:val="cs-CZ"/>
        </w:rPr>
      </w:pPr>
      <w:bookmarkStart w:id="33" w:name="_Toc108689201"/>
      <w:r w:rsidRPr="0055589B">
        <w:rPr>
          <w:color w:val="000000" w:themeColor="text1"/>
          <w:lang w:val="cs-CZ"/>
        </w:rPr>
        <w:t>Zásada proporcionality</w:t>
      </w:r>
      <w:bookmarkEnd w:id="33"/>
    </w:p>
    <w:p w14:paraId="08EB7EDD" w14:textId="54F0CA4D"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InvFG 2011 a AIFMG umožňují správcovským společnostem uplatňovat </w:t>
      </w:r>
      <w:r w:rsidR="0042437E" w:rsidRPr="0055589B">
        <w:rPr>
          <w:rFonts w:ascii="Arial" w:hAnsi="Arial" w:cs="Arial"/>
          <w:color w:val="000000" w:themeColor="text1"/>
          <w:szCs w:val="24"/>
          <w:lang w:val="cs-CZ" w:eastAsia="de-AT"/>
        </w:rPr>
        <w:t xml:space="preserve">při aplikaci </w:t>
      </w:r>
      <w:r w:rsidRPr="0055589B">
        <w:rPr>
          <w:rFonts w:ascii="Arial" w:hAnsi="Arial" w:cs="Arial"/>
          <w:color w:val="000000" w:themeColor="text1"/>
          <w:szCs w:val="24"/>
          <w:lang w:val="cs-CZ" w:eastAsia="de-AT"/>
        </w:rPr>
        <w:t>regulačních požadavků souvisejících s odměňováním</w:t>
      </w:r>
      <w:r w:rsidR="0042437E" w:rsidRPr="0055589B">
        <w:rPr>
          <w:rFonts w:ascii="Arial" w:hAnsi="Arial" w:cs="Arial"/>
          <w:color w:val="000000" w:themeColor="text1"/>
          <w:szCs w:val="24"/>
          <w:lang w:val="cs-CZ" w:eastAsia="de-AT"/>
        </w:rPr>
        <w:t xml:space="preserve"> zásadu proporcionality</w:t>
      </w:r>
      <w:r w:rsidRPr="0055589B">
        <w:rPr>
          <w:rFonts w:ascii="Arial" w:hAnsi="Arial" w:cs="Arial"/>
          <w:color w:val="000000" w:themeColor="text1"/>
          <w:szCs w:val="24"/>
          <w:lang w:val="cs-CZ" w:eastAsia="de-AT"/>
        </w:rPr>
        <w:t xml:space="preserve">. </w:t>
      </w:r>
    </w:p>
    <w:p w14:paraId="4D6E9F07" w14:textId="03DF2CB7"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Společnost se rozhodla zásad</w:t>
      </w:r>
      <w:r w:rsidR="0042437E" w:rsidRPr="0055589B">
        <w:rPr>
          <w:rFonts w:ascii="Arial" w:hAnsi="Arial" w:cs="Arial"/>
          <w:color w:val="000000" w:themeColor="text1"/>
          <w:szCs w:val="24"/>
          <w:lang w:val="cs-CZ" w:eastAsia="de-AT"/>
        </w:rPr>
        <w:t>u</w:t>
      </w:r>
      <w:r w:rsidRPr="0055589B">
        <w:rPr>
          <w:rFonts w:ascii="Arial" w:hAnsi="Arial" w:cs="Arial"/>
          <w:color w:val="000000" w:themeColor="text1"/>
          <w:szCs w:val="24"/>
          <w:lang w:val="cs-CZ" w:eastAsia="de-AT"/>
        </w:rPr>
        <w:t xml:space="preserve"> proporcionality</w:t>
      </w:r>
      <w:r w:rsidR="0042437E" w:rsidRPr="0055589B">
        <w:rPr>
          <w:rFonts w:ascii="Arial" w:hAnsi="Arial" w:cs="Arial"/>
          <w:color w:val="000000" w:themeColor="text1"/>
          <w:szCs w:val="24"/>
          <w:lang w:val="cs-CZ" w:eastAsia="de-AT"/>
        </w:rPr>
        <w:t xml:space="preserve"> neuplatňovat</w:t>
      </w:r>
      <w:r w:rsidRPr="0055589B">
        <w:rPr>
          <w:rFonts w:ascii="Arial" w:hAnsi="Arial" w:cs="Arial"/>
          <w:color w:val="000000" w:themeColor="text1"/>
          <w:szCs w:val="24"/>
          <w:lang w:val="cs-CZ" w:eastAsia="de-AT"/>
        </w:rPr>
        <w:t>.</w:t>
      </w:r>
    </w:p>
    <w:p w14:paraId="27D7B8F8" w14:textId="77777777" w:rsidR="00224561" w:rsidRPr="0055589B" w:rsidRDefault="00224561" w:rsidP="006033BF">
      <w:pPr>
        <w:pStyle w:val="Nadpis2"/>
        <w:rPr>
          <w:rFonts w:eastAsia="Times New Roman"/>
          <w:color w:val="000000" w:themeColor="text1"/>
          <w:lang w:val="cs-CZ"/>
        </w:rPr>
      </w:pPr>
      <w:bookmarkStart w:id="34" w:name="_Toc108689202"/>
      <w:r w:rsidRPr="0055589B">
        <w:rPr>
          <w:color w:val="000000" w:themeColor="text1"/>
          <w:lang w:val="cs-CZ"/>
        </w:rPr>
        <w:t>Zveřejňování informací</w:t>
      </w:r>
      <w:bookmarkEnd w:id="34"/>
    </w:p>
    <w:p w14:paraId="19DFCB60" w14:textId="66F178F8"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Společnost zveřejň</w:t>
      </w:r>
      <w:r w:rsidR="0042437E" w:rsidRPr="0055589B">
        <w:rPr>
          <w:rFonts w:ascii="Arial" w:hAnsi="Arial" w:cs="Arial"/>
          <w:color w:val="000000" w:themeColor="text1"/>
          <w:szCs w:val="24"/>
          <w:lang w:val="cs-CZ" w:eastAsia="de-AT"/>
        </w:rPr>
        <w:t>uje</w:t>
      </w:r>
      <w:r w:rsidRPr="0055589B">
        <w:rPr>
          <w:rFonts w:ascii="Arial" w:hAnsi="Arial" w:cs="Arial"/>
          <w:color w:val="000000" w:themeColor="text1"/>
          <w:szCs w:val="24"/>
          <w:lang w:val="cs-CZ" w:eastAsia="de-AT"/>
        </w:rPr>
        <w:t xml:space="preserve"> následující informace o zásadách a postupech odměňování v rámci svých výročních zpráv nebo v samostatném dokumentu:</w:t>
      </w:r>
    </w:p>
    <w:p w14:paraId="3989EE14" w14:textId="1245C6CB" w:rsidR="00224561" w:rsidRPr="0055589B" w:rsidRDefault="00D445A7" w:rsidP="00224561">
      <w:pPr>
        <w:numPr>
          <w:ilvl w:val="0"/>
          <w:numId w:val="8"/>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c</w:t>
      </w:r>
      <w:r w:rsidR="00224561" w:rsidRPr="0055589B">
        <w:rPr>
          <w:rFonts w:ascii="Arial" w:hAnsi="Arial" w:cs="Arial"/>
          <w:color w:val="000000" w:themeColor="text1"/>
          <w:lang w:val="cs-CZ" w:eastAsia="de-AT"/>
        </w:rPr>
        <w:t xml:space="preserve">elková částka </w:t>
      </w:r>
      <w:r w:rsidR="00203905" w:rsidRPr="0055589B">
        <w:rPr>
          <w:rFonts w:ascii="Arial" w:hAnsi="Arial" w:cs="Arial"/>
          <w:color w:val="000000" w:themeColor="text1"/>
          <w:lang w:val="cs-CZ" w:eastAsia="de-AT"/>
        </w:rPr>
        <w:t xml:space="preserve">vyplacená na </w:t>
      </w:r>
      <w:r w:rsidR="00224561" w:rsidRPr="0055589B">
        <w:rPr>
          <w:rFonts w:ascii="Arial" w:hAnsi="Arial" w:cs="Arial"/>
          <w:color w:val="000000" w:themeColor="text1"/>
          <w:lang w:val="cs-CZ" w:eastAsia="de-AT"/>
        </w:rPr>
        <w:t xml:space="preserve">odměny za </w:t>
      </w:r>
      <w:r w:rsidR="00203905" w:rsidRPr="0055589B">
        <w:rPr>
          <w:rFonts w:ascii="Arial" w:hAnsi="Arial" w:cs="Arial"/>
          <w:color w:val="000000" w:themeColor="text1"/>
          <w:lang w:val="cs-CZ" w:eastAsia="de-AT"/>
        </w:rPr>
        <w:t>finanční rok</w:t>
      </w:r>
      <w:r w:rsidR="00224561" w:rsidRPr="0055589B">
        <w:rPr>
          <w:rFonts w:ascii="Arial" w:hAnsi="Arial" w:cs="Arial"/>
          <w:color w:val="000000" w:themeColor="text1"/>
          <w:lang w:val="cs-CZ" w:eastAsia="de-AT"/>
        </w:rPr>
        <w:t xml:space="preserve">, rozdělená na pevnou a pohyblivou </w:t>
      </w:r>
      <w:r w:rsidR="00203905" w:rsidRPr="0055589B">
        <w:rPr>
          <w:rFonts w:ascii="Arial" w:hAnsi="Arial" w:cs="Arial"/>
          <w:color w:val="000000" w:themeColor="text1"/>
          <w:lang w:val="cs-CZ" w:eastAsia="de-AT"/>
        </w:rPr>
        <w:t>složku</w:t>
      </w:r>
      <w:r w:rsidR="00224561" w:rsidRPr="0055589B">
        <w:rPr>
          <w:rFonts w:ascii="Arial" w:hAnsi="Arial" w:cs="Arial"/>
          <w:color w:val="000000" w:themeColor="text1"/>
          <w:lang w:val="cs-CZ" w:eastAsia="de-AT"/>
        </w:rPr>
        <w:t xml:space="preserve">, kterou společnost </w:t>
      </w:r>
      <w:r w:rsidR="00203905" w:rsidRPr="0055589B">
        <w:rPr>
          <w:rFonts w:ascii="Arial" w:hAnsi="Arial" w:cs="Arial"/>
          <w:color w:val="000000" w:themeColor="text1"/>
          <w:lang w:val="cs-CZ" w:eastAsia="de-AT"/>
        </w:rPr>
        <w:t>vy</w:t>
      </w:r>
      <w:r w:rsidR="00224561" w:rsidRPr="0055589B">
        <w:rPr>
          <w:rFonts w:ascii="Arial" w:hAnsi="Arial" w:cs="Arial"/>
          <w:color w:val="000000" w:themeColor="text1"/>
          <w:lang w:val="cs-CZ" w:eastAsia="de-AT"/>
        </w:rPr>
        <w:t>platila svým zaměstnancům</w:t>
      </w:r>
      <w:r w:rsidR="00203905" w:rsidRPr="0055589B">
        <w:rPr>
          <w:rFonts w:ascii="Arial" w:hAnsi="Arial" w:cs="Arial"/>
          <w:color w:val="000000" w:themeColor="text1"/>
          <w:lang w:val="cs-CZ" w:eastAsia="de-AT"/>
        </w:rPr>
        <w:t>,</w:t>
      </w:r>
      <w:r w:rsidR="00224561" w:rsidRPr="0055589B">
        <w:rPr>
          <w:rFonts w:ascii="Arial" w:hAnsi="Arial" w:cs="Arial"/>
          <w:color w:val="000000" w:themeColor="text1"/>
          <w:lang w:val="cs-CZ" w:eastAsia="de-AT"/>
        </w:rPr>
        <w:t xml:space="preserve"> a počet příjemců</w:t>
      </w:r>
      <w:r w:rsidR="00203905" w:rsidRPr="0055589B">
        <w:rPr>
          <w:rFonts w:ascii="Arial" w:hAnsi="Arial" w:cs="Arial"/>
          <w:color w:val="000000" w:themeColor="text1"/>
          <w:lang w:val="cs-CZ" w:eastAsia="de-AT"/>
        </w:rPr>
        <w:t xml:space="preserve">, </w:t>
      </w:r>
      <w:r w:rsidRPr="0055589B">
        <w:rPr>
          <w:rFonts w:ascii="Arial" w:hAnsi="Arial" w:cs="Arial"/>
          <w:color w:val="000000" w:themeColor="text1"/>
          <w:lang w:val="cs-CZ" w:eastAsia="de-AT"/>
        </w:rPr>
        <w:t xml:space="preserve">a </w:t>
      </w:r>
      <w:r w:rsidR="00224561" w:rsidRPr="0055589B">
        <w:rPr>
          <w:rFonts w:ascii="Arial" w:hAnsi="Arial" w:cs="Arial"/>
          <w:color w:val="000000" w:themeColor="text1"/>
          <w:lang w:val="cs-CZ" w:eastAsia="de-AT"/>
        </w:rPr>
        <w:t>případně</w:t>
      </w:r>
      <w:r w:rsidRPr="0055589B">
        <w:rPr>
          <w:rFonts w:ascii="Arial" w:hAnsi="Arial" w:cs="Arial"/>
          <w:color w:val="000000" w:themeColor="text1"/>
          <w:lang w:val="cs-CZ" w:eastAsia="de-AT"/>
        </w:rPr>
        <w:t xml:space="preserve"> uhrazené úroky a </w:t>
      </w:r>
      <w:r w:rsidR="00224561" w:rsidRPr="0055589B">
        <w:rPr>
          <w:rFonts w:ascii="Arial" w:hAnsi="Arial" w:cs="Arial"/>
          <w:color w:val="000000" w:themeColor="text1"/>
          <w:lang w:val="cs-CZ" w:eastAsia="de-AT"/>
        </w:rPr>
        <w:t xml:space="preserve">poplatky </w:t>
      </w:r>
      <w:r w:rsidRPr="0055589B">
        <w:rPr>
          <w:rFonts w:ascii="Arial" w:hAnsi="Arial" w:cs="Arial"/>
          <w:color w:val="000000" w:themeColor="text1"/>
          <w:lang w:val="cs-CZ" w:eastAsia="de-AT"/>
        </w:rPr>
        <w:t xml:space="preserve">za výkony </w:t>
      </w:r>
      <w:r w:rsidR="00224561" w:rsidRPr="0055589B">
        <w:rPr>
          <w:rFonts w:ascii="Arial" w:hAnsi="Arial" w:cs="Arial"/>
          <w:color w:val="000000" w:themeColor="text1"/>
          <w:lang w:val="cs-CZ" w:eastAsia="de-AT"/>
        </w:rPr>
        <w:t>placené investičními fondy;</w:t>
      </w:r>
    </w:p>
    <w:p w14:paraId="7B7F44B0" w14:textId="583B5223" w:rsidR="00224561" w:rsidRPr="0055589B" w:rsidRDefault="00D445A7" w:rsidP="00224561">
      <w:pPr>
        <w:numPr>
          <w:ilvl w:val="0"/>
          <w:numId w:val="8"/>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c</w:t>
      </w:r>
      <w:r w:rsidR="00224561" w:rsidRPr="0055589B">
        <w:rPr>
          <w:rFonts w:ascii="Arial" w:hAnsi="Arial" w:cs="Arial"/>
          <w:color w:val="000000" w:themeColor="text1"/>
          <w:lang w:val="cs-CZ" w:eastAsia="de-AT"/>
        </w:rPr>
        <w:t xml:space="preserve">elková výše odměn v členění na ty zaměstnance </w:t>
      </w:r>
      <w:r w:rsidRPr="0055589B">
        <w:rPr>
          <w:rFonts w:ascii="Arial" w:hAnsi="Arial" w:cs="Arial"/>
          <w:color w:val="000000" w:themeColor="text1"/>
          <w:lang w:val="cs-CZ" w:eastAsia="de-AT"/>
        </w:rPr>
        <w:t>(</w:t>
      </w:r>
      <w:r w:rsidR="00224561" w:rsidRPr="0055589B">
        <w:rPr>
          <w:rFonts w:ascii="Arial" w:hAnsi="Arial" w:cs="Arial"/>
          <w:color w:val="000000" w:themeColor="text1"/>
          <w:lang w:val="cs-CZ" w:eastAsia="de-AT"/>
        </w:rPr>
        <w:t xml:space="preserve">včetně všech členů </w:t>
      </w:r>
      <w:r w:rsidR="007E4DE3" w:rsidRPr="0055589B">
        <w:rPr>
          <w:rFonts w:ascii="Arial" w:hAnsi="Arial" w:cs="Arial"/>
          <w:color w:val="000000" w:themeColor="text1"/>
          <w:lang w:val="cs-CZ" w:eastAsia="de-AT"/>
        </w:rPr>
        <w:t>Představenst</w:t>
      </w:r>
      <w:r w:rsidR="00224561" w:rsidRPr="0055589B">
        <w:rPr>
          <w:rFonts w:ascii="Arial" w:hAnsi="Arial" w:cs="Arial"/>
          <w:color w:val="000000" w:themeColor="text1"/>
          <w:lang w:val="cs-CZ" w:eastAsia="de-AT"/>
        </w:rPr>
        <w:t xml:space="preserve">va, </w:t>
      </w:r>
      <w:r w:rsidRPr="0055589B">
        <w:rPr>
          <w:rFonts w:ascii="Arial" w:hAnsi="Arial" w:cs="Arial"/>
          <w:color w:val="000000" w:themeColor="text1"/>
          <w:lang w:val="cs-CZ" w:eastAsia="de-AT"/>
        </w:rPr>
        <w:t xml:space="preserve">vrcholového vedení, pracovníků podstupujících rizika, </w:t>
      </w:r>
      <w:r w:rsidR="00224561" w:rsidRPr="0055589B">
        <w:rPr>
          <w:rFonts w:ascii="Arial" w:hAnsi="Arial" w:cs="Arial"/>
          <w:color w:val="000000" w:themeColor="text1"/>
          <w:lang w:val="cs-CZ" w:eastAsia="de-AT"/>
        </w:rPr>
        <w:t>zaměstnanců s kontrolními funkcemi a zaměstnanc</w:t>
      </w:r>
      <w:r w:rsidRPr="0055589B">
        <w:rPr>
          <w:rFonts w:ascii="Arial" w:hAnsi="Arial" w:cs="Arial"/>
          <w:color w:val="000000" w:themeColor="text1"/>
          <w:lang w:val="cs-CZ" w:eastAsia="de-AT"/>
        </w:rPr>
        <w:t>ů</w:t>
      </w:r>
      <w:r w:rsidR="00224561" w:rsidRPr="0055589B">
        <w:rPr>
          <w:rFonts w:ascii="Arial" w:hAnsi="Arial" w:cs="Arial"/>
          <w:color w:val="000000" w:themeColor="text1"/>
          <w:lang w:val="cs-CZ" w:eastAsia="de-AT"/>
        </w:rPr>
        <w:t>, kteří jsou ve stejném příjmové</w:t>
      </w:r>
      <w:r w:rsidRPr="0055589B">
        <w:rPr>
          <w:rFonts w:ascii="Arial" w:hAnsi="Arial" w:cs="Arial"/>
          <w:color w:val="000000" w:themeColor="text1"/>
          <w:lang w:val="cs-CZ" w:eastAsia="de-AT"/>
        </w:rPr>
        <w:t xml:space="preserve"> třídě</w:t>
      </w:r>
      <w:r w:rsidR="00224561" w:rsidRPr="0055589B">
        <w:rPr>
          <w:rFonts w:ascii="Arial" w:hAnsi="Arial" w:cs="Arial"/>
          <w:color w:val="000000" w:themeColor="text1"/>
          <w:lang w:val="cs-CZ" w:eastAsia="de-AT"/>
        </w:rPr>
        <w:t xml:space="preserve"> jako členové </w:t>
      </w:r>
      <w:r w:rsidR="007E4DE3" w:rsidRPr="0055589B">
        <w:rPr>
          <w:rFonts w:ascii="Arial" w:hAnsi="Arial" w:cs="Arial"/>
          <w:color w:val="000000" w:themeColor="text1"/>
          <w:lang w:val="cs-CZ" w:eastAsia="de-AT"/>
        </w:rPr>
        <w:t>Představenst</w:t>
      </w:r>
      <w:r w:rsidR="00224561" w:rsidRPr="0055589B">
        <w:rPr>
          <w:rFonts w:ascii="Arial" w:hAnsi="Arial" w:cs="Arial"/>
          <w:color w:val="000000" w:themeColor="text1"/>
          <w:lang w:val="cs-CZ" w:eastAsia="de-AT"/>
        </w:rPr>
        <w:t xml:space="preserve">va a </w:t>
      </w:r>
      <w:r w:rsidRPr="0055589B">
        <w:rPr>
          <w:rFonts w:ascii="Arial" w:hAnsi="Arial" w:cs="Arial"/>
          <w:color w:val="000000" w:themeColor="text1"/>
          <w:lang w:val="cs-CZ" w:eastAsia="de-AT"/>
        </w:rPr>
        <w:t xml:space="preserve">vrcholového vedení z důvodu </w:t>
      </w:r>
      <w:r w:rsidR="00224561" w:rsidRPr="0055589B">
        <w:rPr>
          <w:rFonts w:ascii="Arial" w:hAnsi="Arial" w:cs="Arial"/>
          <w:color w:val="000000" w:themeColor="text1"/>
          <w:lang w:val="cs-CZ" w:eastAsia="de-AT"/>
        </w:rPr>
        <w:t>jejich celkové odměny</w:t>
      </w:r>
      <w:r w:rsidRPr="0055589B">
        <w:rPr>
          <w:rFonts w:ascii="Arial" w:hAnsi="Arial" w:cs="Arial"/>
          <w:color w:val="000000" w:themeColor="text1"/>
          <w:lang w:val="cs-CZ" w:eastAsia="de-AT"/>
        </w:rPr>
        <w:t>)</w:t>
      </w:r>
      <w:r w:rsidR="00224561" w:rsidRPr="0055589B">
        <w:rPr>
          <w:rFonts w:ascii="Arial" w:hAnsi="Arial" w:cs="Arial"/>
          <w:color w:val="000000" w:themeColor="text1"/>
          <w:lang w:val="cs-CZ" w:eastAsia="de-AT"/>
        </w:rPr>
        <w:t>, jejichž činnost</w:t>
      </w:r>
      <w:r w:rsidRPr="0055589B">
        <w:rPr>
          <w:rFonts w:ascii="Arial" w:hAnsi="Arial" w:cs="Arial"/>
          <w:color w:val="000000" w:themeColor="text1"/>
          <w:lang w:val="cs-CZ" w:eastAsia="de-AT"/>
        </w:rPr>
        <w:t xml:space="preserve"> má</w:t>
      </w:r>
      <w:r w:rsidR="00224561" w:rsidRPr="0055589B">
        <w:rPr>
          <w:rFonts w:ascii="Arial" w:hAnsi="Arial" w:cs="Arial"/>
          <w:color w:val="000000" w:themeColor="text1"/>
          <w:lang w:val="cs-CZ" w:eastAsia="de-AT"/>
        </w:rPr>
        <w:t xml:space="preserve"> významný dopad na rizikov</w:t>
      </w:r>
      <w:r w:rsidRPr="0055589B">
        <w:rPr>
          <w:rFonts w:ascii="Arial" w:hAnsi="Arial" w:cs="Arial"/>
          <w:color w:val="000000" w:themeColor="text1"/>
          <w:lang w:val="cs-CZ" w:eastAsia="de-AT"/>
        </w:rPr>
        <w:t>ý</w:t>
      </w:r>
      <w:r w:rsidR="00224561" w:rsidRPr="0055589B">
        <w:rPr>
          <w:rFonts w:ascii="Arial" w:hAnsi="Arial" w:cs="Arial"/>
          <w:color w:val="000000" w:themeColor="text1"/>
          <w:lang w:val="cs-CZ" w:eastAsia="de-AT"/>
        </w:rPr>
        <w:t xml:space="preserve"> profil společnosti</w:t>
      </w:r>
      <w:r w:rsidRPr="0055589B">
        <w:rPr>
          <w:rFonts w:ascii="Arial" w:hAnsi="Arial" w:cs="Arial"/>
          <w:color w:val="000000" w:themeColor="text1"/>
          <w:lang w:val="cs-CZ" w:eastAsia="de-AT"/>
        </w:rPr>
        <w:t>,</w:t>
      </w:r>
      <w:r w:rsidR="00224561" w:rsidRPr="0055589B">
        <w:rPr>
          <w:rFonts w:ascii="Arial" w:hAnsi="Arial" w:cs="Arial"/>
          <w:color w:val="000000" w:themeColor="text1"/>
          <w:lang w:val="cs-CZ" w:eastAsia="de-AT"/>
        </w:rPr>
        <w:t xml:space="preserve"> </w:t>
      </w:r>
      <w:r w:rsidR="00C05D6C" w:rsidRPr="0055589B">
        <w:rPr>
          <w:rFonts w:ascii="Arial" w:hAnsi="Arial" w:cs="Arial"/>
          <w:color w:val="000000" w:themeColor="text1"/>
          <w:lang w:val="cs-CZ" w:eastAsia="de-AT"/>
        </w:rPr>
        <w:t>SKIPCP</w:t>
      </w:r>
      <w:r w:rsidR="00224561" w:rsidRPr="0055589B">
        <w:rPr>
          <w:rFonts w:ascii="Arial" w:hAnsi="Arial" w:cs="Arial"/>
          <w:color w:val="000000" w:themeColor="text1"/>
          <w:lang w:val="cs-CZ" w:eastAsia="de-AT"/>
        </w:rPr>
        <w:t xml:space="preserve"> a/nebo AIF spravovan</w:t>
      </w:r>
      <w:r w:rsidRPr="0055589B">
        <w:rPr>
          <w:rFonts w:ascii="Arial" w:hAnsi="Arial" w:cs="Arial"/>
          <w:color w:val="000000" w:themeColor="text1"/>
          <w:lang w:val="cs-CZ" w:eastAsia="de-AT"/>
        </w:rPr>
        <w:t>ých</w:t>
      </w:r>
      <w:r w:rsidR="00224561" w:rsidRPr="0055589B">
        <w:rPr>
          <w:rFonts w:ascii="Arial" w:hAnsi="Arial" w:cs="Arial"/>
          <w:color w:val="000000" w:themeColor="text1"/>
          <w:lang w:val="cs-CZ" w:eastAsia="de-AT"/>
        </w:rPr>
        <w:t xml:space="preserve"> společností.</w:t>
      </w:r>
    </w:p>
    <w:p w14:paraId="5C7B0275" w14:textId="6F1D4798" w:rsidR="00224561" w:rsidRPr="0055589B" w:rsidRDefault="00534463" w:rsidP="006033BF">
      <w:pPr>
        <w:pStyle w:val="Nadpis2"/>
        <w:rPr>
          <w:rFonts w:eastAsia="Times New Roman"/>
          <w:color w:val="000000" w:themeColor="text1"/>
          <w:lang w:val="cs-CZ"/>
        </w:rPr>
      </w:pPr>
      <w:bookmarkStart w:id="35" w:name="_Toc108689203"/>
      <w:r w:rsidRPr="0055589B">
        <w:rPr>
          <w:color w:val="000000" w:themeColor="text1"/>
          <w:lang w:val="cs-CZ"/>
        </w:rPr>
        <w:lastRenderedPageBreak/>
        <w:t>Soulad s do</w:t>
      </w:r>
      <w:r w:rsidR="002F7BF4" w:rsidRPr="0055589B">
        <w:rPr>
          <w:color w:val="000000" w:themeColor="text1"/>
          <w:lang w:val="cs-CZ"/>
        </w:rPr>
        <w:t>držování</w:t>
      </w:r>
      <w:r w:rsidRPr="0055589B">
        <w:rPr>
          <w:color w:val="000000" w:themeColor="text1"/>
          <w:lang w:val="cs-CZ"/>
        </w:rPr>
        <w:t>m</w:t>
      </w:r>
      <w:r w:rsidR="00224561" w:rsidRPr="0055589B">
        <w:rPr>
          <w:color w:val="000000" w:themeColor="text1"/>
          <w:lang w:val="cs-CZ"/>
        </w:rPr>
        <w:t xml:space="preserve"> účinn</w:t>
      </w:r>
      <w:r w:rsidR="002F7BF4" w:rsidRPr="0055589B">
        <w:rPr>
          <w:color w:val="000000" w:themeColor="text1"/>
          <w:lang w:val="cs-CZ"/>
        </w:rPr>
        <w:t>ého</w:t>
      </w:r>
      <w:r w:rsidR="00224561" w:rsidRPr="0055589B">
        <w:rPr>
          <w:color w:val="000000" w:themeColor="text1"/>
          <w:lang w:val="cs-CZ"/>
        </w:rPr>
        <w:t xml:space="preserve"> řízením rizik</w:t>
      </w:r>
      <w:bookmarkEnd w:id="35"/>
      <w:r w:rsidR="00224561" w:rsidRPr="0055589B">
        <w:rPr>
          <w:color w:val="000000" w:themeColor="text1"/>
          <w:lang w:val="cs-CZ"/>
        </w:rPr>
        <w:t xml:space="preserve"> </w:t>
      </w:r>
    </w:p>
    <w:p w14:paraId="761A1958" w14:textId="043D0CC2"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Pravidla odměňování stanovená v této politice </w:t>
      </w:r>
      <w:r w:rsidR="00534463" w:rsidRPr="0055589B">
        <w:rPr>
          <w:rFonts w:ascii="Arial" w:hAnsi="Arial" w:cs="Arial"/>
          <w:color w:val="000000" w:themeColor="text1"/>
          <w:szCs w:val="24"/>
          <w:lang w:val="cs-CZ" w:eastAsia="de-AT"/>
        </w:rPr>
        <w:t>jsou</w:t>
      </w:r>
      <w:r w:rsidRPr="0055589B">
        <w:rPr>
          <w:rFonts w:ascii="Arial" w:hAnsi="Arial" w:cs="Arial"/>
          <w:color w:val="000000" w:themeColor="text1"/>
          <w:szCs w:val="24"/>
          <w:lang w:val="cs-CZ" w:eastAsia="de-AT"/>
        </w:rPr>
        <w:t xml:space="preserve"> navržena tak, aby byla v souladu s řádn</w:t>
      </w:r>
      <w:r w:rsidR="00303F0F" w:rsidRPr="0055589B">
        <w:rPr>
          <w:rFonts w:ascii="Arial" w:hAnsi="Arial" w:cs="Arial"/>
          <w:color w:val="000000" w:themeColor="text1"/>
          <w:szCs w:val="24"/>
          <w:lang w:val="cs-CZ" w:eastAsia="de-AT"/>
        </w:rPr>
        <w:t>ým</w:t>
      </w:r>
      <w:r w:rsidRPr="0055589B">
        <w:rPr>
          <w:rFonts w:ascii="Arial" w:hAnsi="Arial" w:cs="Arial"/>
          <w:color w:val="000000" w:themeColor="text1"/>
          <w:szCs w:val="24"/>
          <w:lang w:val="cs-CZ" w:eastAsia="de-AT"/>
        </w:rPr>
        <w:t xml:space="preserve"> a účinn</w:t>
      </w:r>
      <w:r w:rsidR="00303F0F" w:rsidRPr="0055589B">
        <w:rPr>
          <w:rFonts w:ascii="Arial" w:hAnsi="Arial" w:cs="Arial"/>
          <w:color w:val="000000" w:themeColor="text1"/>
          <w:szCs w:val="24"/>
          <w:lang w:val="cs-CZ" w:eastAsia="de-AT"/>
        </w:rPr>
        <w:t>ým</w:t>
      </w:r>
      <w:r w:rsidRPr="0055589B">
        <w:rPr>
          <w:rFonts w:ascii="Arial" w:hAnsi="Arial" w:cs="Arial"/>
          <w:color w:val="000000" w:themeColor="text1"/>
          <w:szCs w:val="24"/>
          <w:lang w:val="cs-CZ" w:eastAsia="de-AT"/>
        </w:rPr>
        <w:t xml:space="preserve"> řízení</w:t>
      </w:r>
      <w:r w:rsidR="00303F0F" w:rsidRPr="0055589B">
        <w:rPr>
          <w:rFonts w:ascii="Arial" w:hAnsi="Arial" w:cs="Arial"/>
          <w:color w:val="000000" w:themeColor="text1"/>
          <w:szCs w:val="24"/>
          <w:lang w:val="cs-CZ" w:eastAsia="de-AT"/>
        </w:rPr>
        <w:t>m</w:t>
      </w:r>
      <w:r w:rsidRPr="0055589B">
        <w:rPr>
          <w:rFonts w:ascii="Arial" w:hAnsi="Arial" w:cs="Arial"/>
          <w:color w:val="000000" w:themeColor="text1"/>
          <w:szCs w:val="24"/>
          <w:lang w:val="cs-CZ" w:eastAsia="de-AT"/>
        </w:rPr>
        <w:t xml:space="preserve"> rizik</w:t>
      </w:r>
      <w:r w:rsidR="00303F0F" w:rsidRPr="0055589B">
        <w:rPr>
          <w:rFonts w:ascii="Arial" w:hAnsi="Arial" w:cs="Arial"/>
          <w:color w:val="000000" w:themeColor="text1"/>
          <w:szCs w:val="24"/>
          <w:lang w:val="cs-CZ" w:eastAsia="de-AT"/>
        </w:rPr>
        <w:t>, podporovala jej a</w:t>
      </w:r>
      <w:r w:rsidRPr="0055589B">
        <w:rPr>
          <w:rFonts w:ascii="Arial" w:hAnsi="Arial" w:cs="Arial"/>
          <w:color w:val="000000" w:themeColor="text1"/>
          <w:szCs w:val="24"/>
          <w:lang w:val="cs-CZ" w:eastAsia="de-AT"/>
        </w:rPr>
        <w:t xml:space="preserve"> </w:t>
      </w:r>
      <w:r w:rsidR="00303F0F" w:rsidRPr="0055589B">
        <w:rPr>
          <w:rFonts w:ascii="Arial" w:hAnsi="Arial" w:cs="Arial"/>
          <w:color w:val="000000" w:themeColor="text1"/>
          <w:szCs w:val="24"/>
          <w:lang w:val="cs-CZ" w:eastAsia="de-AT"/>
        </w:rPr>
        <w:t>zamezila přijímání rizik</w:t>
      </w:r>
      <w:r w:rsidRPr="0055589B">
        <w:rPr>
          <w:rFonts w:ascii="Arial" w:hAnsi="Arial" w:cs="Arial"/>
          <w:color w:val="000000" w:themeColor="text1"/>
          <w:szCs w:val="24"/>
          <w:lang w:val="cs-CZ" w:eastAsia="de-AT"/>
        </w:rPr>
        <w:t>, které je v rozporu s</w:t>
      </w:r>
      <w:r w:rsidR="00303F0F" w:rsidRPr="0055589B">
        <w:rPr>
          <w:rFonts w:ascii="Arial" w:hAnsi="Arial" w:cs="Arial"/>
          <w:color w:val="000000" w:themeColor="text1"/>
          <w:szCs w:val="24"/>
          <w:lang w:val="cs-CZ" w:eastAsia="de-AT"/>
        </w:rPr>
        <w:t>e</w:t>
      </w:r>
      <w:r w:rsidRPr="0055589B">
        <w:rPr>
          <w:rFonts w:ascii="Arial" w:hAnsi="Arial" w:cs="Arial"/>
          <w:color w:val="000000" w:themeColor="text1"/>
          <w:szCs w:val="24"/>
          <w:lang w:val="cs-CZ" w:eastAsia="de-AT"/>
        </w:rPr>
        <w:t xml:space="preserve"> rizikov</w:t>
      </w:r>
      <w:r w:rsidR="00303F0F" w:rsidRPr="0055589B">
        <w:rPr>
          <w:rFonts w:ascii="Arial" w:hAnsi="Arial" w:cs="Arial"/>
          <w:color w:val="000000" w:themeColor="text1"/>
          <w:szCs w:val="24"/>
          <w:lang w:val="cs-CZ" w:eastAsia="de-AT"/>
        </w:rPr>
        <w:t>ou</w:t>
      </w:r>
      <w:r w:rsidRPr="0055589B">
        <w:rPr>
          <w:rFonts w:ascii="Arial" w:hAnsi="Arial" w:cs="Arial"/>
          <w:color w:val="000000" w:themeColor="text1"/>
          <w:szCs w:val="24"/>
          <w:lang w:val="cs-CZ" w:eastAsia="de-AT"/>
        </w:rPr>
        <w:t xml:space="preserve"> strategi</w:t>
      </w:r>
      <w:r w:rsidR="00303F0F" w:rsidRPr="0055589B">
        <w:rPr>
          <w:rFonts w:ascii="Arial" w:hAnsi="Arial" w:cs="Arial"/>
          <w:color w:val="000000" w:themeColor="text1"/>
          <w:szCs w:val="24"/>
          <w:lang w:val="cs-CZ" w:eastAsia="de-AT"/>
        </w:rPr>
        <w:t>í S</w:t>
      </w:r>
      <w:r w:rsidRPr="0055589B">
        <w:rPr>
          <w:rFonts w:ascii="Arial" w:hAnsi="Arial" w:cs="Arial"/>
          <w:color w:val="000000" w:themeColor="text1"/>
          <w:szCs w:val="24"/>
          <w:lang w:val="cs-CZ" w:eastAsia="de-AT"/>
        </w:rPr>
        <w:t>polečnosti a rizikovým profil</w:t>
      </w:r>
      <w:r w:rsidR="00303F0F" w:rsidRPr="0055589B">
        <w:rPr>
          <w:rFonts w:ascii="Arial" w:hAnsi="Arial" w:cs="Arial"/>
          <w:color w:val="000000" w:themeColor="text1"/>
          <w:szCs w:val="24"/>
          <w:lang w:val="cs-CZ" w:eastAsia="de-AT"/>
        </w:rPr>
        <w:t>em</w:t>
      </w:r>
      <w:r w:rsidRPr="0055589B">
        <w:rPr>
          <w:rFonts w:ascii="Arial" w:hAnsi="Arial" w:cs="Arial"/>
          <w:color w:val="000000" w:themeColor="text1"/>
          <w:szCs w:val="24"/>
          <w:lang w:val="cs-CZ" w:eastAsia="de-AT"/>
        </w:rPr>
        <w:t xml:space="preserve"> (</w:t>
      </w:r>
      <w:r w:rsidR="00303F0F" w:rsidRPr="0055589B">
        <w:rPr>
          <w:rFonts w:ascii="Arial" w:hAnsi="Arial" w:cs="Arial"/>
          <w:color w:val="000000" w:themeColor="text1"/>
          <w:szCs w:val="24"/>
          <w:lang w:val="cs-CZ" w:eastAsia="de-AT"/>
        </w:rPr>
        <w:t xml:space="preserve">stanoveným v pravidlech nebo zakládacích dokumentech) investičních </w:t>
      </w:r>
      <w:r w:rsidRPr="0055589B">
        <w:rPr>
          <w:rFonts w:ascii="Arial" w:hAnsi="Arial" w:cs="Arial"/>
          <w:color w:val="000000" w:themeColor="text1"/>
          <w:szCs w:val="24"/>
          <w:lang w:val="cs-CZ" w:eastAsia="de-AT"/>
        </w:rPr>
        <w:t>fondů</w:t>
      </w:r>
      <w:r w:rsidR="00303F0F" w:rsidRPr="0055589B">
        <w:rPr>
          <w:rFonts w:ascii="Arial" w:hAnsi="Arial" w:cs="Arial"/>
          <w:color w:val="000000" w:themeColor="text1"/>
          <w:szCs w:val="24"/>
          <w:lang w:val="cs-CZ" w:eastAsia="de-AT"/>
        </w:rPr>
        <w:t>, které Společnost spravuje</w:t>
      </w:r>
      <w:r w:rsidRPr="0055589B">
        <w:rPr>
          <w:rFonts w:ascii="Arial" w:hAnsi="Arial" w:cs="Arial"/>
          <w:color w:val="000000" w:themeColor="text1"/>
          <w:szCs w:val="24"/>
          <w:lang w:val="cs-CZ" w:eastAsia="de-AT"/>
        </w:rPr>
        <w:t>.</w:t>
      </w:r>
      <w:r w:rsidRPr="0055589B">
        <w:rPr>
          <w:rFonts w:ascii="Arial" w:hAnsi="Arial" w:cs="Arial"/>
          <w:color w:val="000000" w:themeColor="text1"/>
          <w:szCs w:val="24"/>
          <w:vertAlign w:val="superscript"/>
          <w:lang w:val="cs-CZ" w:eastAsia="de-AT"/>
        </w:rPr>
        <w:footnoteReference w:id="3"/>
      </w:r>
      <w:r w:rsidRPr="0055589B">
        <w:rPr>
          <w:rFonts w:ascii="Arial" w:hAnsi="Arial" w:cs="Arial"/>
          <w:color w:val="000000" w:themeColor="text1"/>
          <w:szCs w:val="24"/>
          <w:lang w:val="cs-CZ" w:eastAsia="de-AT"/>
        </w:rPr>
        <w:t xml:space="preserve"> Zásady odměňování v rámci této </w:t>
      </w:r>
      <w:r w:rsidR="00303F0F" w:rsidRPr="0055589B">
        <w:rPr>
          <w:rFonts w:ascii="Arial" w:hAnsi="Arial" w:cs="Arial"/>
          <w:color w:val="000000" w:themeColor="text1"/>
          <w:szCs w:val="24"/>
          <w:lang w:val="cs-CZ" w:eastAsia="de-AT"/>
        </w:rPr>
        <w:t>P</w:t>
      </w:r>
      <w:r w:rsidRPr="0055589B">
        <w:rPr>
          <w:rFonts w:ascii="Arial" w:hAnsi="Arial" w:cs="Arial"/>
          <w:color w:val="000000" w:themeColor="text1"/>
          <w:szCs w:val="24"/>
          <w:lang w:val="cs-CZ" w:eastAsia="de-AT"/>
        </w:rPr>
        <w:t xml:space="preserve">olitiky odměňování jsou koncipovány tak, aby </w:t>
      </w:r>
      <w:r w:rsidR="00303F0F" w:rsidRPr="0055589B">
        <w:rPr>
          <w:rFonts w:ascii="Arial" w:hAnsi="Arial" w:cs="Arial"/>
          <w:color w:val="000000" w:themeColor="text1"/>
          <w:szCs w:val="24"/>
          <w:lang w:val="cs-CZ" w:eastAsia="de-AT"/>
        </w:rPr>
        <w:t xml:space="preserve">zohledňovaly </w:t>
      </w:r>
      <w:r w:rsidRPr="0055589B">
        <w:rPr>
          <w:rFonts w:ascii="Arial" w:hAnsi="Arial" w:cs="Arial"/>
          <w:color w:val="000000" w:themeColor="text1"/>
          <w:szCs w:val="24"/>
          <w:lang w:val="cs-CZ" w:eastAsia="de-AT"/>
        </w:rPr>
        <w:t>zájm</w:t>
      </w:r>
      <w:r w:rsidR="00303F0F" w:rsidRPr="0055589B">
        <w:rPr>
          <w:rFonts w:ascii="Arial" w:hAnsi="Arial" w:cs="Arial"/>
          <w:color w:val="000000" w:themeColor="text1"/>
          <w:szCs w:val="24"/>
          <w:lang w:val="cs-CZ" w:eastAsia="de-AT"/>
        </w:rPr>
        <w:t>y dlouhodobých</w:t>
      </w:r>
      <w:r w:rsidRPr="0055589B">
        <w:rPr>
          <w:rFonts w:ascii="Arial" w:hAnsi="Arial" w:cs="Arial"/>
          <w:color w:val="000000" w:themeColor="text1"/>
          <w:szCs w:val="24"/>
          <w:lang w:val="cs-CZ" w:eastAsia="de-AT"/>
        </w:rPr>
        <w:t xml:space="preserve"> investorů </w:t>
      </w:r>
      <w:r w:rsidR="00303F0F" w:rsidRPr="0055589B">
        <w:rPr>
          <w:rFonts w:ascii="Arial" w:hAnsi="Arial" w:cs="Arial"/>
          <w:color w:val="000000" w:themeColor="text1"/>
          <w:szCs w:val="24"/>
          <w:lang w:val="cs-CZ" w:eastAsia="de-AT"/>
        </w:rPr>
        <w:t>i</w:t>
      </w:r>
      <w:r w:rsidRPr="0055589B">
        <w:rPr>
          <w:rFonts w:ascii="Arial" w:hAnsi="Arial" w:cs="Arial"/>
          <w:color w:val="000000" w:themeColor="text1"/>
          <w:szCs w:val="24"/>
          <w:lang w:val="cs-CZ" w:eastAsia="de-AT"/>
        </w:rPr>
        <w:t xml:space="preserve"> sociální zájm</w:t>
      </w:r>
      <w:r w:rsidR="00303F0F" w:rsidRPr="0055589B">
        <w:rPr>
          <w:rFonts w:ascii="Arial" w:hAnsi="Arial" w:cs="Arial"/>
          <w:color w:val="000000" w:themeColor="text1"/>
          <w:szCs w:val="24"/>
          <w:lang w:val="cs-CZ" w:eastAsia="de-AT"/>
        </w:rPr>
        <w:t>y</w:t>
      </w:r>
      <w:r w:rsidRPr="0055589B">
        <w:rPr>
          <w:rFonts w:ascii="Arial" w:hAnsi="Arial" w:cs="Arial"/>
          <w:color w:val="000000" w:themeColor="text1"/>
          <w:szCs w:val="24"/>
          <w:lang w:val="cs-CZ" w:eastAsia="de-AT"/>
        </w:rPr>
        <w:t xml:space="preserve">. </w:t>
      </w:r>
    </w:p>
    <w:p w14:paraId="624B32D0" w14:textId="77777777" w:rsidR="00224561" w:rsidRPr="0055589B" w:rsidRDefault="00224561" w:rsidP="006033BF">
      <w:pPr>
        <w:pStyle w:val="Nadpis2"/>
        <w:rPr>
          <w:rFonts w:eastAsia="Times New Roman"/>
          <w:color w:val="000000" w:themeColor="text1"/>
          <w:lang w:val="cs-CZ"/>
        </w:rPr>
      </w:pPr>
      <w:bookmarkStart w:id="36" w:name="_Toc108689204"/>
      <w:r w:rsidRPr="0055589B">
        <w:rPr>
          <w:color w:val="000000" w:themeColor="text1"/>
          <w:lang w:val="cs-CZ"/>
        </w:rPr>
        <w:t>Zamezení střetu zájmů</w:t>
      </w:r>
      <w:bookmarkEnd w:id="36"/>
      <w:r w:rsidRPr="0055589B">
        <w:rPr>
          <w:color w:val="000000" w:themeColor="text1"/>
          <w:lang w:val="cs-CZ"/>
        </w:rPr>
        <w:t xml:space="preserve"> </w:t>
      </w:r>
    </w:p>
    <w:p w14:paraId="79E93A7D" w14:textId="3F4A8AC2"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Tato politika odměňování je v souladu s obchodní strategi</w:t>
      </w:r>
      <w:r w:rsidR="00303F0F" w:rsidRPr="0055589B">
        <w:rPr>
          <w:rFonts w:ascii="Arial" w:hAnsi="Arial" w:cs="Arial"/>
          <w:color w:val="000000" w:themeColor="text1"/>
          <w:szCs w:val="24"/>
          <w:lang w:val="cs-CZ" w:eastAsia="de-AT"/>
        </w:rPr>
        <w:t>í</w:t>
      </w:r>
      <w:r w:rsidRPr="0055589B">
        <w:rPr>
          <w:rFonts w:ascii="Arial" w:hAnsi="Arial" w:cs="Arial"/>
          <w:color w:val="000000" w:themeColor="text1"/>
          <w:szCs w:val="24"/>
          <w:lang w:val="cs-CZ" w:eastAsia="de-AT"/>
        </w:rPr>
        <w:t xml:space="preserve">, cíli, hodnotami a zájmy </w:t>
      </w:r>
      <w:r w:rsidR="00303F0F"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polečnosti a investiční</w:t>
      </w:r>
      <w:r w:rsidR="00303F0F" w:rsidRPr="0055589B">
        <w:rPr>
          <w:rFonts w:ascii="Arial" w:hAnsi="Arial" w:cs="Arial"/>
          <w:color w:val="000000" w:themeColor="text1"/>
          <w:szCs w:val="24"/>
          <w:lang w:val="cs-CZ" w:eastAsia="de-AT"/>
        </w:rPr>
        <w:t>ch</w:t>
      </w:r>
      <w:r w:rsidRPr="0055589B">
        <w:rPr>
          <w:rFonts w:ascii="Arial" w:hAnsi="Arial" w:cs="Arial"/>
          <w:color w:val="000000" w:themeColor="text1"/>
          <w:szCs w:val="24"/>
          <w:lang w:val="cs-CZ" w:eastAsia="de-AT"/>
        </w:rPr>
        <w:t xml:space="preserve"> fond</w:t>
      </w:r>
      <w:r w:rsidR="00303F0F" w:rsidRPr="0055589B">
        <w:rPr>
          <w:rFonts w:ascii="Arial" w:hAnsi="Arial" w:cs="Arial"/>
          <w:color w:val="000000" w:themeColor="text1"/>
          <w:szCs w:val="24"/>
          <w:lang w:val="cs-CZ" w:eastAsia="de-AT"/>
        </w:rPr>
        <w:t>ů</w:t>
      </w:r>
      <w:r w:rsidRPr="0055589B">
        <w:rPr>
          <w:rFonts w:ascii="Arial" w:hAnsi="Arial" w:cs="Arial"/>
          <w:color w:val="000000" w:themeColor="text1"/>
          <w:szCs w:val="24"/>
          <w:lang w:val="cs-CZ" w:eastAsia="de-AT"/>
        </w:rPr>
        <w:t>, které spravuje, jakož i s</w:t>
      </w:r>
      <w:r w:rsidR="00303F0F" w:rsidRPr="0055589B">
        <w:rPr>
          <w:rFonts w:ascii="Arial" w:hAnsi="Arial" w:cs="Arial"/>
          <w:color w:val="000000" w:themeColor="text1"/>
          <w:szCs w:val="24"/>
          <w:lang w:val="cs-CZ" w:eastAsia="de-AT"/>
        </w:rPr>
        <w:t>e zájmy</w:t>
      </w:r>
      <w:r w:rsidRPr="0055589B">
        <w:rPr>
          <w:rFonts w:ascii="Arial" w:hAnsi="Arial" w:cs="Arial"/>
          <w:color w:val="000000" w:themeColor="text1"/>
          <w:szCs w:val="24"/>
          <w:lang w:val="cs-CZ" w:eastAsia="de-AT"/>
        </w:rPr>
        <w:t xml:space="preserve"> investor</w:t>
      </w:r>
      <w:r w:rsidR="00303F0F" w:rsidRPr="0055589B">
        <w:rPr>
          <w:rFonts w:ascii="Arial" w:hAnsi="Arial" w:cs="Arial"/>
          <w:color w:val="000000" w:themeColor="text1"/>
          <w:szCs w:val="24"/>
          <w:lang w:val="cs-CZ" w:eastAsia="de-AT"/>
        </w:rPr>
        <w:t xml:space="preserve">ů těchto </w:t>
      </w:r>
      <w:r w:rsidRPr="0055589B">
        <w:rPr>
          <w:rFonts w:ascii="Arial" w:hAnsi="Arial" w:cs="Arial"/>
          <w:color w:val="000000" w:themeColor="text1"/>
          <w:szCs w:val="24"/>
          <w:lang w:val="cs-CZ" w:eastAsia="de-AT"/>
        </w:rPr>
        <w:t xml:space="preserve">investičních fondů, a zahrnuje opatření, která zamezí </w:t>
      </w:r>
      <w:r w:rsidR="00303F0F" w:rsidRPr="0055589B">
        <w:rPr>
          <w:rFonts w:ascii="Arial" w:hAnsi="Arial" w:cs="Arial"/>
          <w:color w:val="000000" w:themeColor="text1"/>
          <w:szCs w:val="24"/>
          <w:lang w:val="cs-CZ" w:eastAsia="de-AT"/>
        </w:rPr>
        <w:t xml:space="preserve">vzniku </w:t>
      </w:r>
      <w:r w:rsidRPr="0055589B">
        <w:rPr>
          <w:rFonts w:ascii="Arial" w:hAnsi="Arial" w:cs="Arial"/>
          <w:color w:val="000000" w:themeColor="text1"/>
          <w:szCs w:val="24"/>
          <w:lang w:val="cs-CZ" w:eastAsia="de-AT"/>
        </w:rPr>
        <w:t xml:space="preserve">střetu zájmů. </w:t>
      </w:r>
      <w:r w:rsidR="008C4408" w:rsidRPr="0055589B">
        <w:rPr>
          <w:rFonts w:ascii="Arial" w:hAnsi="Arial" w:cs="Arial"/>
          <w:color w:val="000000" w:themeColor="text1"/>
          <w:szCs w:val="24"/>
          <w:lang w:val="cs-CZ" w:eastAsia="de-AT"/>
        </w:rPr>
        <w:t>Představenstvo</w:t>
      </w:r>
      <w:r w:rsidRPr="0055589B">
        <w:rPr>
          <w:rFonts w:ascii="Arial" w:hAnsi="Arial" w:cs="Arial"/>
          <w:color w:val="000000" w:themeColor="text1"/>
          <w:szCs w:val="24"/>
          <w:lang w:val="cs-CZ" w:eastAsia="de-AT"/>
        </w:rPr>
        <w:t xml:space="preserve"> </w:t>
      </w:r>
      <w:r w:rsidR="00675E03"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 xml:space="preserve">polečnosti proto zajišťuje, aby zásady a procesy odměňování byly </w:t>
      </w:r>
      <w:r w:rsidR="00AF3FFA" w:rsidRPr="0055589B">
        <w:rPr>
          <w:rFonts w:ascii="Arial" w:hAnsi="Arial" w:cs="Arial"/>
          <w:color w:val="000000" w:themeColor="text1"/>
          <w:szCs w:val="24"/>
          <w:lang w:val="cs-CZ" w:eastAsia="de-AT"/>
        </w:rPr>
        <w:t>nastaveny tak</w:t>
      </w:r>
      <w:r w:rsidR="003758F7" w:rsidRPr="0055589B">
        <w:rPr>
          <w:rFonts w:ascii="Arial" w:hAnsi="Arial" w:cs="Arial"/>
          <w:color w:val="000000" w:themeColor="text1"/>
          <w:szCs w:val="24"/>
          <w:lang w:val="cs-CZ" w:eastAsia="de-AT"/>
        </w:rPr>
        <w:t xml:space="preserve">, aby </w:t>
      </w:r>
      <w:r w:rsidRPr="0055589B">
        <w:rPr>
          <w:rFonts w:ascii="Arial" w:hAnsi="Arial" w:cs="Arial"/>
          <w:color w:val="000000" w:themeColor="text1"/>
          <w:szCs w:val="24"/>
          <w:lang w:val="cs-CZ" w:eastAsia="de-AT"/>
        </w:rPr>
        <w:t xml:space="preserve">rozhodnutí </w:t>
      </w:r>
      <w:r w:rsidR="003758F7" w:rsidRPr="0055589B">
        <w:rPr>
          <w:rFonts w:ascii="Arial" w:hAnsi="Arial" w:cs="Arial"/>
          <w:color w:val="000000" w:themeColor="text1"/>
          <w:szCs w:val="24"/>
          <w:lang w:val="cs-CZ" w:eastAsia="de-AT"/>
        </w:rPr>
        <w:t xml:space="preserve">všech </w:t>
      </w:r>
      <w:r w:rsidRPr="0055589B">
        <w:rPr>
          <w:rFonts w:ascii="Arial" w:hAnsi="Arial" w:cs="Arial"/>
          <w:color w:val="000000" w:themeColor="text1"/>
          <w:szCs w:val="24"/>
          <w:lang w:val="cs-CZ" w:eastAsia="de-AT"/>
        </w:rPr>
        <w:t xml:space="preserve">zaměstnanců byla v souladu s nejlepšími zájmy investorů (srov. </w:t>
      </w:r>
      <w:r w:rsidR="00561E71" w:rsidRPr="0055589B">
        <w:rPr>
          <w:rFonts w:ascii="Arial" w:hAnsi="Arial" w:cs="Arial"/>
          <w:color w:val="000000" w:themeColor="text1"/>
          <w:szCs w:val="24"/>
          <w:lang w:val="cs-CZ" w:eastAsia="de-AT"/>
        </w:rPr>
        <w:t xml:space="preserve">Oběžník FMA o </w:t>
      </w:r>
      <w:r w:rsidRPr="0055589B">
        <w:rPr>
          <w:rFonts w:ascii="Arial" w:hAnsi="Arial" w:cs="Arial"/>
          <w:color w:val="000000" w:themeColor="text1"/>
          <w:szCs w:val="24"/>
          <w:lang w:val="cs-CZ" w:eastAsia="de-AT"/>
        </w:rPr>
        <w:t>střetu zájmů). To bude mimo jiné zaručeno použ</w:t>
      </w:r>
      <w:r w:rsidR="003758F7" w:rsidRPr="0055589B">
        <w:rPr>
          <w:rFonts w:ascii="Arial" w:hAnsi="Arial" w:cs="Arial"/>
          <w:color w:val="000000" w:themeColor="text1"/>
          <w:szCs w:val="24"/>
          <w:lang w:val="cs-CZ" w:eastAsia="de-AT"/>
        </w:rPr>
        <w:t>itím</w:t>
      </w:r>
      <w:r w:rsidRPr="0055589B">
        <w:rPr>
          <w:rFonts w:ascii="Arial" w:hAnsi="Arial" w:cs="Arial"/>
          <w:color w:val="000000" w:themeColor="text1"/>
          <w:szCs w:val="24"/>
          <w:lang w:val="cs-CZ" w:eastAsia="de-AT"/>
        </w:rPr>
        <w:t xml:space="preserve"> ukazatelů výkonnosti </w:t>
      </w:r>
      <w:r w:rsidR="003758F7" w:rsidRPr="0055589B">
        <w:rPr>
          <w:rFonts w:ascii="Arial" w:hAnsi="Arial" w:cs="Arial"/>
          <w:color w:val="000000" w:themeColor="text1"/>
          <w:szCs w:val="24"/>
          <w:lang w:val="cs-CZ" w:eastAsia="de-AT"/>
        </w:rPr>
        <w:t>nastaveným podle rizik, k</w:t>
      </w:r>
      <w:r w:rsidRPr="0055589B">
        <w:rPr>
          <w:rFonts w:ascii="Arial" w:hAnsi="Arial" w:cs="Arial"/>
          <w:color w:val="000000" w:themeColor="text1"/>
          <w:szCs w:val="24"/>
          <w:lang w:val="cs-CZ" w:eastAsia="de-AT"/>
        </w:rPr>
        <w:t xml:space="preserve">teré </w:t>
      </w:r>
      <w:r w:rsidR="003758F7" w:rsidRPr="0055589B">
        <w:rPr>
          <w:rFonts w:ascii="Arial" w:hAnsi="Arial" w:cs="Arial"/>
          <w:color w:val="000000" w:themeColor="text1"/>
          <w:szCs w:val="24"/>
          <w:lang w:val="cs-CZ" w:eastAsia="de-AT"/>
        </w:rPr>
        <w:t>budou zohledňovat ro</w:t>
      </w:r>
      <w:r w:rsidRPr="0055589B">
        <w:rPr>
          <w:rFonts w:ascii="Arial" w:hAnsi="Arial" w:cs="Arial"/>
          <w:color w:val="000000" w:themeColor="text1"/>
          <w:szCs w:val="24"/>
          <w:lang w:val="cs-CZ" w:eastAsia="de-AT"/>
        </w:rPr>
        <w:t xml:space="preserve">vněž kvalitativní kritéria (např. porušení předpisů, </w:t>
      </w:r>
      <w:r w:rsidR="003758F7" w:rsidRPr="0055589B">
        <w:rPr>
          <w:rFonts w:ascii="Arial" w:hAnsi="Arial" w:cs="Arial"/>
          <w:color w:val="000000" w:themeColor="text1"/>
          <w:szCs w:val="24"/>
          <w:lang w:val="cs-CZ" w:eastAsia="de-AT"/>
        </w:rPr>
        <w:t>nedodržení</w:t>
      </w:r>
      <w:r w:rsidRPr="0055589B">
        <w:rPr>
          <w:rFonts w:ascii="Arial" w:hAnsi="Arial" w:cs="Arial"/>
          <w:color w:val="000000" w:themeColor="text1"/>
          <w:szCs w:val="24"/>
          <w:lang w:val="cs-CZ" w:eastAsia="de-AT"/>
        </w:rPr>
        <w:t xml:space="preserve"> limitů).</w:t>
      </w:r>
    </w:p>
    <w:p w14:paraId="0375C0F4" w14:textId="5B191630" w:rsidR="00224561" w:rsidRPr="0055589B" w:rsidRDefault="00224561" w:rsidP="006033BF">
      <w:pPr>
        <w:pStyle w:val="Nadpis2"/>
        <w:rPr>
          <w:rFonts w:eastAsia="Times New Roman"/>
          <w:color w:val="000000" w:themeColor="text1"/>
          <w:lang w:val="cs-CZ"/>
        </w:rPr>
      </w:pPr>
      <w:bookmarkStart w:id="37" w:name="_Toc108689205"/>
      <w:r w:rsidRPr="0055589B">
        <w:rPr>
          <w:color w:val="000000" w:themeColor="text1"/>
          <w:lang w:val="cs-CZ"/>
        </w:rPr>
        <w:t>Obecn</w:t>
      </w:r>
      <w:r w:rsidR="00A945D3" w:rsidRPr="0055589B">
        <w:rPr>
          <w:color w:val="000000" w:themeColor="text1"/>
          <w:lang w:val="cs-CZ"/>
        </w:rPr>
        <w:t xml:space="preserve">á pravidla </w:t>
      </w:r>
      <w:r w:rsidRPr="0055589B">
        <w:rPr>
          <w:color w:val="000000" w:themeColor="text1"/>
          <w:lang w:val="cs-CZ"/>
        </w:rPr>
        <w:t>pro pevnou odměnu</w:t>
      </w:r>
      <w:bookmarkEnd w:id="37"/>
    </w:p>
    <w:p w14:paraId="577807B6" w14:textId="4120DABE" w:rsidR="00224561" w:rsidRPr="0055589B" w:rsidRDefault="00224561" w:rsidP="006033BF">
      <w:pPr>
        <w:pStyle w:val="Nadpis3"/>
        <w:rPr>
          <w:color w:val="000000" w:themeColor="text1"/>
          <w:lang w:val="cs-CZ"/>
        </w:rPr>
      </w:pPr>
      <w:bookmarkStart w:id="38" w:name="_Toc108689206"/>
      <w:r w:rsidRPr="0055589B">
        <w:rPr>
          <w:color w:val="000000" w:themeColor="text1"/>
          <w:lang w:val="cs-CZ"/>
        </w:rPr>
        <w:t>Pevn</w:t>
      </w:r>
      <w:r w:rsidR="00337A4B" w:rsidRPr="0055589B">
        <w:rPr>
          <w:color w:val="000000" w:themeColor="text1"/>
          <w:lang w:val="cs-CZ"/>
        </w:rPr>
        <w:t>á odměna</w:t>
      </w:r>
      <w:bookmarkEnd w:id="38"/>
      <w:r w:rsidR="00337A4B" w:rsidRPr="0055589B">
        <w:rPr>
          <w:color w:val="000000" w:themeColor="text1"/>
          <w:lang w:val="cs-CZ"/>
        </w:rPr>
        <w:t xml:space="preserve"> </w:t>
      </w:r>
    </w:p>
    <w:p w14:paraId="32CCBE5D" w14:textId="00DAE251"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Pevná </w:t>
      </w:r>
      <w:r w:rsidR="00337A4B" w:rsidRPr="0055589B">
        <w:rPr>
          <w:rFonts w:ascii="Arial" w:hAnsi="Arial" w:cs="Arial"/>
          <w:color w:val="000000" w:themeColor="text1"/>
          <w:szCs w:val="24"/>
          <w:lang w:val="cs-CZ" w:eastAsia="de-AT"/>
        </w:rPr>
        <w:t xml:space="preserve">odměna </w:t>
      </w:r>
      <w:r w:rsidRPr="0055589B">
        <w:rPr>
          <w:rFonts w:ascii="Arial" w:hAnsi="Arial" w:cs="Arial"/>
          <w:color w:val="000000" w:themeColor="text1"/>
          <w:szCs w:val="24"/>
          <w:lang w:val="cs-CZ" w:eastAsia="de-AT"/>
        </w:rPr>
        <w:t>všech zaměstnanců představuje dostatečně vysok</w:t>
      </w:r>
      <w:r w:rsidR="00337A4B" w:rsidRPr="0055589B">
        <w:rPr>
          <w:rFonts w:ascii="Arial" w:hAnsi="Arial" w:cs="Arial"/>
          <w:color w:val="000000" w:themeColor="text1"/>
          <w:szCs w:val="24"/>
          <w:lang w:val="cs-CZ" w:eastAsia="de-AT"/>
        </w:rPr>
        <w:t xml:space="preserve">ou část </w:t>
      </w:r>
      <w:r w:rsidRPr="0055589B">
        <w:rPr>
          <w:rFonts w:ascii="Arial" w:hAnsi="Arial" w:cs="Arial"/>
          <w:color w:val="000000" w:themeColor="text1"/>
          <w:szCs w:val="24"/>
          <w:lang w:val="cs-CZ" w:eastAsia="de-AT"/>
        </w:rPr>
        <w:t>celkové odměny</w:t>
      </w:r>
      <w:r w:rsidR="00337A4B" w:rsidRPr="0055589B">
        <w:rPr>
          <w:rFonts w:ascii="Arial" w:hAnsi="Arial" w:cs="Arial"/>
          <w:color w:val="000000" w:themeColor="text1"/>
          <w:szCs w:val="24"/>
          <w:lang w:val="cs-CZ" w:eastAsia="de-AT"/>
        </w:rPr>
        <w:t xml:space="preserve"> a </w:t>
      </w:r>
      <w:r w:rsidRPr="0055589B">
        <w:rPr>
          <w:rFonts w:ascii="Arial" w:hAnsi="Arial" w:cs="Arial"/>
          <w:color w:val="000000" w:themeColor="text1"/>
          <w:szCs w:val="24"/>
          <w:lang w:val="cs-CZ" w:eastAsia="de-AT"/>
        </w:rPr>
        <w:t>umožň</w:t>
      </w:r>
      <w:r w:rsidR="00337A4B" w:rsidRPr="0055589B">
        <w:rPr>
          <w:rFonts w:ascii="Arial" w:hAnsi="Arial" w:cs="Arial"/>
          <w:color w:val="000000" w:themeColor="text1"/>
          <w:szCs w:val="24"/>
          <w:lang w:val="cs-CZ" w:eastAsia="de-AT"/>
        </w:rPr>
        <w:t xml:space="preserve">uje tak </w:t>
      </w:r>
      <w:r w:rsidRPr="0055589B">
        <w:rPr>
          <w:rFonts w:ascii="Arial" w:hAnsi="Arial" w:cs="Arial"/>
          <w:color w:val="000000" w:themeColor="text1"/>
          <w:szCs w:val="24"/>
          <w:lang w:val="cs-CZ" w:eastAsia="de-AT"/>
        </w:rPr>
        <w:t xml:space="preserve">finanční nezávislost pohyblivé odměny na individuální úrovni, včetně možnosti žádnou </w:t>
      </w:r>
      <w:r w:rsidR="00DA52FA" w:rsidRPr="0055589B">
        <w:rPr>
          <w:rFonts w:ascii="Arial" w:hAnsi="Arial" w:cs="Arial"/>
          <w:color w:val="000000" w:themeColor="text1"/>
          <w:szCs w:val="24"/>
          <w:lang w:val="cs-CZ" w:eastAsia="de-AT"/>
        </w:rPr>
        <w:t>pohybliv</w:t>
      </w:r>
      <w:r w:rsidRPr="0055589B">
        <w:rPr>
          <w:rFonts w:ascii="Arial" w:hAnsi="Arial" w:cs="Arial"/>
          <w:color w:val="000000" w:themeColor="text1"/>
          <w:szCs w:val="24"/>
          <w:lang w:val="cs-CZ" w:eastAsia="de-AT"/>
        </w:rPr>
        <w:t>ou složku odměn</w:t>
      </w:r>
      <w:r w:rsidR="00337A4B" w:rsidRPr="0055589B">
        <w:rPr>
          <w:rFonts w:ascii="Arial" w:hAnsi="Arial" w:cs="Arial"/>
          <w:color w:val="000000" w:themeColor="text1"/>
          <w:szCs w:val="24"/>
          <w:lang w:val="cs-CZ" w:eastAsia="de-AT"/>
        </w:rPr>
        <w:t xml:space="preserve"> nevyplácet</w:t>
      </w:r>
      <w:r w:rsidRPr="0055589B">
        <w:rPr>
          <w:rFonts w:ascii="Arial" w:hAnsi="Arial" w:cs="Arial"/>
          <w:color w:val="000000" w:themeColor="text1"/>
          <w:szCs w:val="24"/>
          <w:lang w:val="cs-CZ" w:eastAsia="de-AT"/>
        </w:rPr>
        <w:t xml:space="preserve">. </w:t>
      </w:r>
      <w:r w:rsidR="00337A4B" w:rsidRPr="0055589B">
        <w:rPr>
          <w:rFonts w:ascii="Arial" w:hAnsi="Arial" w:cs="Arial"/>
          <w:color w:val="000000" w:themeColor="text1"/>
          <w:szCs w:val="24"/>
          <w:lang w:val="cs-CZ" w:eastAsia="de-AT"/>
        </w:rPr>
        <w:t xml:space="preserve">Podíl pevné a pohyblivé složky odměny jednotlivých zaměstnanců nepodporuje přílišné přijímání rizik. </w:t>
      </w:r>
    </w:p>
    <w:p w14:paraId="73AFC92D" w14:textId="0649AC13"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Pevná </w:t>
      </w:r>
      <w:r w:rsidR="00337A4B" w:rsidRPr="0055589B">
        <w:rPr>
          <w:rFonts w:ascii="Arial" w:hAnsi="Arial" w:cs="Arial"/>
          <w:color w:val="000000" w:themeColor="text1"/>
          <w:szCs w:val="24"/>
          <w:lang w:val="cs-CZ" w:eastAsia="de-AT"/>
        </w:rPr>
        <w:t>odměna</w:t>
      </w:r>
      <w:r w:rsidRPr="0055589B">
        <w:rPr>
          <w:rFonts w:ascii="Arial" w:hAnsi="Arial" w:cs="Arial"/>
          <w:color w:val="000000" w:themeColor="text1"/>
          <w:szCs w:val="24"/>
          <w:lang w:val="cs-CZ" w:eastAsia="de-AT"/>
        </w:rPr>
        <w:t>:</w:t>
      </w:r>
    </w:p>
    <w:p w14:paraId="39C5C9EB" w14:textId="32504CB7" w:rsidR="00224561" w:rsidRPr="0055589B" w:rsidRDefault="00337A4B" w:rsidP="00224561">
      <w:pPr>
        <w:numPr>
          <w:ilvl w:val="0"/>
          <w:numId w:val="9"/>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Odráží vyváženým způsobem </w:t>
      </w:r>
      <w:r w:rsidR="00224561" w:rsidRPr="0055589B">
        <w:rPr>
          <w:rFonts w:ascii="Arial" w:hAnsi="Arial" w:cs="Arial"/>
          <w:color w:val="000000" w:themeColor="text1"/>
          <w:lang w:val="cs-CZ" w:eastAsia="de-AT"/>
        </w:rPr>
        <w:t xml:space="preserve">hodnotu práce, kompetence, zkušenosti a </w:t>
      </w:r>
      <w:r w:rsidRPr="0055589B">
        <w:rPr>
          <w:rFonts w:ascii="Arial" w:hAnsi="Arial" w:cs="Arial"/>
          <w:color w:val="000000" w:themeColor="text1"/>
          <w:lang w:val="cs-CZ" w:eastAsia="de-AT"/>
        </w:rPr>
        <w:t xml:space="preserve">specifický přínos </w:t>
      </w:r>
      <w:r w:rsidR="00224561" w:rsidRPr="0055589B">
        <w:rPr>
          <w:rFonts w:ascii="Arial" w:hAnsi="Arial" w:cs="Arial"/>
          <w:color w:val="000000" w:themeColor="text1"/>
          <w:lang w:val="cs-CZ" w:eastAsia="de-AT"/>
        </w:rPr>
        <w:t>zaměstnance</w:t>
      </w:r>
      <w:r w:rsidRPr="0055589B">
        <w:rPr>
          <w:rFonts w:ascii="Arial" w:hAnsi="Arial" w:cs="Arial"/>
          <w:color w:val="000000" w:themeColor="text1"/>
          <w:lang w:val="cs-CZ" w:eastAsia="de-AT"/>
        </w:rPr>
        <w:t xml:space="preserve"> ke konkurenceschopnosti Společnosti</w:t>
      </w:r>
      <w:r w:rsidR="00224561" w:rsidRPr="0055589B">
        <w:rPr>
          <w:rFonts w:ascii="Arial" w:hAnsi="Arial" w:cs="Arial"/>
          <w:color w:val="000000" w:themeColor="text1"/>
          <w:lang w:val="cs-CZ" w:eastAsia="de-AT"/>
        </w:rPr>
        <w:t xml:space="preserve">; </w:t>
      </w:r>
    </w:p>
    <w:p w14:paraId="73E01EE6" w14:textId="2636D6F1" w:rsidR="00224561" w:rsidRPr="0055589B" w:rsidRDefault="00224561" w:rsidP="00224561">
      <w:pPr>
        <w:numPr>
          <w:ilvl w:val="0"/>
          <w:numId w:val="9"/>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Je n</w:t>
      </w:r>
      <w:r w:rsidR="00337A4B" w:rsidRPr="0055589B">
        <w:rPr>
          <w:rFonts w:ascii="Arial" w:hAnsi="Arial" w:cs="Arial"/>
          <w:color w:val="000000" w:themeColor="text1"/>
          <w:lang w:val="cs-CZ" w:eastAsia="de-AT"/>
        </w:rPr>
        <w:t xml:space="preserve">ezbytné </w:t>
      </w:r>
      <w:r w:rsidRPr="0055589B">
        <w:rPr>
          <w:rFonts w:ascii="Arial" w:hAnsi="Arial" w:cs="Arial"/>
          <w:color w:val="000000" w:themeColor="text1"/>
          <w:lang w:val="cs-CZ" w:eastAsia="de-AT"/>
        </w:rPr>
        <w:t>vyváž</w:t>
      </w:r>
      <w:r w:rsidR="00337A4B" w:rsidRPr="0055589B">
        <w:rPr>
          <w:rFonts w:ascii="Arial" w:hAnsi="Arial" w:cs="Arial"/>
          <w:color w:val="000000" w:themeColor="text1"/>
          <w:lang w:val="cs-CZ" w:eastAsia="de-AT"/>
        </w:rPr>
        <w:t xml:space="preserve">eným způsobem nastavit </w:t>
      </w:r>
      <w:r w:rsidRPr="0055589B">
        <w:rPr>
          <w:rFonts w:ascii="Arial" w:hAnsi="Arial" w:cs="Arial"/>
          <w:color w:val="000000" w:themeColor="text1"/>
          <w:lang w:val="cs-CZ" w:eastAsia="de-AT"/>
        </w:rPr>
        <w:t>odpovědnost, znalosti, dovednosti a zkušenosti požadované v</w:t>
      </w:r>
      <w:r w:rsidR="00337A4B" w:rsidRPr="0055589B">
        <w:rPr>
          <w:rFonts w:ascii="Arial" w:hAnsi="Arial" w:cs="Arial"/>
          <w:color w:val="000000" w:themeColor="text1"/>
          <w:lang w:val="cs-CZ" w:eastAsia="de-AT"/>
        </w:rPr>
        <w:t xml:space="preserve"> dané pracovní pozici a od daných pracovníků </w:t>
      </w:r>
      <w:r w:rsidRPr="0055589B">
        <w:rPr>
          <w:rFonts w:ascii="Arial" w:hAnsi="Arial" w:cs="Arial"/>
          <w:color w:val="000000" w:themeColor="text1"/>
          <w:lang w:val="cs-CZ" w:eastAsia="de-AT"/>
        </w:rPr>
        <w:t xml:space="preserve">(tržní hodnota práce a osob); </w:t>
      </w:r>
    </w:p>
    <w:p w14:paraId="780E5849" w14:textId="1B19CD29" w:rsidR="00224561" w:rsidRPr="0055589B" w:rsidRDefault="00224561" w:rsidP="00224561">
      <w:pPr>
        <w:numPr>
          <w:ilvl w:val="0"/>
          <w:numId w:val="9"/>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Podporuje </w:t>
      </w:r>
      <w:r w:rsidR="00337A4B" w:rsidRPr="0055589B">
        <w:rPr>
          <w:rFonts w:ascii="Arial" w:hAnsi="Arial" w:cs="Arial"/>
          <w:color w:val="000000" w:themeColor="text1"/>
          <w:lang w:val="cs-CZ" w:eastAsia="de-AT"/>
        </w:rPr>
        <w:t>pracovní</w:t>
      </w:r>
      <w:r w:rsidRPr="0055589B">
        <w:rPr>
          <w:rFonts w:ascii="Arial" w:hAnsi="Arial" w:cs="Arial"/>
          <w:color w:val="000000" w:themeColor="text1"/>
          <w:lang w:val="cs-CZ" w:eastAsia="de-AT"/>
        </w:rPr>
        <w:t xml:space="preserve"> </w:t>
      </w:r>
      <w:r w:rsidRPr="0055589B">
        <w:rPr>
          <w:rFonts w:ascii="Arial" w:hAnsi="Arial" w:cs="Arial"/>
          <w:color w:val="000000" w:themeColor="text1"/>
          <w:szCs w:val="24"/>
          <w:lang w:val="cs-CZ" w:eastAsia="de-AT"/>
        </w:rPr>
        <w:t xml:space="preserve">prostředí ve </w:t>
      </w:r>
      <w:r w:rsidR="00337A4B"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polečnosti, pokud jde o</w:t>
      </w:r>
    </w:p>
    <w:p w14:paraId="595DD6BD" w14:textId="7D9493DD" w:rsidR="00224561" w:rsidRPr="0055589B" w:rsidRDefault="00224561" w:rsidP="007F006A">
      <w:pPr>
        <w:spacing w:after="120" w:line="276" w:lineRule="auto"/>
        <w:ind w:left="1134" w:hanging="406"/>
        <w:jc w:val="both"/>
        <w:rPr>
          <w:rFonts w:ascii="Arial" w:eastAsia="Times New Roman" w:hAnsi="Arial" w:cs="Arial"/>
          <w:color w:val="000000" w:themeColor="text1"/>
          <w:lang w:val="cs-CZ" w:eastAsia="de-AT"/>
        </w:rPr>
      </w:pPr>
      <w:r w:rsidRPr="0055589B">
        <w:rPr>
          <w:rFonts w:ascii="Arial" w:hAnsi="Arial" w:cs="Arial"/>
          <w:color w:val="000000" w:themeColor="text1"/>
          <w:szCs w:val="24"/>
          <w:lang w:val="cs-CZ" w:eastAsia="de-AT"/>
        </w:rPr>
        <w:t>a)</w:t>
      </w:r>
      <w:r w:rsidRPr="0055589B">
        <w:rPr>
          <w:rFonts w:ascii="Arial" w:hAnsi="Arial" w:cs="Arial"/>
          <w:color w:val="000000" w:themeColor="text1"/>
          <w:szCs w:val="24"/>
          <w:lang w:val="cs-CZ" w:eastAsia="de-AT"/>
        </w:rPr>
        <w:tab/>
        <w:t>výkon (</w:t>
      </w:r>
      <w:r w:rsidR="00337A4B" w:rsidRPr="0055589B">
        <w:rPr>
          <w:rFonts w:ascii="Arial" w:hAnsi="Arial" w:cs="Arial"/>
          <w:color w:val="000000" w:themeColor="text1"/>
          <w:szCs w:val="24"/>
          <w:lang w:val="cs-CZ" w:eastAsia="de-AT"/>
        </w:rPr>
        <w:t xml:space="preserve">zvýšené </w:t>
      </w:r>
      <w:r w:rsidRPr="0055589B">
        <w:rPr>
          <w:rFonts w:ascii="Arial" w:hAnsi="Arial" w:cs="Arial"/>
          <w:color w:val="000000" w:themeColor="text1"/>
          <w:szCs w:val="24"/>
          <w:lang w:val="cs-CZ" w:eastAsia="de-AT"/>
        </w:rPr>
        <w:t xml:space="preserve">cíle, </w:t>
      </w:r>
      <w:r w:rsidR="00337A4B" w:rsidRPr="0055589B">
        <w:rPr>
          <w:rFonts w:ascii="Arial" w:hAnsi="Arial" w:cs="Arial"/>
          <w:color w:val="000000" w:themeColor="text1"/>
          <w:szCs w:val="24"/>
          <w:lang w:val="cs-CZ" w:eastAsia="de-AT"/>
        </w:rPr>
        <w:t xml:space="preserve">dosahování výsledků, </w:t>
      </w:r>
      <w:r w:rsidRPr="0055589B">
        <w:rPr>
          <w:rFonts w:ascii="Arial" w:hAnsi="Arial" w:cs="Arial"/>
          <w:color w:val="000000" w:themeColor="text1"/>
          <w:szCs w:val="24"/>
          <w:lang w:val="cs-CZ" w:eastAsia="de-AT"/>
        </w:rPr>
        <w:t>zpětná vazba),</w:t>
      </w:r>
    </w:p>
    <w:p w14:paraId="0003F1FF" w14:textId="77777777" w:rsidR="00224561" w:rsidRPr="0055589B" w:rsidRDefault="00224561" w:rsidP="007F006A">
      <w:pPr>
        <w:spacing w:after="120" w:line="276" w:lineRule="auto"/>
        <w:ind w:left="1134" w:hanging="406"/>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b)</w:t>
      </w:r>
      <w:r w:rsidRPr="0055589B">
        <w:rPr>
          <w:rFonts w:ascii="Arial" w:hAnsi="Arial" w:cs="Arial"/>
          <w:color w:val="000000" w:themeColor="text1"/>
          <w:szCs w:val="24"/>
          <w:lang w:val="cs-CZ" w:eastAsia="de-AT"/>
        </w:rPr>
        <w:tab/>
        <w:t>rozvoj (kariéra, zaměstnatelnost) a</w:t>
      </w:r>
    </w:p>
    <w:p w14:paraId="3267753E" w14:textId="5CA95ED2" w:rsidR="00224561" w:rsidRPr="0055589B" w:rsidRDefault="00224561" w:rsidP="007F006A">
      <w:pPr>
        <w:spacing w:after="120" w:line="276" w:lineRule="auto"/>
        <w:ind w:left="1134" w:hanging="406"/>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c)</w:t>
      </w:r>
      <w:r w:rsidRPr="0055589B">
        <w:rPr>
          <w:rFonts w:ascii="Arial" w:hAnsi="Arial" w:cs="Arial"/>
          <w:color w:val="000000" w:themeColor="text1"/>
          <w:szCs w:val="24"/>
          <w:lang w:val="cs-CZ" w:eastAsia="de-AT"/>
        </w:rPr>
        <w:tab/>
        <w:t>klíčové kompetence (podpor</w:t>
      </w:r>
      <w:r w:rsidR="00337A4B" w:rsidRPr="0055589B">
        <w:rPr>
          <w:rFonts w:ascii="Arial" w:hAnsi="Arial" w:cs="Arial"/>
          <w:color w:val="000000" w:themeColor="text1"/>
          <w:szCs w:val="24"/>
          <w:lang w:val="cs-CZ" w:eastAsia="de-AT"/>
        </w:rPr>
        <w:t>a</w:t>
      </w:r>
      <w:r w:rsidRPr="0055589B">
        <w:rPr>
          <w:rFonts w:ascii="Arial" w:hAnsi="Arial" w:cs="Arial"/>
          <w:color w:val="000000" w:themeColor="text1"/>
          <w:szCs w:val="24"/>
          <w:lang w:val="cs-CZ" w:eastAsia="de-AT"/>
        </w:rPr>
        <w:t xml:space="preserve"> růst</w:t>
      </w:r>
      <w:r w:rsidR="00337A4B" w:rsidRPr="0055589B">
        <w:rPr>
          <w:rFonts w:ascii="Arial" w:hAnsi="Arial" w:cs="Arial"/>
          <w:color w:val="000000" w:themeColor="text1"/>
          <w:szCs w:val="24"/>
          <w:lang w:val="cs-CZ" w:eastAsia="de-AT"/>
        </w:rPr>
        <w:t>u, odpovědné jednání, přijímání odpovědnosti, vynikající výsledky práce, spolupráce v rámci týmu</w:t>
      </w:r>
      <w:r w:rsidRPr="0055589B">
        <w:rPr>
          <w:rFonts w:ascii="Arial" w:hAnsi="Arial" w:cs="Arial"/>
          <w:color w:val="000000" w:themeColor="text1"/>
          <w:szCs w:val="24"/>
          <w:lang w:val="cs-CZ" w:eastAsia="de-AT"/>
        </w:rPr>
        <w:t>);</w:t>
      </w:r>
    </w:p>
    <w:p w14:paraId="46098871" w14:textId="0AFFCDB9" w:rsidR="00224561" w:rsidRPr="0055589B" w:rsidRDefault="00337A4B" w:rsidP="00224561">
      <w:pPr>
        <w:numPr>
          <w:ilvl w:val="0"/>
          <w:numId w:val="9"/>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lastRenderedPageBreak/>
        <w:t xml:space="preserve">Jejím cílem je být nákladově konkurenceschopná </w:t>
      </w:r>
      <w:r w:rsidR="00224561" w:rsidRPr="0055589B">
        <w:rPr>
          <w:rFonts w:ascii="Arial" w:hAnsi="Arial" w:cs="Arial"/>
          <w:color w:val="000000" w:themeColor="text1"/>
          <w:szCs w:val="24"/>
          <w:lang w:val="cs-CZ"/>
        </w:rPr>
        <w:t>na vnějším trhu</w:t>
      </w:r>
      <w:r w:rsidRPr="0055589B">
        <w:rPr>
          <w:rFonts w:ascii="Arial" w:hAnsi="Arial" w:cs="Arial"/>
          <w:color w:val="000000" w:themeColor="text1"/>
          <w:szCs w:val="24"/>
          <w:lang w:val="cs-CZ"/>
        </w:rPr>
        <w:t xml:space="preserve">. Obsahuje </w:t>
      </w:r>
      <w:r w:rsidR="00224561" w:rsidRPr="0055589B">
        <w:rPr>
          <w:rFonts w:ascii="Arial" w:hAnsi="Arial" w:cs="Arial"/>
          <w:color w:val="000000" w:themeColor="text1"/>
          <w:szCs w:val="24"/>
          <w:lang w:val="cs-CZ"/>
        </w:rPr>
        <w:t xml:space="preserve">složky nákladové flexibility, které mají </w:t>
      </w:r>
      <w:r w:rsidRPr="0055589B">
        <w:rPr>
          <w:rFonts w:ascii="Arial" w:hAnsi="Arial" w:cs="Arial"/>
          <w:color w:val="000000" w:themeColor="text1"/>
          <w:szCs w:val="24"/>
          <w:lang w:val="cs-CZ"/>
        </w:rPr>
        <w:t xml:space="preserve">kopírovat </w:t>
      </w:r>
      <w:r w:rsidR="00224561" w:rsidRPr="0055589B">
        <w:rPr>
          <w:rFonts w:ascii="Arial" w:hAnsi="Arial" w:cs="Arial"/>
          <w:color w:val="000000" w:themeColor="text1"/>
          <w:szCs w:val="24"/>
          <w:lang w:val="cs-CZ"/>
        </w:rPr>
        <w:t>organizační změny v instituci a vývoj nabídky a poptávky na trhu práce; a</w:t>
      </w:r>
    </w:p>
    <w:p w14:paraId="76C43233" w14:textId="562E6CED" w:rsidR="00224561" w:rsidRPr="0055589B" w:rsidRDefault="00337A4B" w:rsidP="00224561">
      <w:pPr>
        <w:numPr>
          <w:ilvl w:val="0"/>
          <w:numId w:val="9"/>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Zohledňuje</w:t>
      </w:r>
      <w:r w:rsidR="00224561" w:rsidRPr="0055589B">
        <w:rPr>
          <w:rFonts w:ascii="Arial" w:hAnsi="Arial" w:cs="Arial"/>
          <w:color w:val="000000" w:themeColor="text1"/>
          <w:lang w:val="cs-CZ" w:eastAsia="de-AT"/>
        </w:rPr>
        <w:t xml:space="preserve"> závazné předpisy platné kolektivní smlouvy (pokud existuj</w:t>
      </w:r>
      <w:r w:rsidRPr="0055589B">
        <w:rPr>
          <w:rFonts w:ascii="Arial" w:hAnsi="Arial" w:cs="Arial"/>
          <w:color w:val="000000" w:themeColor="text1"/>
          <w:lang w:val="cs-CZ" w:eastAsia="de-AT"/>
        </w:rPr>
        <w:t>e</w:t>
      </w:r>
      <w:r w:rsidR="00224561" w:rsidRPr="0055589B">
        <w:rPr>
          <w:rFonts w:ascii="Arial" w:hAnsi="Arial" w:cs="Arial"/>
          <w:color w:val="000000" w:themeColor="text1"/>
          <w:lang w:val="cs-CZ" w:eastAsia="de-AT"/>
        </w:rPr>
        <w:t>).</w:t>
      </w:r>
    </w:p>
    <w:p w14:paraId="5FC6BA46" w14:textId="3D5A7F73" w:rsidR="00224561" w:rsidRPr="0055589B" w:rsidRDefault="00224561" w:rsidP="007F006A">
      <w:pPr>
        <w:spacing w:after="120" w:line="276" w:lineRule="auto"/>
        <w:ind w:left="360"/>
        <w:jc w:val="both"/>
        <w:rPr>
          <w:rFonts w:ascii="Arial" w:eastAsia="Times New Roman" w:hAnsi="Arial" w:cs="Arial"/>
          <w:color w:val="000000" w:themeColor="text1"/>
          <w:lang w:val="cs-CZ" w:eastAsia="de-AT"/>
        </w:rPr>
      </w:pPr>
      <w:r w:rsidRPr="0055589B">
        <w:rPr>
          <w:rFonts w:ascii="Arial" w:hAnsi="Arial" w:cs="Arial"/>
          <w:color w:val="000000" w:themeColor="text1"/>
          <w:szCs w:val="24"/>
          <w:lang w:val="cs-CZ" w:eastAsia="de-AT"/>
        </w:rPr>
        <w:t xml:space="preserve">Pevná a pohyblivá </w:t>
      </w:r>
      <w:r w:rsidR="00337A4B" w:rsidRPr="0055589B">
        <w:rPr>
          <w:rFonts w:ascii="Arial" w:hAnsi="Arial" w:cs="Arial"/>
          <w:color w:val="000000" w:themeColor="text1"/>
          <w:szCs w:val="24"/>
          <w:lang w:val="cs-CZ" w:eastAsia="de-AT"/>
        </w:rPr>
        <w:t>odměna s</w:t>
      </w:r>
      <w:r w:rsidRPr="0055589B">
        <w:rPr>
          <w:rFonts w:ascii="Arial" w:hAnsi="Arial" w:cs="Arial"/>
          <w:color w:val="000000" w:themeColor="text1"/>
          <w:szCs w:val="24"/>
          <w:lang w:val="cs-CZ" w:eastAsia="de-AT"/>
        </w:rPr>
        <w:t xml:space="preserve">e může skládat z různých prvků, včetně </w:t>
      </w:r>
      <w:r w:rsidR="00337A4B" w:rsidRPr="0055589B">
        <w:rPr>
          <w:rFonts w:ascii="Arial" w:hAnsi="Arial" w:cs="Arial"/>
          <w:color w:val="000000" w:themeColor="text1"/>
          <w:szCs w:val="24"/>
          <w:lang w:val="cs-CZ" w:eastAsia="de-AT"/>
        </w:rPr>
        <w:t xml:space="preserve">doplňkových příplatků, </w:t>
      </w:r>
      <w:r w:rsidRPr="0055589B">
        <w:rPr>
          <w:rFonts w:ascii="Arial" w:hAnsi="Arial" w:cs="Arial"/>
          <w:color w:val="000000" w:themeColor="text1"/>
          <w:szCs w:val="24"/>
          <w:lang w:val="cs-CZ" w:eastAsia="de-AT"/>
        </w:rPr>
        <w:t xml:space="preserve">plateb nebo </w:t>
      </w:r>
      <w:r w:rsidR="00337A4B" w:rsidRPr="0055589B">
        <w:rPr>
          <w:rFonts w:ascii="Arial" w:hAnsi="Arial" w:cs="Arial"/>
          <w:color w:val="000000" w:themeColor="text1"/>
          <w:szCs w:val="24"/>
          <w:lang w:val="cs-CZ" w:eastAsia="de-AT"/>
        </w:rPr>
        <w:t xml:space="preserve">benefitů. </w:t>
      </w:r>
      <w:r w:rsidRPr="0055589B">
        <w:rPr>
          <w:rFonts w:ascii="Arial" w:hAnsi="Arial" w:cs="Arial"/>
          <w:color w:val="000000" w:themeColor="text1"/>
          <w:szCs w:val="24"/>
          <w:lang w:val="cs-CZ" w:eastAsia="de-AT"/>
        </w:rPr>
        <w:t xml:space="preserve">Společnost analyzuje typ těchto </w:t>
      </w:r>
      <w:r w:rsidR="008E393D" w:rsidRPr="0055589B">
        <w:rPr>
          <w:rFonts w:ascii="Arial" w:hAnsi="Arial" w:cs="Arial"/>
          <w:color w:val="000000" w:themeColor="text1"/>
          <w:szCs w:val="24"/>
          <w:lang w:val="cs-CZ" w:eastAsia="de-AT"/>
        </w:rPr>
        <w:t xml:space="preserve">doplňkových příplatků a benefitů a řadí je do pevné nebo pohyblivé složky </w:t>
      </w:r>
      <w:r w:rsidRPr="0055589B">
        <w:rPr>
          <w:rFonts w:ascii="Arial" w:hAnsi="Arial" w:cs="Arial"/>
          <w:color w:val="000000" w:themeColor="text1"/>
          <w:szCs w:val="24"/>
          <w:lang w:val="cs-CZ" w:eastAsia="de-AT"/>
        </w:rPr>
        <w:t xml:space="preserve">odměny. </w:t>
      </w:r>
      <w:r w:rsidR="008E393D" w:rsidRPr="0055589B">
        <w:rPr>
          <w:rFonts w:ascii="Arial" w:hAnsi="Arial" w:cs="Arial"/>
          <w:color w:val="000000" w:themeColor="text1"/>
          <w:szCs w:val="24"/>
          <w:lang w:val="cs-CZ" w:eastAsia="de-AT"/>
        </w:rPr>
        <w:t xml:space="preserve">Toto rozdělení </w:t>
      </w:r>
      <w:r w:rsidRPr="0055589B">
        <w:rPr>
          <w:rFonts w:ascii="Arial" w:hAnsi="Arial" w:cs="Arial"/>
          <w:color w:val="000000" w:themeColor="text1"/>
          <w:szCs w:val="24"/>
          <w:lang w:val="cs-CZ" w:eastAsia="de-AT"/>
        </w:rPr>
        <w:t xml:space="preserve">je založeno na </w:t>
      </w:r>
      <w:r w:rsidR="008E393D" w:rsidRPr="0055589B">
        <w:rPr>
          <w:rFonts w:ascii="Arial" w:hAnsi="Arial" w:cs="Arial"/>
          <w:color w:val="000000" w:themeColor="text1"/>
          <w:szCs w:val="24"/>
          <w:lang w:val="cs-CZ" w:eastAsia="de-AT"/>
        </w:rPr>
        <w:t xml:space="preserve">níže uvedených </w:t>
      </w:r>
      <w:r w:rsidRPr="0055589B">
        <w:rPr>
          <w:rFonts w:ascii="Arial" w:hAnsi="Arial" w:cs="Arial"/>
          <w:color w:val="000000" w:themeColor="text1"/>
          <w:szCs w:val="24"/>
          <w:lang w:val="cs-CZ" w:eastAsia="de-AT"/>
        </w:rPr>
        <w:t>kritériích</w:t>
      </w:r>
      <w:r w:rsidR="008E393D"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 xml:space="preserve">Pevná </w:t>
      </w:r>
      <w:r w:rsidR="008E393D" w:rsidRPr="0055589B">
        <w:rPr>
          <w:rFonts w:ascii="Arial" w:hAnsi="Arial" w:cs="Arial"/>
          <w:color w:val="000000" w:themeColor="text1"/>
          <w:szCs w:val="24"/>
          <w:lang w:val="cs-CZ" w:eastAsia="de-AT"/>
        </w:rPr>
        <w:t xml:space="preserve">odměna </w:t>
      </w:r>
      <w:r w:rsidRPr="0055589B">
        <w:rPr>
          <w:rFonts w:ascii="Arial" w:hAnsi="Arial" w:cs="Arial"/>
          <w:color w:val="000000" w:themeColor="text1"/>
          <w:szCs w:val="24"/>
          <w:lang w:val="cs-CZ" w:eastAsia="de-AT"/>
        </w:rPr>
        <w:t xml:space="preserve">je součtem </w:t>
      </w:r>
      <w:r w:rsidR="008E393D" w:rsidRPr="0055589B">
        <w:rPr>
          <w:rFonts w:ascii="Arial" w:hAnsi="Arial" w:cs="Arial"/>
          <w:color w:val="000000" w:themeColor="text1"/>
          <w:szCs w:val="24"/>
          <w:lang w:val="cs-CZ" w:eastAsia="de-AT"/>
        </w:rPr>
        <w:t>pevné složky mzdy a benefitů.</w:t>
      </w:r>
    </w:p>
    <w:p w14:paraId="65E4F10F" w14:textId="39A4E6CF" w:rsidR="00224561" w:rsidRPr="0055589B" w:rsidRDefault="00224561" w:rsidP="006033BF">
      <w:pPr>
        <w:pStyle w:val="Nadpis3"/>
        <w:rPr>
          <w:rFonts w:eastAsia="Times New Roman"/>
          <w:color w:val="000000" w:themeColor="text1"/>
          <w:lang w:val="cs-CZ"/>
        </w:rPr>
      </w:pPr>
      <w:bookmarkStart w:id="39" w:name="_Toc108689207"/>
      <w:r w:rsidRPr="0055589B">
        <w:rPr>
          <w:color w:val="000000" w:themeColor="text1"/>
          <w:lang w:val="cs-CZ"/>
        </w:rPr>
        <w:t>P</w:t>
      </w:r>
      <w:r w:rsidR="00A945D3" w:rsidRPr="0055589B">
        <w:rPr>
          <w:color w:val="000000" w:themeColor="text1"/>
          <w:lang w:val="cs-CZ"/>
        </w:rPr>
        <w:t xml:space="preserve">ravidla </w:t>
      </w:r>
      <w:r w:rsidRPr="0055589B">
        <w:rPr>
          <w:color w:val="000000" w:themeColor="text1"/>
          <w:lang w:val="cs-CZ"/>
        </w:rPr>
        <w:t xml:space="preserve">pro stanovení </w:t>
      </w:r>
      <w:r w:rsidR="008E393D" w:rsidRPr="0055589B">
        <w:rPr>
          <w:color w:val="000000" w:themeColor="text1"/>
          <w:lang w:val="cs-CZ"/>
        </w:rPr>
        <w:t>pevné</w:t>
      </w:r>
      <w:r w:rsidRPr="0055589B">
        <w:rPr>
          <w:color w:val="000000" w:themeColor="text1"/>
          <w:lang w:val="cs-CZ"/>
        </w:rPr>
        <w:t xml:space="preserve"> složk</w:t>
      </w:r>
      <w:r w:rsidR="008E393D" w:rsidRPr="0055589B">
        <w:rPr>
          <w:color w:val="000000" w:themeColor="text1"/>
          <w:lang w:val="cs-CZ"/>
        </w:rPr>
        <w:t>y</w:t>
      </w:r>
      <w:r w:rsidRPr="0055589B">
        <w:rPr>
          <w:color w:val="000000" w:themeColor="text1"/>
          <w:lang w:val="cs-CZ"/>
        </w:rPr>
        <w:t xml:space="preserve"> odměn</w:t>
      </w:r>
      <w:bookmarkEnd w:id="39"/>
    </w:p>
    <w:p w14:paraId="1B00C04A" w14:textId="0C6B4A76"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Odměna je </w:t>
      </w:r>
      <w:r w:rsidR="008E393D" w:rsidRPr="0055589B">
        <w:rPr>
          <w:rFonts w:ascii="Arial" w:hAnsi="Arial" w:cs="Arial"/>
          <w:color w:val="000000" w:themeColor="text1"/>
          <w:szCs w:val="24"/>
          <w:lang w:val="cs-CZ" w:eastAsia="de-AT"/>
        </w:rPr>
        <w:t xml:space="preserve">pevná, </w:t>
      </w:r>
      <w:r w:rsidRPr="0055589B">
        <w:rPr>
          <w:rFonts w:ascii="Arial" w:hAnsi="Arial" w:cs="Arial"/>
          <w:color w:val="000000" w:themeColor="text1"/>
          <w:szCs w:val="24"/>
          <w:lang w:val="cs-CZ" w:eastAsia="de-AT"/>
        </w:rPr>
        <w:t xml:space="preserve">pokud jsou platby neodvolatelné, </w:t>
      </w:r>
      <w:r w:rsidR="008E393D" w:rsidRPr="0055589B">
        <w:rPr>
          <w:rFonts w:ascii="Arial" w:hAnsi="Arial" w:cs="Arial"/>
          <w:color w:val="000000" w:themeColor="text1"/>
          <w:szCs w:val="24"/>
          <w:lang w:val="cs-CZ" w:eastAsia="de-AT"/>
        </w:rPr>
        <w:t xml:space="preserve">Společnost je nemůže </w:t>
      </w:r>
      <w:r w:rsidRPr="0055589B">
        <w:rPr>
          <w:rFonts w:ascii="Arial" w:hAnsi="Arial" w:cs="Arial"/>
          <w:color w:val="000000" w:themeColor="text1"/>
          <w:szCs w:val="24"/>
          <w:lang w:val="cs-CZ" w:eastAsia="de-AT"/>
        </w:rPr>
        <w:t>sníž</w:t>
      </w:r>
      <w:r w:rsidR="008E393D" w:rsidRPr="0055589B">
        <w:rPr>
          <w:rFonts w:ascii="Arial" w:hAnsi="Arial" w:cs="Arial"/>
          <w:color w:val="000000" w:themeColor="text1"/>
          <w:szCs w:val="24"/>
          <w:lang w:val="cs-CZ" w:eastAsia="de-AT"/>
        </w:rPr>
        <w:t xml:space="preserve">it, </w:t>
      </w:r>
      <w:r w:rsidRPr="0055589B">
        <w:rPr>
          <w:rFonts w:ascii="Arial" w:hAnsi="Arial" w:cs="Arial"/>
          <w:color w:val="000000" w:themeColor="text1"/>
          <w:szCs w:val="24"/>
          <w:lang w:val="cs-CZ" w:eastAsia="de-AT"/>
        </w:rPr>
        <w:t>pozastav</w:t>
      </w:r>
      <w:r w:rsidR="008E393D" w:rsidRPr="0055589B">
        <w:rPr>
          <w:rFonts w:ascii="Arial" w:hAnsi="Arial" w:cs="Arial"/>
          <w:color w:val="000000" w:themeColor="text1"/>
          <w:szCs w:val="24"/>
          <w:lang w:val="cs-CZ" w:eastAsia="de-AT"/>
        </w:rPr>
        <w:t xml:space="preserve">it nebo </w:t>
      </w:r>
      <w:r w:rsidRPr="0055589B">
        <w:rPr>
          <w:rFonts w:ascii="Arial" w:hAnsi="Arial" w:cs="Arial"/>
          <w:color w:val="000000" w:themeColor="text1"/>
          <w:szCs w:val="24"/>
          <w:lang w:val="cs-CZ" w:eastAsia="de-AT"/>
        </w:rPr>
        <w:t>zruš</w:t>
      </w:r>
      <w:r w:rsidR="008E393D" w:rsidRPr="0055589B">
        <w:rPr>
          <w:rFonts w:ascii="Arial" w:hAnsi="Arial" w:cs="Arial"/>
          <w:color w:val="000000" w:themeColor="text1"/>
          <w:szCs w:val="24"/>
          <w:lang w:val="cs-CZ" w:eastAsia="de-AT"/>
        </w:rPr>
        <w:t xml:space="preserve">it </w:t>
      </w:r>
      <w:r w:rsidRPr="0055589B">
        <w:rPr>
          <w:rFonts w:ascii="Arial" w:hAnsi="Arial" w:cs="Arial"/>
          <w:color w:val="000000" w:themeColor="text1"/>
          <w:szCs w:val="24"/>
          <w:lang w:val="cs-CZ" w:eastAsia="de-AT"/>
        </w:rPr>
        <w:t>a nezávis</w:t>
      </w:r>
      <w:r w:rsidR="008E393D" w:rsidRPr="0055589B">
        <w:rPr>
          <w:rFonts w:ascii="Arial" w:hAnsi="Arial" w:cs="Arial"/>
          <w:color w:val="000000" w:themeColor="text1"/>
          <w:szCs w:val="24"/>
          <w:lang w:val="cs-CZ" w:eastAsia="de-AT"/>
        </w:rPr>
        <w:t>ej</w:t>
      </w:r>
      <w:r w:rsidRPr="0055589B">
        <w:rPr>
          <w:rFonts w:ascii="Arial" w:hAnsi="Arial" w:cs="Arial"/>
          <w:color w:val="000000" w:themeColor="text1"/>
          <w:szCs w:val="24"/>
          <w:lang w:val="cs-CZ" w:eastAsia="de-AT"/>
        </w:rPr>
        <w:t>í na výkonu.</w:t>
      </w:r>
    </w:p>
    <w:p w14:paraId="06DDA9AF" w14:textId="4E3E0134"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Odměna je </w:t>
      </w:r>
      <w:r w:rsidR="00C57F36" w:rsidRPr="0055589B">
        <w:rPr>
          <w:rFonts w:ascii="Arial" w:hAnsi="Arial" w:cs="Arial"/>
          <w:color w:val="000000" w:themeColor="text1"/>
          <w:szCs w:val="24"/>
          <w:lang w:val="cs-CZ" w:eastAsia="de-AT"/>
        </w:rPr>
        <w:t>pevná v</w:t>
      </w:r>
      <w:r w:rsidRPr="0055589B">
        <w:rPr>
          <w:rFonts w:ascii="Arial" w:hAnsi="Arial" w:cs="Arial"/>
          <w:color w:val="000000" w:themeColor="text1"/>
          <w:szCs w:val="24"/>
          <w:lang w:val="cs-CZ" w:eastAsia="de-AT"/>
        </w:rPr>
        <w:t xml:space="preserve"> případě, </w:t>
      </w:r>
      <w:r w:rsidR="00C57F36" w:rsidRPr="0055589B">
        <w:rPr>
          <w:rFonts w:ascii="Arial" w:hAnsi="Arial" w:cs="Arial"/>
          <w:color w:val="000000" w:themeColor="text1"/>
          <w:szCs w:val="24"/>
          <w:lang w:val="cs-CZ" w:eastAsia="de-AT"/>
        </w:rPr>
        <w:t>kdy jsou</w:t>
      </w:r>
      <w:r w:rsidRPr="0055589B">
        <w:rPr>
          <w:rFonts w:ascii="Arial" w:hAnsi="Arial" w:cs="Arial"/>
          <w:color w:val="000000" w:themeColor="text1"/>
          <w:szCs w:val="24"/>
          <w:lang w:val="cs-CZ" w:eastAsia="de-AT"/>
        </w:rPr>
        <w:t xml:space="preserve"> podmínky pro její </w:t>
      </w:r>
      <w:r w:rsidR="00C57F36" w:rsidRPr="0055589B">
        <w:rPr>
          <w:rFonts w:ascii="Arial" w:hAnsi="Arial" w:cs="Arial"/>
          <w:color w:val="000000" w:themeColor="text1"/>
          <w:szCs w:val="24"/>
          <w:lang w:val="cs-CZ" w:eastAsia="de-AT"/>
        </w:rPr>
        <w:t>přiznání a výši:</w:t>
      </w:r>
    </w:p>
    <w:p w14:paraId="00C3470A" w14:textId="370E4766" w:rsidR="00224561" w:rsidRPr="0055589B" w:rsidRDefault="00224561" w:rsidP="00224561">
      <w:pPr>
        <w:numPr>
          <w:ilvl w:val="0"/>
          <w:numId w:val="10"/>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předem určené (tj. na základě kolektivní pracovní smlouvy);</w:t>
      </w:r>
    </w:p>
    <w:p w14:paraId="5E890167" w14:textId="0B7BE433" w:rsidR="00224561" w:rsidRPr="0055589B" w:rsidRDefault="00C57F36" w:rsidP="00224561">
      <w:pPr>
        <w:numPr>
          <w:ilvl w:val="0"/>
          <w:numId w:val="10"/>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nejsou předmětem volného rozhodování</w:t>
      </w:r>
      <w:r w:rsidR="00224561" w:rsidRPr="0055589B">
        <w:rPr>
          <w:rFonts w:ascii="Arial" w:hAnsi="Arial" w:cs="Arial"/>
          <w:color w:val="000000" w:themeColor="text1"/>
          <w:lang w:val="cs-CZ" w:eastAsia="de-AT"/>
        </w:rPr>
        <w:t xml:space="preserve"> (tj. </w:t>
      </w:r>
      <w:r w:rsidRPr="0055589B">
        <w:rPr>
          <w:rFonts w:ascii="Arial" w:hAnsi="Arial" w:cs="Arial"/>
          <w:color w:val="000000" w:themeColor="text1"/>
          <w:lang w:val="cs-CZ" w:eastAsia="de-AT"/>
        </w:rPr>
        <w:t>v</w:t>
      </w:r>
      <w:r w:rsidR="00224561" w:rsidRPr="0055589B">
        <w:rPr>
          <w:rFonts w:ascii="Arial" w:hAnsi="Arial" w:cs="Arial"/>
          <w:color w:val="000000" w:themeColor="text1"/>
          <w:lang w:val="cs-CZ" w:eastAsia="de-AT"/>
        </w:rPr>
        <w:t xml:space="preserve">šichni zaměstnanci </w:t>
      </w:r>
      <w:proofErr w:type="gramStart"/>
      <w:r w:rsidR="00224561" w:rsidRPr="0055589B">
        <w:rPr>
          <w:rFonts w:ascii="Arial" w:hAnsi="Arial" w:cs="Arial"/>
          <w:color w:val="000000" w:themeColor="text1"/>
          <w:lang w:val="cs-CZ" w:eastAsia="de-AT"/>
        </w:rPr>
        <w:t>obdrží</w:t>
      </w:r>
      <w:proofErr w:type="gramEnd"/>
      <w:r w:rsidR="00224561" w:rsidRPr="0055589B">
        <w:rPr>
          <w:rFonts w:ascii="Arial" w:hAnsi="Arial" w:cs="Arial"/>
          <w:color w:val="000000" w:themeColor="text1"/>
          <w:lang w:val="cs-CZ" w:eastAsia="de-AT"/>
        </w:rPr>
        <w:t xml:space="preserve"> alespoň pevnou </w:t>
      </w:r>
      <w:r w:rsidRPr="0055589B">
        <w:rPr>
          <w:rFonts w:ascii="Arial" w:hAnsi="Arial" w:cs="Arial"/>
          <w:color w:val="000000" w:themeColor="text1"/>
          <w:lang w:val="cs-CZ" w:eastAsia="de-AT"/>
        </w:rPr>
        <w:t xml:space="preserve">složku </w:t>
      </w:r>
      <w:r w:rsidR="00224561" w:rsidRPr="0055589B">
        <w:rPr>
          <w:rFonts w:ascii="Arial" w:hAnsi="Arial" w:cs="Arial"/>
          <w:color w:val="000000" w:themeColor="text1"/>
          <w:lang w:val="cs-CZ" w:eastAsia="de-AT"/>
        </w:rPr>
        <w:t>odměn</w:t>
      </w:r>
      <w:r w:rsidRPr="0055589B">
        <w:rPr>
          <w:rFonts w:ascii="Arial" w:hAnsi="Arial" w:cs="Arial"/>
          <w:color w:val="000000" w:themeColor="text1"/>
          <w:lang w:val="cs-CZ" w:eastAsia="de-AT"/>
        </w:rPr>
        <w:t>y</w:t>
      </w:r>
      <w:r w:rsidR="00224561" w:rsidRPr="0055589B">
        <w:rPr>
          <w:rFonts w:ascii="Arial" w:hAnsi="Arial" w:cs="Arial"/>
          <w:color w:val="000000" w:themeColor="text1"/>
          <w:lang w:val="cs-CZ" w:eastAsia="de-AT"/>
        </w:rPr>
        <w:t>);</w:t>
      </w:r>
    </w:p>
    <w:p w14:paraId="4907C428" w14:textId="3077AB69" w:rsidR="00224561" w:rsidRPr="0055589B" w:rsidRDefault="00224561" w:rsidP="00224561">
      <w:pPr>
        <w:numPr>
          <w:ilvl w:val="0"/>
          <w:numId w:val="10"/>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jsou pro zaměstnance transparentní (tj. zaměstnanci jsou formálně informováni o </w:t>
      </w:r>
      <w:r w:rsidR="00C57F36" w:rsidRPr="0055589B">
        <w:rPr>
          <w:rFonts w:ascii="Arial" w:hAnsi="Arial" w:cs="Arial"/>
          <w:color w:val="000000" w:themeColor="text1"/>
          <w:lang w:val="cs-CZ" w:eastAsia="de-AT"/>
        </w:rPr>
        <w:t xml:space="preserve">pevné </w:t>
      </w:r>
      <w:r w:rsidRPr="0055589B">
        <w:rPr>
          <w:rFonts w:ascii="Arial" w:hAnsi="Arial" w:cs="Arial"/>
          <w:color w:val="000000" w:themeColor="text1"/>
          <w:lang w:val="cs-CZ" w:eastAsia="de-AT"/>
        </w:rPr>
        <w:t>slož</w:t>
      </w:r>
      <w:r w:rsidR="00C57F36" w:rsidRPr="0055589B">
        <w:rPr>
          <w:rFonts w:ascii="Arial" w:hAnsi="Arial" w:cs="Arial"/>
          <w:color w:val="000000" w:themeColor="text1"/>
          <w:lang w:val="cs-CZ" w:eastAsia="de-AT"/>
        </w:rPr>
        <w:t xml:space="preserve">ce své </w:t>
      </w:r>
      <w:r w:rsidRPr="0055589B">
        <w:rPr>
          <w:rFonts w:ascii="Arial" w:hAnsi="Arial" w:cs="Arial"/>
          <w:color w:val="000000" w:themeColor="text1"/>
          <w:lang w:val="cs-CZ" w:eastAsia="de-AT"/>
        </w:rPr>
        <w:t>odměny);</w:t>
      </w:r>
    </w:p>
    <w:p w14:paraId="49FCFB83" w14:textId="7BD53D35" w:rsidR="00224561" w:rsidRPr="0055589B" w:rsidRDefault="00224561" w:rsidP="00224561">
      <w:pPr>
        <w:numPr>
          <w:ilvl w:val="0"/>
          <w:numId w:val="10"/>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jsou stálé, tj. </w:t>
      </w:r>
      <w:r w:rsidR="00C57F36" w:rsidRPr="0055589B">
        <w:rPr>
          <w:rFonts w:ascii="Arial" w:hAnsi="Arial" w:cs="Arial"/>
          <w:color w:val="000000" w:themeColor="text1"/>
          <w:lang w:val="cs-CZ" w:eastAsia="de-AT"/>
        </w:rPr>
        <w:t xml:space="preserve">jsou vypláceny </w:t>
      </w:r>
      <w:r w:rsidRPr="0055589B">
        <w:rPr>
          <w:rFonts w:ascii="Arial" w:hAnsi="Arial" w:cs="Arial"/>
          <w:color w:val="000000" w:themeColor="text1"/>
          <w:lang w:val="cs-CZ" w:eastAsia="de-AT"/>
        </w:rPr>
        <w:t xml:space="preserve">po dobu vázanou na </w:t>
      </w:r>
      <w:r w:rsidR="00C57F36" w:rsidRPr="0055589B">
        <w:rPr>
          <w:rFonts w:ascii="Arial" w:hAnsi="Arial" w:cs="Arial"/>
          <w:color w:val="000000" w:themeColor="text1"/>
          <w:lang w:val="cs-CZ" w:eastAsia="de-AT"/>
        </w:rPr>
        <w:t xml:space="preserve">výkon </w:t>
      </w:r>
      <w:r w:rsidRPr="0055589B">
        <w:rPr>
          <w:rFonts w:ascii="Arial" w:hAnsi="Arial" w:cs="Arial"/>
          <w:color w:val="000000" w:themeColor="text1"/>
          <w:lang w:val="cs-CZ" w:eastAsia="de-AT"/>
        </w:rPr>
        <w:t>specifick</w:t>
      </w:r>
      <w:r w:rsidR="00C57F36" w:rsidRPr="0055589B">
        <w:rPr>
          <w:rFonts w:ascii="Arial" w:hAnsi="Arial" w:cs="Arial"/>
          <w:color w:val="000000" w:themeColor="text1"/>
          <w:lang w:val="cs-CZ" w:eastAsia="de-AT"/>
        </w:rPr>
        <w:t>é</w:t>
      </w:r>
      <w:r w:rsidRPr="0055589B">
        <w:rPr>
          <w:rFonts w:ascii="Arial" w:hAnsi="Arial" w:cs="Arial"/>
          <w:color w:val="000000" w:themeColor="text1"/>
          <w:lang w:val="cs-CZ" w:eastAsia="de-AT"/>
        </w:rPr>
        <w:t xml:space="preserve"> úloh</w:t>
      </w:r>
      <w:r w:rsidR="00C57F36" w:rsidRPr="0055589B">
        <w:rPr>
          <w:rFonts w:ascii="Arial" w:hAnsi="Arial" w:cs="Arial"/>
          <w:color w:val="000000" w:themeColor="text1"/>
          <w:lang w:val="cs-CZ" w:eastAsia="de-AT"/>
        </w:rPr>
        <w:t>y</w:t>
      </w:r>
      <w:r w:rsidRPr="0055589B">
        <w:rPr>
          <w:rFonts w:ascii="Arial" w:hAnsi="Arial" w:cs="Arial"/>
          <w:color w:val="000000" w:themeColor="text1"/>
          <w:lang w:val="cs-CZ" w:eastAsia="de-AT"/>
        </w:rPr>
        <w:t xml:space="preserve"> a organizační</w:t>
      </w:r>
      <w:r w:rsidR="00C57F36" w:rsidRPr="0055589B">
        <w:rPr>
          <w:rFonts w:ascii="Arial" w:hAnsi="Arial" w:cs="Arial"/>
          <w:color w:val="000000" w:themeColor="text1"/>
          <w:lang w:val="cs-CZ" w:eastAsia="de-AT"/>
        </w:rPr>
        <w:t>ch povinností;</w:t>
      </w:r>
    </w:p>
    <w:p w14:paraId="0949A749" w14:textId="19DBDDB5" w:rsidR="00224561" w:rsidRPr="0055589B" w:rsidRDefault="00224561" w:rsidP="00224561">
      <w:pPr>
        <w:numPr>
          <w:ilvl w:val="0"/>
          <w:numId w:val="10"/>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mění </w:t>
      </w:r>
      <w:r w:rsidR="00C57F36" w:rsidRPr="0055589B">
        <w:rPr>
          <w:rFonts w:ascii="Arial" w:hAnsi="Arial" w:cs="Arial"/>
          <w:color w:val="000000" w:themeColor="text1"/>
          <w:lang w:val="cs-CZ" w:eastAsia="de-AT"/>
        </w:rPr>
        <w:t xml:space="preserve">se </w:t>
      </w:r>
      <w:r w:rsidRPr="0055589B">
        <w:rPr>
          <w:rFonts w:ascii="Arial" w:hAnsi="Arial" w:cs="Arial"/>
          <w:color w:val="000000" w:themeColor="text1"/>
          <w:lang w:val="cs-CZ" w:eastAsia="de-AT"/>
        </w:rPr>
        <w:t xml:space="preserve">pouze </w:t>
      </w:r>
      <w:r w:rsidR="00C57F36" w:rsidRPr="0055589B">
        <w:rPr>
          <w:rFonts w:ascii="Arial" w:hAnsi="Arial" w:cs="Arial"/>
          <w:color w:val="000000" w:themeColor="text1"/>
          <w:lang w:val="cs-CZ" w:eastAsia="de-AT"/>
        </w:rPr>
        <w:t xml:space="preserve">na základě změny </w:t>
      </w:r>
      <w:r w:rsidRPr="0055589B">
        <w:rPr>
          <w:rFonts w:ascii="Arial" w:hAnsi="Arial" w:cs="Arial"/>
          <w:color w:val="000000" w:themeColor="text1"/>
          <w:lang w:val="cs-CZ" w:eastAsia="de-AT"/>
        </w:rPr>
        <w:t>příslušné</w:t>
      </w:r>
      <w:r w:rsidR="00C57F36" w:rsidRPr="0055589B">
        <w:rPr>
          <w:rFonts w:ascii="Arial" w:hAnsi="Arial" w:cs="Arial"/>
          <w:color w:val="000000" w:themeColor="text1"/>
          <w:lang w:val="cs-CZ" w:eastAsia="de-AT"/>
        </w:rPr>
        <w:t xml:space="preserve"> </w:t>
      </w:r>
      <w:r w:rsidRPr="0055589B">
        <w:rPr>
          <w:rFonts w:ascii="Arial" w:hAnsi="Arial" w:cs="Arial"/>
          <w:color w:val="000000" w:themeColor="text1"/>
          <w:lang w:val="cs-CZ" w:eastAsia="de-AT"/>
        </w:rPr>
        <w:t xml:space="preserve">politiky, prostřednictvím kolektivní smlouvy nebo </w:t>
      </w:r>
      <w:r w:rsidR="00C57F36" w:rsidRPr="0055589B">
        <w:rPr>
          <w:rFonts w:ascii="Arial" w:hAnsi="Arial" w:cs="Arial"/>
          <w:color w:val="000000" w:themeColor="text1"/>
          <w:lang w:val="cs-CZ" w:eastAsia="de-AT"/>
        </w:rPr>
        <w:t>na základě dalšího vyjednávání v</w:t>
      </w:r>
      <w:r w:rsidRPr="0055589B">
        <w:rPr>
          <w:rFonts w:ascii="Arial" w:hAnsi="Arial" w:cs="Arial"/>
          <w:color w:val="000000" w:themeColor="text1"/>
          <w:lang w:val="cs-CZ" w:eastAsia="de-AT"/>
        </w:rPr>
        <w:t xml:space="preserve"> souladu s vnitrostátními právními předpisy.</w:t>
      </w:r>
    </w:p>
    <w:p w14:paraId="69A35510" w14:textId="340760DE" w:rsidR="00224561" w:rsidRPr="0055589B" w:rsidRDefault="00C57F36" w:rsidP="00224561">
      <w:pPr>
        <w:numPr>
          <w:ilvl w:val="0"/>
          <w:numId w:val="10"/>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její součástí </w:t>
      </w:r>
      <w:r w:rsidR="00224561" w:rsidRPr="0055589B">
        <w:rPr>
          <w:rFonts w:ascii="Arial" w:hAnsi="Arial" w:cs="Arial"/>
          <w:color w:val="000000" w:themeColor="text1"/>
          <w:lang w:val="cs-CZ" w:eastAsia="de-AT"/>
        </w:rPr>
        <w:t>ne</w:t>
      </w:r>
      <w:r w:rsidRPr="0055589B">
        <w:rPr>
          <w:rFonts w:ascii="Arial" w:hAnsi="Arial" w:cs="Arial"/>
          <w:color w:val="000000" w:themeColor="text1"/>
          <w:lang w:val="cs-CZ" w:eastAsia="de-AT"/>
        </w:rPr>
        <w:t xml:space="preserve">jsou </w:t>
      </w:r>
      <w:r w:rsidR="00224561" w:rsidRPr="0055589B">
        <w:rPr>
          <w:rFonts w:ascii="Arial" w:hAnsi="Arial" w:cs="Arial"/>
          <w:color w:val="000000" w:themeColor="text1"/>
          <w:lang w:val="cs-CZ" w:eastAsia="de-AT"/>
        </w:rPr>
        <w:t>pobídky pro přijímání rizik; a</w:t>
      </w:r>
    </w:p>
    <w:p w14:paraId="3A0333D5" w14:textId="64F99C28" w:rsidR="00224561" w:rsidRPr="0055589B" w:rsidRDefault="00224561" w:rsidP="00224561">
      <w:pPr>
        <w:numPr>
          <w:ilvl w:val="0"/>
          <w:numId w:val="10"/>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n</w:t>
      </w:r>
      <w:r w:rsidR="00C57F36" w:rsidRPr="0055589B">
        <w:rPr>
          <w:rFonts w:ascii="Arial" w:hAnsi="Arial" w:cs="Arial"/>
          <w:color w:val="000000" w:themeColor="text1"/>
          <w:lang w:val="cs-CZ" w:eastAsia="de-AT"/>
        </w:rPr>
        <w:t xml:space="preserve">ení </w:t>
      </w:r>
      <w:r w:rsidRPr="0055589B">
        <w:rPr>
          <w:rFonts w:ascii="Arial" w:hAnsi="Arial" w:cs="Arial"/>
          <w:color w:val="000000" w:themeColor="text1"/>
          <w:lang w:val="cs-CZ" w:eastAsia="de-AT"/>
        </w:rPr>
        <w:t>dotčen</w:t>
      </w:r>
      <w:r w:rsidR="00C57F36" w:rsidRPr="0055589B">
        <w:rPr>
          <w:rFonts w:ascii="Arial" w:hAnsi="Arial" w:cs="Arial"/>
          <w:color w:val="000000" w:themeColor="text1"/>
          <w:lang w:val="cs-CZ" w:eastAsia="de-AT"/>
        </w:rPr>
        <w:t>a</w:t>
      </w:r>
      <w:r w:rsidRPr="0055589B">
        <w:rPr>
          <w:rFonts w:ascii="Arial" w:hAnsi="Arial" w:cs="Arial"/>
          <w:color w:val="000000" w:themeColor="text1"/>
          <w:lang w:val="cs-CZ" w:eastAsia="de-AT"/>
        </w:rPr>
        <w:t xml:space="preserve"> vnitrostátní</w:t>
      </w:r>
      <w:r w:rsidR="00C57F36" w:rsidRPr="0055589B">
        <w:rPr>
          <w:rFonts w:ascii="Arial" w:hAnsi="Arial" w:cs="Arial"/>
          <w:color w:val="000000" w:themeColor="text1"/>
          <w:lang w:val="cs-CZ" w:eastAsia="de-AT"/>
        </w:rPr>
        <w:t>mi</w:t>
      </w:r>
      <w:r w:rsidRPr="0055589B">
        <w:rPr>
          <w:rFonts w:ascii="Arial" w:hAnsi="Arial" w:cs="Arial"/>
          <w:color w:val="000000" w:themeColor="text1"/>
          <w:lang w:val="cs-CZ" w:eastAsia="de-AT"/>
        </w:rPr>
        <w:t xml:space="preserve"> právní</w:t>
      </w:r>
      <w:r w:rsidR="00C57F36" w:rsidRPr="0055589B">
        <w:rPr>
          <w:rFonts w:ascii="Arial" w:hAnsi="Arial" w:cs="Arial"/>
          <w:color w:val="000000" w:themeColor="text1"/>
          <w:lang w:val="cs-CZ" w:eastAsia="de-AT"/>
        </w:rPr>
        <w:t>mi</w:t>
      </w:r>
      <w:r w:rsidRPr="0055589B">
        <w:rPr>
          <w:rFonts w:ascii="Arial" w:hAnsi="Arial" w:cs="Arial"/>
          <w:color w:val="000000" w:themeColor="text1"/>
          <w:lang w:val="cs-CZ" w:eastAsia="de-AT"/>
        </w:rPr>
        <w:t xml:space="preserve"> předpisy. </w:t>
      </w:r>
    </w:p>
    <w:p w14:paraId="27E8573C" w14:textId="14F72993" w:rsidR="00224561" w:rsidRPr="0055589B" w:rsidRDefault="00224561" w:rsidP="007F006A">
      <w:p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szCs w:val="24"/>
          <w:lang w:val="cs-CZ" w:eastAsia="de-AT"/>
        </w:rPr>
        <w:t xml:space="preserve">Za fixní se rovněž považují </w:t>
      </w:r>
      <w:r w:rsidR="00C57F36" w:rsidRPr="0055589B">
        <w:rPr>
          <w:rFonts w:ascii="Arial" w:hAnsi="Arial" w:cs="Arial"/>
          <w:color w:val="000000" w:themeColor="text1"/>
          <w:szCs w:val="24"/>
          <w:lang w:val="cs-CZ" w:eastAsia="de-AT"/>
        </w:rPr>
        <w:t xml:space="preserve">následující </w:t>
      </w:r>
      <w:r w:rsidRPr="0055589B">
        <w:rPr>
          <w:rFonts w:ascii="Arial" w:hAnsi="Arial" w:cs="Arial"/>
          <w:color w:val="000000" w:themeColor="text1"/>
          <w:szCs w:val="24"/>
          <w:lang w:val="cs-CZ" w:eastAsia="de-AT"/>
        </w:rPr>
        <w:t>složky odmě</w:t>
      </w:r>
      <w:r w:rsidR="00C57F36" w:rsidRPr="0055589B">
        <w:rPr>
          <w:rFonts w:ascii="Arial" w:hAnsi="Arial" w:cs="Arial"/>
          <w:color w:val="000000" w:themeColor="text1"/>
          <w:szCs w:val="24"/>
          <w:lang w:val="cs-CZ" w:eastAsia="de-AT"/>
        </w:rPr>
        <w:t>n</w:t>
      </w:r>
      <w:r w:rsidRPr="0055589B">
        <w:rPr>
          <w:rFonts w:ascii="Arial" w:hAnsi="Arial" w:cs="Arial"/>
          <w:color w:val="000000" w:themeColor="text1"/>
          <w:szCs w:val="24"/>
          <w:lang w:val="cs-CZ" w:eastAsia="de-AT"/>
        </w:rPr>
        <w:t xml:space="preserve"> (často </w:t>
      </w:r>
      <w:r w:rsidR="00C57F36" w:rsidRPr="0055589B">
        <w:rPr>
          <w:rFonts w:ascii="Arial" w:hAnsi="Arial" w:cs="Arial"/>
          <w:color w:val="000000" w:themeColor="text1"/>
          <w:szCs w:val="24"/>
          <w:lang w:val="cs-CZ" w:eastAsia="de-AT"/>
        </w:rPr>
        <w:t xml:space="preserve">jde o </w:t>
      </w:r>
      <w:r w:rsidRPr="0055589B">
        <w:rPr>
          <w:rFonts w:ascii="Arial" w:hAnsi="Arial" w:cs="Arial"/>
          <w:color w:val="000000" w:themeColor="text1"/>
          <w:szCs w:val="24"/>
          <w:lang w:val="cs-CZ" w:eastAsia="de-AT"/>
        </w:rPr>
        <w:t>typ pří</w:t>
      </w:r>
      <w:r w:rsidR="00C57F36" w:rsidRPr="0055589B">
        <w:rPr>
          <w:rFonts w:ascii="Arial" w:hAnsi="Arial" w:cs="Arial"/>
          <w:color w:val="000000" w:themeColor="text1"/>
          <w:szCs w:val="24"/>
          <w:lang w:val="cs-CZ" w:eastAsia="de-AT"/>
        </w:rPr>
        <w:t>platku nebo doplňkové náhrady nebo součást benefitů)</w:t>
      </w:r>
      <w:r w:rsidRPr="0055589B">
        <w:rPr>
          <w:rFonts w:ascii="Arial" w:hAnsi="Arial" w:cs="Arial"/>
          <w:color w:val="000000" w:themeColor="text1"/>
          <w:szCs w:val="24"/>
          <w:lang w:val="cs-CZ" w:eastAsia="de-AT"/>
        </w:rPr>
        <w:t>:</w:t>
      </w:r>
    </w:p>
    <w:p w14:paraId="17675F02" w14:textId="23B6190B" w:rsidR="00224561" w:rsidRPr="0055589B" w:rsidRDefault="00224561" w:rsidP="00224561">
      <w:pPr>
        <w:numPr>
          <w:ilvl w:val="0"/>
          <w:numId w:val="11"/>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pří</w:t>
      </w:r>
      <w:r w:rsidR="00CC6380" w:rsidRPr="0055589B">
        <w:rPr>
          <w:rFonts w:ascii="Arial" w:hAnsi="Arial" w:cs="Arial"/>
          <w:color w:val="000000" w:themeColor="text1"/>
          <w:lang w:val="cs-CZ" w:eastAsia="de-AT"/>
        </w:rPr>
        <w:t xml:space="preserve">platek / doplňkový benefit </w:t>
      </w:r>
      <w:r w:rsidRPr="0055589B">
        <w:rPr>
          <w:rFonts w:ascii="Arial" w:hAnsi="Arial" w:cs="Arial"/>
          <w:color w:val="000000" w:themeColor="text1"/>
          <w:lang w:val="cs-CZ" w:eastAsia="de-AT"/>
        </w:rPr>
        <w:t xml:space="preserve">je vázán na </w:t>
      </w:r>
      <w:r w:rsidR="00665E05" w:rsidRPr="0055589B">
        <w:rPr>
          <w:rFonts w:ascii="Arial" w:hAnsi="Arial" w:cs="Arial"/>
          <w:color w:val="000000" w:themeColor="text1"/>
          <w:lang w:val="cs-CZ" w:eastAsia="de-AT"/>
        </w:rPr>
        <w:t xml:space="preserve">roli </w:t>
      </w:r>
      <w:r w:rsidRPr="0055589B">
        <w:rPr>
          <w:rFonts w:ascii="Arial" w:hAnsi="Arial" w:cs="Arial"/>
          <w:color w:val="000000" w:themeColor="text1"/>
          <w:lang w:val="cs-CZ" w:eastAsia="de-AT"/>
        </w:rPr>
        <w:t>nebo organizační odpovědnost a</w:t>
      </w:r>
      <w:r w:rsidR="004B730C" w:rsidRPr="0055589B">
        <w:rPr>
          <w:rFonts w:ascii="Arial" w:hAnsi="Arial" w:cs="Arial"/>
          <w:color w:val="000000" w:themeColor="text1"/>
          <w:lang w:val="cs-CZ" w:eastAsia="de-AT"/>
        </w:rPr>
        <w:t xml:space="preserve"> je přiznán, p</w:t>
      </w:r>
      <w:r w:rsidRPr="0055589B">
        <w:rPr>
          <w:rFonts w:ascii="Arial" w:hAnsi="Arial" w:cs="Arial"/>
          <w:color w:val="000000" w:themeColor="text1"/>
          <w:lang w:val="cs-CZ" w:eastAsia="de-AT"/>
        </w:rPr>
        <w:t xml:space="preserve">okud nedojde k podstatným změnám v souvislosti s odpovědností a </w:t>
      </w:r>
      <w:r w:rsidR="004B730C" w:rsidRPr="0055589B">
        <w:rPr>
          <w:rFonts w:ascii="Arial" w:hAnsi="Arial" w:cs="Arial"/>
          <w:color w:val="000000" w:themeColor="text1"/>
          <w:lang w:val="cs-CZ" w:eastAsia="de-AT"/>
        </w:rPr>
        <w:t xml:space="preserve">pravomocemi spojenými s danou rolí tak, že by </w:t>
      </w:r>
      <w:r w:rsidRPr="0055589B">
        <w:rPr>
          <w:rFonts w:ascii="Arial" w:hAnsi="Arial" w:cs="Arial"/>
          <w:color w:val="000000" w:themeColor="text1"/>
          <w:lang w:val="cs-CZ" w:eastAsia="de-AT"/>
        </w:rPr>
        <w:t>ve skutečnosti zaměstnan</w:t>
      </w:r>
      <w:r w:rsidR="004B730C" w:rsidRPr="0055589B">
        <w:rPr>
          <w:rFonts w:ascii="Arial" w:hAnsi="Arial" w:cs="Arial"/>
          <w:color w:val="000000" w:themeColor="text1"/>
          <w:lang w:val="cs-CZ" w:eastAsia="de-AT"/>
        </w:rPr>
        <w:t>e</w:t>
      </w:r>
      <w:r w:rsidRPr="0055589B">
        <w:rPr>
          <w:rFonts w:ascii="Arial" w:hAnsi="Arial" w:cs="Arial"/>
          <w:color w:val="000000" w:themeColor="text1"/>
          <w:lang w:val="cs-CZ" w:eastAsia="de-AT"/>
        </w:rPr>
        <w:t>c měl</w:t>
      </w:r>
      <w:r w:rsidR="004B730C" w:rsidRPr="0055589B">
        <w:rPr>
          <w:rFonts w:ascii="Arial" w:hAnsi="Arial" w:cs="Arial"/>
          <w:color w:val="000000" w:themeColor="text1"/>
          <w:lang w:val="cs-CZ" w:eastAsia="de-AT"/>
        </w:rPr>
        <w:t xml:space="preserve"> v rámci organizace</w:t>
      </w:r>
      <w:r w:rsidRPr="0055589B">
        <w:rPr>
          <w:rFonts w:ascii="Arial" w:hAnsi="Arial" w:cs="Arial"/>
          <w:color w:val="000000" w:themeColor="text1"/>
          <w:lang w:val="cs-CZ" w:eastAsia="de-AT"/>
        </w:rPr>
        <w:t xml:space="preserve"> jinou roli nebo odpovědnost;</w:t>
      </w:r>
    </w:p>
    <w:p w14:paraId="73B48AC4" w14:textId="71729CDD" w:rsidR="00224561" w:rsidRPr="0055589B" w:rsidRDefault="00224561" w:rsidP="00224561">
      <w:pPr>
        <w:numPr>
          <w:ilvl w:val="0"/>
          <w:numId w:val="11"/>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částka nezávisí na jiných faktorech než na </w:t>
      </w:r>
      <w:r w:rsidR="0039028E" w:rsidRPr="0055589B">
        <w:rPr>
          <w:rFonts w:ascii="Arial" w:hAnsi="Arial" w:cs="Arial"/>
          <w:color w:val="000000" w:themeColor="text1"/>
          <w:lang w:val="cs-CZ" w:eastAsia="de-AT"/>
        </w:rPr>
        <w:t>s</w:t>
      </w:r>
      <w:r w:rsidRPr="0055589B">
        <w:rPr>
          <w:rFonts w:ascii="Arial" w:hAnsi="Arial" w:cs="Arial"/>
          <w:color w:val="000000" w:themeColor="text1"/>
          <w:lang w:val="cs-CZ" w:eastAsia="de-AT"/>
        </w:rPr>
        <w:t>plnění určité</w:t>
      </w:r>
      <w:r w:rsidR="0039028E" w:rsidRPr="0055589B">
        <w:rPr>
          <w:rFonts w:ascii="Arial" w:hAnsi="Arial" w:cs="Arial"/>
          <w:color w:val="000000" w:themeColor="text1"/>
          <w:lang w:val="cs-CZ" w:eastAsia="de-AT"/>
        </w:rPr>
        <w:t xml:space="preserve"> </w:t>
      </w:r>
      <w:r w:rsidRPr="0055589B">
        <w:rPr>
          <w:rFonts w:ascii="Arial" w:hAnsi="Arial" w:cs="Arial"/>
          <w:color w:val="000000" w:themeColor="text1"/>
          <w:lang w:val="cs-CZ" w:eastAsia="de-AT"/>
        </w:rPr>
        <w:t xml:space="preserve">role nebo na </w:t>
      </w:r>
      <w:r w:rsidR="0039028E" w:rsidRPr="0055589B">
        <w:rPr>
          <w:rFonts w:ascii="Arial" w:hAnsi="Arial" w:cs="Arial"/>
          <w:color w:val="000000" w:themeColor="text1"/>
          <w:lang w:val="cs-CZ" w:eastAsia="de-AT"/>
        </w:rPr>
        <w:t xml:space="preserve">výkon </w:t>
      </w:r>
      <w:r w:rsidRPr="0055589B">
        <w:rPr>
          <w:rFonts w:ascii="Arial" w:hAnsi="Arial" w:cs="Arial"/>
          <w:color w:val="000000" w:themeColor="text1"/>
          <w:lang w:val="cs-CZ" w:eastAsia="de-AT"/>
        </w:rPr>
        <w:t>určité odpovědnosti</w:t>
      </w:r>
      <w:r w:rsidR="0039028E" w:rsidRPr="0055589B">
        <w:rPr>
          <w:rFonts w:ascii="Arial" w:hAnsi="Arial" w:cs="Arial"/>
          <w:color w:val="000000" w:themeColor="text1"/>
          <w:lang w:val="cs-CZ" w:eastAsia="de-AT"/>
        </w:rPr>
        <w:t xml:space="preserve"> v rámci organizace</w:t>
      </w:r>
      <w:r w:rsidRPr="0055589B">
        <w:rPr>
          <w:rFonts w:ascii="Arial" w:hAnsi="Arial" w:cs="Arial"/>
          <w:color w:val="000000" w:themeColor="text1"/>
          <w:lang w:val="cs-CZ" w:eastAsia="de-AT"/>
        </w:rPr>
        <w:t>;</w:t>
      </w:r>
    </w:p>
    <w:p w14:paraId="703C867F" w14:textId="1D207061" w:rsidR="00224561" w:rsidRPr="0055589B" w:rsidRDefault="00263B09" w:rsidP="00224561">
      <w:pPr>
        <w:numPr>
          <w:ilvl w:val="0"/>
          <w:numId w:val="11"/>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k</w:t>
      </w:r>
      <w:r w:rsidR="00224561" w:rsidRPr="0055589B">
        <w:rPr>
          <w:rFonts w:ascii="Arial" w:hAnsi="Arial" w:cs="Arial"/>
          <w:color w:val="000000" w:themeColor="text1"/>
          <w:lang w:val="cs-CZ" w:eastAsia="de-AT"/>
        </w:rPr>
        <w:t xml:space="preserve">aždý zaměstnanec, který </w:t>
      </w:r>
      <w:r w:rsidRPr="0055589B">
        <w:rPr>
          <w:rFonts w:ascii="Arial" w:hAnsi="Arial" w:cs="Arial"/>
          <w:color w:val="000000" w:themeColor="text1"/>
          <w:lang w:val="cs-CZ" w:eastAsia="de-AT"/>
        </w:rPr>
        <w:t>vykonává</w:t>
      </w:r>
      <w:r w:rsidR="00224561" w:rsidRPr="0055589B">
        <w:rPr>
          <w:rFonts w:ascii="Arial" w:hAnsi="Arial" w:cs="Arial"/>
          <w:color w:val="000000" w:themeColor="text1"/>
          <w:lang w:val="cs-CZ" w:eastAsia="de-AT"/>
        </w:rPr>
        <w:t xml:space="preserve"> stejnou </w:t>
      </w:r>
      <w:r w:rsidRPr="0055589B">
        <w:rPr>
          <w:rFonts w:ascii="Arial" w:hAnsi="Arial" w:cs="Arial"/>
          <w:color w:val="000000" w:themeColor="text1"/>
          <w:lang w:val="cs-CZ" w:eastAsia="de-AT"/>
        </w:rPr>
        <w:t>roli</w:t>
      </w:r>
      <w:r w:rsidR="00224561" w:rsidRPr="0055589B">
        <w:rPr>
          <w:rFonts w:ascii="Arial" w:hAnsi="Arial" w:cs="Arial"/>
          <w:color w:val="000000" w:themeColor="text1"/>
          <w:lang w:val="cs-CZ" w:eastAsia="de-AT"/>
        </w:rPr>
        <w:t xml:space="preserve"> nebo má </w:t>
      </w:r>
      <w:r w:rsidRPr="0055589B">
        <w:rPr>
          <w:rFonts w:ascii="Arial" w:hAnsi="Arial" w:cs="Arial"/>
          <w:color w:val="000000" w:themeColor="text1"/>
          <w:lang w:val="cs-CZ" w:eastAsia="de-AT"/>
        </w:rPr>
        <w:t xml:space="preserve">v rámci organizace </w:t>
      </w:r>
      <w:r w:rsidR="00224561" w:rsidRPr="0055589B">
        <w:rPr>
          <w:rFonts w:ascii="Arial" w:hAnsi="Arial" w:cs="Arial"/>
          <w:color w:val="000000" w:themeColor="text1"/>
          <w:lang w:val="cs-CZ" w:eastAsia="de-AT"/>
        </w:rPr>
        <w:t>stejnou odpovědnost a který je ve srovnatelné situaci, by mohl mít nárok na srovnateln</w:t>
      </w:r>
      <w:r w:rsidRPr="0055589B">
        <w:rPr>
          <w:rFonts w:ascii="Arial" w:hAnsi="Arial" w:cs="Arial"/>
          <w:color w:val="000000" w:themeColor="text1"/>
          <w:lang w:val="cs-CZ" w:eastAsia="de-AT"/>
        </w:rPr>
        <w:t>ý příplatek / doplňkový benefit;</w:t>
      </w:r>
    </w:p>
    <w:p w14:paraId="5D00BBBB" w14:textId="64E5830F" w:rsidR="00224561" w:rsidRPr="0055589B" w:rsidRDefault="00263B09" w:rsidP="00224561">
      <w:pPr>
        <w:numPr>
          <w:ilvl w:val="0"/>
          <w:numId w:val="11"/>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u o</w:t>
      </w:r>
      <w:r w:rsidR="00224561" w:rsidRPr="0055589B">
        <w:rPr>
          <w:rFonts w:ascii="Arial" w:hAnsi="Arial" w:cs="Arial"/>
          <w:color w:val="000000" w:themeColor="text1"/>
          <w:lang w:val="cs-CZ" w:eastAsia="de-AT"/>
        </w:rPr>
        <w:t xml:space="preserve">dměn </w:t>
      </w:r>
      <w:r w:rsidR="00CC6380" w:rsidRPr="0055589B">
        <w:rPr>
          <w:rFonts w:ascii="Arial" w:hAnsi="Arial" w:cs="Arial"/>
          <w:color w:val="000000" w:themeColor="text1"/>
          <w:lang w:val="cs-CZ" w:eastAsia="de-AT"/>
        </w:rPr>
        <w:t>vy</w:t>
      </w:r>
      <w:r w:rsidR="00224561" w:rsidRPr="0055589B">
        <w:rPr>
          <w:rFonts w:ascii="Arial" w:hAnsi="Arial" w:cs="Arial"/>
          <w:color w:val="000000" w:themeColor="text1"/>
          <w:lang w:val="cs-CZ" w:eastAsia="de-AT"/>
        </w:rPr>
        <w:t>pl</w:t>
      </w:r>
      <w:r w:rsidR="00CC6380" w:rsidRPr="0055589B">
        <w:rPr>
          <w:rFonts w:ascii="Arial" w:hAnsi="Arial" w:cs="Arial"/>
          <w:color w:val="000000" w:themeColor="text1"/>
          <w:lang w:val="cs-CZ" w:eastAsia="de-AT"/>
        </w:rPr>
        <w:t>á</w:t>
      </w:r>
      <w:r w:rsidR="00224561" w:rsidRPr="0055589B">
        <w:rPr>
          <w:rFonts w:ascii="Arial" w:hAnsi="Arial" w:cs="Arial"/>
          <w:color w:val="000000" w:themeColor="text1"/>
          <w:lang w:val="cs-CZ" w:eastAsia="de-AT"/>
        </w:rPr>
        <w:t>cen</w:t>
      </w:r>
      <w:r w:rsidRPr="0055589B">
        <w:rPr>
          <w:rFonts w:ascii="Arial" w:hAnsi="Arial" w:cs="Arial"/>
          <w:color w:val="000000" w:themeColor="text1"/>
          <w:lang w:val="cs-CZ" w:eastAsia="de-AT"/>
        </w:rPr>
        <w:t>ých</w:t>
      </w:r>
      <w:r w:rsidR="00224561" w:rsidRPr="0055589B">
        <w:rPr>
          <w:rFonts w:ascii="Arial" w:hAnsi="Arial" w:cs="Arial"/>
          <w:color w:val="000000" w:themeColor="text1"/>
          <w:lang w:val="cs-CZ" w:eastAsia="de-AT"/>
        </w:rPr>
        <w:t xml:space="preserve"> zaměstnancům </w:t>
      </w:r>
      <w:r w:rsidRPr="0055589B">
        <w:rPr>
          <w:rFonts w:ascii="Arial" w:hAnsi="Arial" w:cs="Arial"/>
          <w:color w:val="000000" w:themeColor="text1"/>
          <w:lang w:val="cs-CZ" w:eastAsia="de-AT"/>
        </w:rPr>
        <w:t xml:space="preserve">mimo jejich domovskou zemi, které zohledňují </w:t>
      </w:r>
      <w:r w:rsidR="00224561" w:rsidRPr="0055589B">
        <w:rPr>
          <w:rFonts w:ascii="Arial" w:hAnsi="Arial" w:cs="Arial"/>
          <w:color w:val="000000" w:themeColor="text1"/>
          <w:lang w:val="cs-CZ" w:eastAsia="de-AT"/>
        </w:rPr>
        <w:t xml:space="preserve">životní náklady v jiném státě, </w:t>
      </w:r>
      <w:r w:rsidRPr="0055589B">
        <w:rPr>
          <w:rFonts w:ascii="Arial" w:hAnsi="Arial" w:cs="Arial"/>
          <w:color w:val="000000" w:themeColor="text1"/>
          <w:lang w:val="cs-CZ" w:eastAsia="de-AT"/>
        </w:rPr>
        <w:t>se</w:t>
      </w:r>
      <w:r w:rsidR="00224561" w:rsidRPr="0055589B">
        <w:rPr>
          <w:rFonts w:ascii="Arial" w:hAnsi="Arial" w:cs="Arial"/>
          <w:color w:val="000000" w:themeColor="text1"/>
          <w:lang w:val="cs-CZ" w:eastAsia="de-AT"/>
        </w:rPr>
        <w:t xml:space="preserve"> </w:t>
      </w:r>
      <w:r w:rsidRPr="0055589B">
        <w:rPr>
          <w:rFonts w:ascii="Arial" w:hAnsi="Arial" w:cs="Arial"/>
          <w:color w:val="000000" w:themeColor="text1"/>
          <w:lang w:val="cs-CZ" w:eastAsia="de-AT"/>
        </w:rPr>
        <w:t xml:space="preserve">ve </w:t>
      </w:r>
      <w:r w:rsidR="00224561" w:rsidRPr="0055589B">
        <w:rPr>
          <w:rFonts w:ascii="Arial" w:hAnsi="Arial" w:cs="Arial"/>
          <w:color w:val="000000" w:themeColor="text1"/>
          <w:lang w:val="cs-CZ" w:eastAsia="de-AT"/>
        </w:rPr>
        <w:t>všech podobn</w:t>
      </w:r>
      <w:r w:rsidRPr="0055589B">
        <w:rPr>
          <w:rFonts w:ascii="Arial" w:hAnsi="Arial" w:cs="Arial"/>
          <w:color w:val="000000" w:themeColor="text1"/>
          <w:lang w:val="cs-CZ" w:eastAsia="de-AT"/>
        </w:rPr>
        <w:t>ých</w:t>
      </w:r>
      <w:r w:rsidR="00224561" w:rsidRPr="0055589B">
        <w:rPr>
          <w:rFonts w:ascii="Arial" w:hAnsi="Arial" w:cs="Arial"/>
          <w:color w:val="000000" w:themeColor="text1"/>
          <w:lang w:val="cs-CZ" w:eastAsia="de-AT"/>
        </w:rPr>
        <w:t xml:space="preserve"> situac</w:t>
      </w:r>
      <w:r w:rsidRPr="0055589B">
        <w:rPr>
          <w:rFonts w:ascii="Arial" w:hAnsi="Arial" w:cs="Arial"/>
          <w:color w:val="000000" w:themeColor="text1"/>
          <w:lang w:val="cs-CZ" w:eastAsia="de-AT"/>
        </w:rPr>
        <w:t xml:space="preserve">ích postupuje </w:t>
      </w:r>
      <w:r w:rsidR="00224561" w:rsidRPr="0055589B">
        <w:rPr>
          <w:rFonts w:ascii="Arial" w:hAnsi="Arial" w:cs="Arial"/>
          <w:color w:val="000000" w:themeColor="text1"/>
          <w:lang w:val="cs-CZ" w:eastAsia="de-AT"/>
        </w:rPr>
        <w:t>jednotn</w:t>
      </w:r>
      <w:r w:rsidRPr="0055589B">
        <w:rPr>
          <w:rFonts w:ascii="Arial" w:hAnsi="Arial" w:cs="Arial"/>
          <w:color w:val="000000" w:themeColor="text1"/>
          <w:lang w:val="cs-CZ" w:eastAsia="de-AT"/>
        </w:rPr>
        <w:t>ě</w:t>
      </w:r>
      <w:r w:rsidR="00224561" w:rsidRPr="0055589B">
        <w:rPr>
          <w:rFonts w:ascii="Arial" w:hAnsi="Arial" w:cs="Arial"/>
          <w:color w:val="000000" w:themeColor="text1"/>
          <w:lang w:val="cs-CZ" w:eastAsia="de-AT"/>
        </w:rPr>
        <w:t>;</w:t>
      </w:r>
    </w:p>
    <w:p w14:paraId="002EF00C" w14:textId="7F0B628E" w:rsidR="00224561" w:rsidRPr="0055589B" w:rsidRDefault="00263B09" w:rsidP="00224561">
      <w:pPr>
        <w:numPr>
          <w:ilvl w:val="0"/>
          <w:numId w:val="11"/>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lastRenderedPageBreak/>
        <w:t>příplatek / doplňkový benefit</w:t>
      </w:r>
      <w:r w:rsidR="00224561" w:rsidRPr="0055589B">
        <w:rPr>
          <w:rFonts w:ascii="Arial" w:hAnsi="Arial" w:cs="Arial"/>
          <w:color w:val="000000" w:themeColor="text1"/>
          <w:lang w:val="cs-CZ" w:eastAsia="de-AT"/>
        </w:rPr>
        <w:t xml:space="preserve"> </w:t>
      </w:r>
      <w:r w:rsidRPr="0055589B">
        <w:rPr>
          <w:rFonts w:ascii="Arial" w:hAnsi="Arial" w:cs="Arial"/>
          <w:color w:val="000000" w:themeColor="text1"/>
          <w:lang w:val="cs-CZ" w:eastAsia="de-AT"/>
        </w:rPr>
        <w:t>použ</w:t>
      </w:r>
      <w:r w:rsidR="009D0E51" w:rsidRPr="0055589B">
        <w:rPr>
          <w:rFonts w:ascii="Arial" w:hAnsi="Arial" w:cs="Arial"/>
          <w:color w:val="000000" w:themeColor="text1"/>
          <w:lang w:val="cs-CZ" w:eastAsia="de-AT"/>
        </w:rPr>
        <w:t>ívaný</w:t>
      </w:r>
      <w:r w:rsidRPr="0055589B">
        <w:rPr>
          <w:rFonts w:ascii="Arial" w:hAnsi="Arial" w:cs="Arial"/>
          <w:color w:val="000000" w:themeColor="text1"/>
          <w:lang w:val="cs-CZ" w:eastAsia="de-AT"/>
        </w:rPr>
        <w:t xml:space="preserve"> </w:t>
      </w:r>
      <w:r w:rsidR="00224561" w:rsidRPr="0055589B">
        <w:rPr>
          <w:rFonts w:ascii="Arial" w:hAnsi="Arial" w:cs="Arial"/>
          <w:color w:val="000000" w:themeColor="text1"/>
          <w:lang w:val="cs-CZ" w:eastAsia="de-AT"/>
        </w:rPr>
        <w:t>ke zvýšení základní</w:t>
      </w:r>
      <w:r w:rsidR="009D0E51" w:rsidRPr="0055589B">
        <w:rPr>
          <w:rFonts w:ascii="Arial" w:hAnsi="Arial" w:cs="Arial"/>
          <w:color w:val="000000" w:themeColor="text1"/>
          <w:lang w:val="cs-CZ" w:eastAsia="de-AT"/>
        </w:rPr>
        <w:t xml:space="preserve"> mzdy</w:t>
      </w:r>
      <w:r w:rsidR="00224561" w:rsidRPr="0055589B">
        <w:rPr>
          <w:rFonts w:ascii="Arial" w:hAnsi="Arial" w:cs="Arial"/>
          <w:color w:val="000000" w:themeColor="text1"/>
          <w:lang w:val="cs-CZ" w:eastAsia="de-AT"/>
        </w:rPr>
        <w:t xml:space="preserve"> v situacích, kdy zaměstnanci pracují v zahraničí a </w:t>
      </w:r>
      <w:r w:rsidR="009D0E51" w:rsidRPr="0055589B">
        <w:rPr>
          <w:rFonts w:ascii="Arial" w:hAnsi="Arial" w:cs="Arial"/>
          <w:color w:val="000000" w:themeColor="text1"/>
          <w:lang w:val="cs-CZ" w:eastAsia="de-AT"/>
        </w:rPr>
        <w:t xml:space="preserve">je jim vyplácena nižší odměna, než jakou by obdrželi na </w:t>
      </w:r>
      <w:r w:rsidR="00224561" w:rsidRPr="0055589B">
        <w:rPr>
          <w:rFonts w:ascii="Arial" w:hAnsi="Arial" w:cs="Arial"/>
          <w:color w:val="000000" w:themeColor="text1"/>
          <w:lang w:val="cs-CZ" w:eastAsia="de-AT"/>
        </w:rPr>
        <w:t xml:space="preserve">místním trhu práce </w:t>
      </w:r>
      <w:r w:rsidR="009D0E51" w:rsidRPr="0055589B">
        <w:rPr>
          <w:rFonts w:ascii="Arial" w:hAnsi="Arial" w:cs="Arial"/>
          <w:color w:val="000000" w:themeColor="text1"/>
          <w:lang w:val="cs-CZ" w:eastAsia="de-AT"/>
        </w:rPr>
        <w:t xml:space="preserve">za výkon dané pozice, </w:t>
      </w:r>
      <w:r w:rsidR="00224561" w:rsidRPr="0055589B">
        <w:rPr>
          <w:rFonts w:ascii="Arial" w:hAnsi="Arial" w:cs="Arial"/>
          <w:color w:val="000000" w:themeColor="text1"/>
          <w:lang w:val="cs-CZ" w:eastAsia="de-AT"/>
        </w:rPr>
        <w:t xml:space="preserve">pokud jsou splněny všechny </w:t>
      </w:r>
      <w:r w:rsidR="009D0E51" w:rsidRPr="0055589B">
        <w:rPr>
          <w:rFonts w:ascii="Arial" w:hAnsi="Arial" w:cs="Arial"/>
          <w:color w:val="000000" w:themeColor="text1"/>
          <w:lang w:val="cs-CZ" w:eastAsia="de-AT"/>
        </w:rPr>
        <w:t xml:space="preserve">níže uvedené </w:t>
      </w:r>
      <w:r w:rsidR="00224561" w:rsidRPr="0055589B">
        <w:rPr>
          <w:rFonts w:ascii="Arial" w:hAnsi="Arial" w:cs="Arial"/>
          <w:color w:val="000000" w:themeColor="text1"/>
          <w:lang w:val="cs-CZ" w:eastAsia="de-AT"/>
        </w:rPr>
        <w:t>podmínky:</w:t>
      </w:r>
    </w:p>
    <w:p w14:paraId="23BB9A2F" w14:textId="7CFE15EA" w:rsidR="00224561" w:rsidRPr="0055589B" w:rsidRDefault="00224561" w:rsidP="00224561">
      <w:pPr>
        <w:numPr>
          <w:ilvl w:val="1"/>
          <w:numId w:val="11"/>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pří</w:t>
      </w:r>
      <w:r w:rsidR="009D0E51" w:rsidRPr="0055589B">
        <w:rPr>
          <w:rFonts w:ascii="Arial" w:hAnsi="Arial" w:cs="Arial"/>
          <w:color w:val="000000" w:themeColor="text1"/>
          <w:lang w:val="cs-CZ" w:eastAsia="de-AT"/>
        </w:rPr>
        <w:t xml:space="preserve">platek </w:t>
      </w:r>
      <w:r w:rsidRPr="0055589B">
        <w:rPr>
          <w:rFonts w:ascii="Arial" w:hAnsi="Arial" w:cs="Arial"/>
          <w:color w:val="000000" w:themeColor="text1"/>
          <w:lang w:val="cs-CZ" w:eastAsia="de-AT"/>
        </w:rPr>
        <w:t>může být vyplácen na nediskriminačním základě všem zaměstnancům;</w:t>
      </w:r>
    </w:p>
    <w:p w14:paraId="6F16BBCA" w14:textId="6246CA37" w:rsidR="00224561" w:rsidRPr="0055589B" w:rsidRDefault="00224561" w:rsidP="00224561">
      <w:pPr>
        <w:numPr>
          <w:ilvl w:val="1"/>
          <w:numId w:val="11"/>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pří</w:t>
      </w:r>
      <w:r w:rsidR="009D0E51" w:rsidRPr="0055589B">
        <w:rPr>
          <w:rFonts w:ascii="Arial" w:hAnsi="Arial" w:cs="Arial"/>
          <w:color w:val="000000" w:themeColor="text1"/>
          <w:lang w:val="cs-CZ" w:eastAsia="de-AT"/>
        </w:rPr>
        <w:t>platek</w:t>
      </w:r>
      <w:r w:rsidRPr="0055589B">
        <w:rPr>
          <w:rFonts w:ascii="Arial" w:hAnsi="Arial" w:cs="Arial"/>
          <w:color w:val="000000" w:themeColor="text1"/>
          <w:lang w:val="cs-CZ" w:eastAsia="de-AT"/>
        </w:rPr>
        <w:t xml:space="preserve"> se </w:t>
      </w:r>
      <w:r w:rsidR="009D0E51" w:rsidRPr="0055589B">
        <w:rPr>
          <w:rFonts w:ascii="Arial" w:hAnsi="Arial" w:cs="Arial"/>
          <w:color w:val="000000" w:themeColor="text1"/>
          <w:lang w:val="cs-CZ" w:eastAsia="de-AT"/>
        </w:rPr>
        <w:t xml:space="preserve">přiznává proto, že pracovník </w:t>
      </w:r>
      <w:r w:rsidRPr="0055589B">
        <w:rPr>
          <w:rFonts w:ascii="Arial" w:hAnsi="Arial" w:cs="Arial"/>
          <w:color w:val="000000" w:themeColor="text1"/>
          <w:lang w:val="cs-CZ" w:eastAsia="de-AT"/>
        </w:rPr>
        <w:t xml:space="preserve">dočasně </w:t>
      </w:r>
      <w:r w:rsidR="009D0E51" w:rsidRPr="0055589B">
        <w:rPr>
          <w:rFonts w:ascii="Arial" w:hAnsi="Arial" w:cs="Arial"/>
          <w:color w:val="000000" w:themeColor="text1"/>
          <w:lang w:val="cs-CZ" w:eastAsia="de-AT"/>
        </w:rPr>
        <w:t xml:space="preserve">vykonává svou práci </w:t>
      </w:r>
      <w:r w:rsidRPr="0055589B">
        <w:rPr>
          <w:rFonts w:ascii="Arial" w:hAnsi="Arial" w:cs="Arial"/>
          <w:color w:val="000000" w:themeColor="text1"/>
          <w:lang w:val="cs-CZ" w:eastAsia="de-AT"/>
        </w:rPr>
        <w:t xml:space="preserve">v zahraničí nebo </w:t>
      </w:r>
      <w:r w:rsidR="009D0E51" w:rsidRPr="0055589B">
        <w:rPr>
          <w:rFonts w:ascii="Arial" w:hAnsi="Arial" w:cs="Arial"/>
          <w:color w:val="000000" w:themeColor="text1"/>
          <w:lang w:val="cs-CZ" w:eastAsia="de-AT"/>
        </w:rPr>
        <w:t>na</w:t>
      </w:r>
      <w:r w:rsidRPr="0055589B">
        <w:rPr>
          <w:rFonts w:ascii="Arial" w:hAnsi="Arial" w:cs="Arial"/>
          <w:color w:val="000000" w:themeColor="text1"/>
          <w:lang w:val="cs-CZ" w:eastAsia="de-AT"/>
        </w:rPr>
        <w:t xml:space="preserve"> jiné pozici s úrovní odměny, která vyžaduje úpravu </w:t>
      </w:r>
      <w:r w:rsidR="009D0E51" w:rsidRPr="0055589B">
        <w:rPr>
          <w:rFonts w:ascii="Arial" w:hAnsi="Arial" w:cs="Arial"/>
          <w:color w:val="000000" w:themeColor="text1"/>
          <w:lang w:val="cs-CZ" w:eastAsia="de-AT"/>
        </w:rPr>
        <w:t xml:space="preserve">v porovnání úrovně sjednané ve smlouvě, </w:t>
      </w:r>
      <w:r w:rsidRPr="0055589B">
        <w:rPr>
          <w:rFonts w:ascii="Arial" w:hAnsi="Arial" w:cs="Arial"/>
          <w:color w:val="000000" w:themeColor="text1"/>
          <w:lang w:val="cs-CZ" w:eastAsia="de-AT"/>
        </w:rPr>
        <w:t>aby odrážela úrovně mezd na relevantním trhu;</w:t>
      </w:r>
    </w:p>
    <w:p w14:paraId="562F1DE1" w14:textId="54594251" w:rsidR="00224561" w:rsidRPr="0055589B" w:rsidRDefault="009D0E51" w:rsidP="00224561">
      <w:pPr>
        <w:numPr>
          <w:ilvl w:val="1"/>
          <w:numId w:val="11"/>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výše</w:t>
      </w:r>
      <w:r w:rsidR="00224561" w:rsidRPr="0055589B">
        <w:rPr>
          <w:rFonts w:ascii="Arial" w:hAnsi="Arial" w:cs="Arial"/>
          <w:color w:val="000000" w:themeColor="text1"/>
          <w:lang w:val="cs-CZ" w:eastAsia="de-AT"/>
        </w:rPr>
        <w:t xml:space="preserve"> do</w:t>
      </w:r>
      <w:r w:rsidRPr="0055589B">
        <w:rPr>
          <w:rFonts w:ascii="Arial" w:hAnsi="Arial" w:cs="Arial"/>
          <w:color w:val="000000" w:themeColor="text1"/>
          <w:lang w:val="cs-CZ" w:eastAsia="de-AT"/>
        </w:rPr>
        <w:t xml:space="preserve">plňkových </w:t>
      </w:r>
      <w:r w:rsidR="00224561" w:rsidRPr="0055589B">
        <w:rPr>
          <w:rFonts w:ascii="Arial" w:hAnsi="Arial" w:cs="Arial"/>
          <w:color w:val="000000" w:themeColor="text1"/>
          <w:lang w:val="cs-CZ" w:eastAsia="de-AT"/>
        </w:rPr>
        <w:t>plateb je založena na předem stanovených kritériích;</w:t>
      </w:r>
    </w:p>
    <w:p w14:paraId="689A3759" w14:textId="4E777FFB" w:rsidR="00224561" w:rsidRPr="0055589B" w:rsidRDefault="009D0E51" w:rsidP="00224561">
      <w:pPr>
        <w:numPr>
          <w:ilvl w:val="1"/>
          <w:numId w:val="11"/>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doba vyplácení příplatku je </w:t>
      </w:r>
      <w:r w:rsidR="00224561" w:rsidRPr="0055589B">
        <w:rPr>
          <w:rFonts w:ascii="Arial" w:hAnsi="Arial" w:cs="Arial"/>
          <w:color w:val="000000" w:themeColor="text1"/>
          <w:lang w:val="cs-CZ" w:eastAsia="de-AT"/>
        </w:rPr>
        <w:t>vázán</w:t>
      </w:r>
      <w:r w:rsidRPr="0055589B">
        <w:rPr>
          <w:rFonts w:ascii="Arial" w:hAnsi="Arial" w:cs="Arial"/>
          <w:color w:val="000000" w:themeColor="text1"/>
          <w:lang w:val="cs-CZ" w:eastAsia="de-AT"/>
        </w:rPr>
        <w:t>a</w:t>
      </w:r>
      <w:r w:rsidR="00224561" w:rsidRPr="0055589B">
        <w:rPr>
          <w:rFonts w:ascii="Arial" w:hAnsi="Arial" w:cs="Arial"/>
          <w:color w:val="000000" w:themeColor="text1"/>
          <w:lang w:val="cs-CZ" w:eastAsia="de-AT"/>
        </w:rPr>
        <w:t xml:space="preserve"> na trvání </w:t>
      </w:r>
      <w:r w:rsidRPr="0055589B">
        <w:rPr>
          <w:rFonts w:ascii="Arial" w:hAnsi="Arial" w:cs="Arial"/>
          <w:color w:val="000000" w:themeColor="text1"/>
          <w:lang w:val="cs-CZ" w:eastAsia="de-AT"/>
        </w:rPr>
        <w:t xml:space="preserve">uvedené </w:t>
      </w:r>
      <w:r w:rsidR="00224561" w:rsidRPr="0055589B">
        <w:rPr>
          <w:rFonts w:ascii="Arial" w:hAnsi="Arial" w:cs="Arial"/>
          <w:color w:val="000000" w:themeColor="text1"/>
          <w:lang w:val="cs-CZ" w:eastAsia="de-AT"/>
        </w:rPr>
        <w:t>situace.</w:t>
      </w:r>
    </w:p>
    <w:p w14:paraId="7F4A3FC6" w14:textId="7CE71969" w:rsidR="00224561" w:rsidRPr="0055589B" w:rsidRDefault="00224561" w:rsidP="00224561">
      <w:pPr>
        <w:numPr>
          <w:ilvl w:val="0"/>
          <w:numId w:val="11"/>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Jednorázové platby </w:t>
      </w:r>
      <w:r w:rsidR="009D0E51" w:rsidRPr="0055589B">
        <w:rPr>
          <w:rFonts w:ascii="Arial" w:hAnsi="Arial" w:cs="Arial"/>
          <w:color w:val="000000" w:themeColor="text1"/>
          <w:lang w:val="cs-CZ" w:eastAsia="de-AT"/>
        </w:rPr>
        <w:t xml:space="preserve">vyplácené na základě </w:t>
      </w:r>
      <w:r w:rsidRPr="0055589B">
        <w:rPr>
          <w:rFonts w:ascii="Arial" w:hAnsi="Arial" w:cs="Arial"/>
          <w:color w:val="000000" w:themeColor="text1"/>
          <w:lang w:val="cs-CZ" w:eastAsia="de-AT"/>
        </w:rPr>
        <w:t>kolektivní smlouv</w:t>
      </w:r>
      <w:r w:rsidR="009D0E51" w:rsidRPr="0055589B">
        <w:rPr>
          <w:rFonts w:ascii="Arial" w:hAnsi="Arial" w:cs="Arial"/>
          <w:color w:val="000000" w:themeColor="text1"/>
          <w:lang w:val="cs-CZ" w:eastAsia="de-AT"/>
        </w:rPr>
        <w:t>y</w:t>
      </w:r>
      <w:r w:rsidRPr="0055589B">
        <w:rPr>
          <w:rFonts w:ascii="Arial" w:hAnsi="Arial" w:cs="Arial"/>
          <w:color w:val="000000" w:themeColor="text1"/>
          <w:lang w:val="cs-CZ" w:eastAsia="de-AT"/>
        </w:rPr>
        <w:t xml:space="preserve"> nebo jiných závazných předpis</w:t>
      </w:r>
      <w:r w:rsidR="009D0E51" w:rsidRPr="0055589B">
        <w:rPr>
          <w:rFonts w:ascii="Arial" w:hAnsi="Arial" w:cs="Arial"/>
          <w:color w:val="000000" w:themeColor="text1"/>
          <w:lang w:val="cs-CZ" w:eastAsia="de-AT"/>
        </w:rPr>
        <w:t>ů</w:t>
      </w:r>
      <w:r w:rsidRPr="0055589B">
        <w:rPr>
          <w:rFonts w:ascii="Arial" w:hAnsi="Arial" w:cs="Arial"/>
          <w:color w:val="000000" w:themeColor="text1"/>
          <w:lang w:val="cs-CZ" w:eastAsia="de-AT"/>
        </w:rPr>
        <w:t>;</w:t>
      </w:r>
    </w:p>
    <w:p w14:paraId="5E7D8517" w14:textId="0B876879" w:rsidR="00224561" w:rsidRPr="0055589B" w:rsidRDefault="00224561" w:rsidP="00224561">
      <w:pPr>
        <w:numPr>
          <w:ilvl w:val="0"/>
          <w:numId w:val="11"/>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Další </w:t>
      </w:r>
      <w:r w:rsidR="009D0E51" w:rsidRPr="0055589B">
        <w:rPr>
          <w:rFonts w:ascii="Arial" w:hAnsi="Arial" w:cs="Arial"/>
          <w:color w:val="000000" w:themeColor="text1"/>
          <w:lang w:val="cs-CZ" w:eastAsia="de-AT"/>
        </w:rPr>
        <w:t xml:space="preserve">doplňkové benefity vyplácené na základě kolektivní smlouvy nebo jiných závazných předpisů </w:t>
      </w:r>
      <w:r w:rsidRPr="0055589B">
        <w:rPr>
          <w:rFonts w:ascii="Arial" w:hAnsi="Arial" w:cs="Arial"/>
          <w:color w:val="000000" w:themeColor="text1"/>
          <w:lang w:val="cs-CZ" w:eastAsia="de-AT"/>
        </w:rPr>
        <w:t xml:space="preserve">(např. příspěvky </w:t>
      </w:r>
      <w:r w:rsidR="009D0E51" w:rsidRPr="0055589B">
        <w:rPr>
          <w:rFonts w:ascii="Arial" w:hAnsi="Arial" w:cs="Arial"/>
          <w:color w:val="000000" w:themeColor="text1"/>
          <w:lang w:val="cs-CZ" w:eastAsia="de-AT"/>
        </w:rPr>
        <w:t xml:space="preserve">do </w:t>
      </w:r>
      <w:r w:rsidRPr="0055589B">
        <w:rPr>
          <w:rFonts w:ascii="Arial" w:hAnsi="Arial" w:cs="Arial"/>
          <w:color w:val="000000" w:themeColor="text1"/>
          <w:lang w:val="cs-CZ" w:eastAsia="de-AT"/>
        </w:rPr>
        <w:t>penzijního fondu).</w:t>
      </w:r>
    </w:p>
    <w:p w14:paraId="1067AE6E" w14:textId="4E0D57A4" w:rsidR="00224561" w:rsidRPr="0055589B" w:rsidRDefault="009D0E51" w:rsidP="007F006A">
      <w:p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szCs w:val="24"/>
          <w:lang w:val="cs-CZ" w:eastAsia="de-AT"/>
        </w:rPr>
        <w:t>D</w:t>
      </w:r>
      <w:r w:rsidR="00224561" w:rsidRPr="0055589B">
        <w:rPr>
          <w:rFonts w:ascii="Arial" w:hAnsi="Arial" w:cs="Arial"/>
          <w:color w:val="000000" w:themeColor="text1"/>
          <w:szCs w:val="24"/>
          <w:lang w:val="cs-CZ" w:eastAsia="de-AT"/>
        </w:rPr>
        <w:t xml:space="preserve">o kategorie </w:t>
      </w:r>
      <w:r w:rsidR="00127C63" w:rsidRPr="0055589B">
        <w:rPr>
          <w:rFonts w:ascii="Arial" w:hAnsi="Arial" w:cs="Arial"/>
          <w:color w:val="000000" w:themeColor="text1"/>
          <w:szCs w:val="24"/>
          <w:lang w:val="cs-CZ" w:eastAsia="de-AT"/>
        </w:rPr>
        <w:t xml:space="preserve">pevných odměn jsou zahrnuty i </w:t>
      </w:r>
      <w:r w:rsidR="00224561" w:rsidRPr="0055589B">
        <w:rPr>
          <w:rFonts w:ascii="Arial" w:hAnsi="Arial" w:cs="Arial"/>
          <w:color w:val="000000" w:themeColor="text1"/>
          <w:szCs w:val="24"/>
          <w:lang w:val="cs-CZ" w:eastAsia="de-AT"/>
        </w:rPr>
        <w:t xml:space="preserve">složky odměňování, které:  </w:t>
      </w:r>
    </w:p>
    <w:p w14:paraId="749B7B17" w14:textId="7AE643B8" w:rsidR="00224561" w:rsidRPr="0055589B" w:rsidRDefault="00224561" w:rsidP="00224561">
      <w:pPr>
        <w:numPr>
          <w:ilvl w:val="0"/>
          <w:numId w:val="12"/>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se </w:t>
      </w:r>
      <w:r w:rsidR="00127C63" w:rsidRPr="0055589B">
        <w:rPr>
          <w:rFonts w:ascii="Arial" w:hAnsi="Arial" w:cs="Arial"/>
          <w:color w:val="000000" w:themeColor="text1"/>
          <w:lang w:val="cs-CZ" w:eastAsia="de-AT"/>
        </w:rPr>
        <w:t xml:space="preserve">přiznávají </w:t>
      </w:r>
      <w:r w:rsidRPr="0055589B">
        <w:rPr>
          <w:rFonts w:ascii="Arial" w:hAnsi="Arial" w:cs="Arial"/>
          <w:color w:val="000000" w:themeColor="text1"/>
          <w:lang w:val="cs-CZ" w:eastAsia="de-AT"/>
        </w:rPr>
        <w:t>zaměstnancům bez možnosti volného uvážení;</w:t>
      </w:r>
    </w:p>
    <w:p w14:paraId="0BCE05FD" w14:textId="589BA135" w:rsidR="00224561" w:rsidRPr="0055589B" w:rsidRDefault="00224561" w:rsidP="00224561">
      <w:pPr>
        <w:numPr>
          <w:ilvl w:val="0"/>
          <w:numId w:val="12"/>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nezávisí na výkonnosti a nepředstavují </w:t>
      </w:r>
      <w:r w:rsidR="00127C63" w:rsidRPr="0055589B">
        <w:rPr>
          <w:rFonts w:ascii="Arial" w:hAnsi="Arial" w:cs="Arial"/>
          <w:color w:val="000000" w:themeColor="text1"/>
          <w:lang w:val="cs-CZ" w:eastAsia="de-AT"/>
        </w:rPr>
        <w:t xml:space="preserve">pobídky k přijímání rizik ani nejde o </w:t>
      </w:r>
      <w:r w:rsidRPr="0055589B">
        <w:rPr>
          <w:rFonts w:ascii="Arial" w:hAnsi="Arial" w:cs="Arial"/>
          <w:color w:val="000000" w:themeColor="text1"/>
          <w:lang w:val="cs-CZ" w:eastAsia="de-AT"/>
        </w:rPr>
        <w:t>platby na základě právních závazků – kter</w:t>
      </w:r>
      <w:r w:rsidR="00C777DA" w:rsidRPr="0055589B">
        <w:rPr>
          <w:rFonts w:ascii="Arial" w:hAnsi="Arial" w:cs="Arial"/>
          <w:color w:val="000000" w:themeColor="text1"/>
          <w:lang w:val="cs-CZ" w:eastAsia="de-AT"/>
        </w:rPr>
        <w:t xml:space="preserve">é jsou povinné </w:t>
      </w:r>
      <w:r w:rsidRPr="0055589B">
        <w:rPr>
          <w:rFonts w:ascii="Arial" w:hAnsi="Arial" w:cs="Arial"/>
          <w:color w:val="000000" w:themeColor="text1"/>
          <w:lang w:val="cs-CZ" w:eastAsia="de-AT"/>
        </w:rPr>
        <w:t xml:space="preserve">podle vnitrostátního práva. Příkladem jsou </w:t>
      </w:r>
      <w:r w:rsidR="00C777DA" w:rsidRPr="0055589B">
        <w:rPr>
          <w:rFonts w:ascii="Arial" w:hAnsi="Arial" w:cs="Arial"/>
          <w:color w:val="000000" w:themeColor="text1"/>
          <w:lang w:val="cs-CZ" w:eastAsia="de-AT"/>
        </w:rPr>
        <w:t xml:space="preserve">příplatky za </w:t>
      </w:r>
      <w:r w:rsidRPr="0055589B">
        <w:rPr>
          <w:rFonts w:ascii="Arial" w:hAnsi="Arial" w:cs="Arial"/>
          <w:color w:val="000000" w:themeColor="text1"/>
          <w:lang w:val="cs-CZ" w:eastAsia="de-AT"/>
        </w:rPr>
        <w:t>vedení a tržní pří</w:t>
      </w:r>
      <w:r w:rsidR="00C777DA" w:rsidRPr="0055589B">
        <w:rPr>
          <w:rFonts w:ascii="Arial" w:hAnsi="Arial" w:cs="Arial"/>
          <w:color w:val="000000" w:themeColor="text1"/>
          <w:lang w:val="cs-CZ" w:eastAsia="de-AT"/>
        </w:rPr>
        <w:t>platky.</w:t>
      </w:r>
    </w:p>
    <w:p w14:paraId="79C86C49" w14:textId="259F6833" w:rsidR="00224561" w:rsidRDefault="00C777DA" w:rsidP="007F006A">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Spadají sem </w:t>
      </w:r>
      <w:r w:rsidR="00224561" w:rsidRPr="0055589B">
        <w:rPr>
          <w:rFonts w:ascii="Arial" w:hAnsi="Arial" w:cs="Arial"/>
          <w:color w:val="000000" w:themeColor="text1"/>
          <w:szCs w:val="24"/>
          <w:lang w:val="cs-CZ" w:eastAsia="de-AT"/>
        </w:rPr>
        <w:t xml:space="preserve">platby, které jsou součástí </w:t>
      </w:r>
      <w:r w:rsidR="0013763A" w:rsidRPr="0055589B">
        <w:rPr>
          <w:rFonts w:ascii="Arial" w:hAnsi="Arial" w:cs="Arial"/>
          <w:color w:val="000000" w:themeColor="text1"/>
          <w:szCs w:val="24"/>
          <w:lang w:val="cs-CZ" w:eastAsia="de-AT"/>
        </w:rPr>
        <w:t xml:space="preserve">běžných zaměstnaneckých </w:t>
      </w:r>
      <w:r w:rsidR="00224561" w:rsidRPr="0055589B">
        <w:rPr>
          <w:rFonts w:ascii="Arial" w:hAnsi="Arial" w:cs="Arial"/>
          <w:color w:val="000000" w:themeColor="text1"/>
          <w:szCs w:val="24"/>
          <w:lang w:val="cs-CZ" w:eastAsia="de-AT"/>
        </w:rPr>
        <w:t xml:space="preserve">balíčků zaměstnání a které </w:t>
      </w:r>
      <w:r w:rsidR="00A667B1" w:rsidRPr="0055589B">
        <w:rPr>
          <w:rFonts w:ascii="Arial" w:hAnsi="Arial" w:cs="Arial"/>
          <w:color w:val="000000" w:themeColor="text1"/>
          <w:szCs w:val="24"/>
          <w:lang w:val="cs-CZ" w:eastAsia="de-AT"/>
        </w:rPr>
        <w:t xml:space="preserve">souvisejí výhradně s rodinnou nebo </w:t>
      </w:r>
      <w:r w:rsidR="00224561" w:rsidRPr="0055589B">
        <w:rPr>
          <w:rFonts w:ascii="Arial" w:hAnsi="Arial" w:cs="Arial"/>
          <w:color w:val="000000" w:themeColor="text1"/>
          <w:szCs w:val="24"/>
          <w:lang w:val="cs-CZ" w:eastAsia="de-AT"/>
        </w:rPr>
        <w:t xml:space="preserve">osobní situací, </w:t>
      </w:r>
      <w:r w:rsidR="00A667B1" w:rsidRPr="0055589B">
        <w:rPr>
          <w:rFonts w:ascii="Arial" w:hAnsi="Arial" w:cs="Arial"/>
          <w:color w:val="000000" w:themeColor="text1"/>
          <w:szCs w:val="24"/>
          <w:lang w:val="cs-CZ" w:eastAsia="de-AT"/>
        </w:rPr>
        <w:t xml:space="preserve">například </w:t>
      </w:r>
      <w:r w:rsidR="00224561" w:rsidRPr="0055589B">
        <w:rPr>
          <w:rFonts w:ascii="Arial" w:hAnsi="Arial" w:cs="Arial"/>
          <w:color w:val="000000" w:themeColor="text1"/>
          <w:szCs w:val="24"/>
          <w:lang w:val="cs-CZ" w:eastAsia="de-AT"/>
        </w:rPr>
        <w:t>péče o d</w:t>
      </w:r>
      <w:r w:rsidR="00A667B1" w:rsidRPr="0055589B">
        <w:rPr>
          <w:rFonts w:ascii="Arial" w:hAnsi="Arial" w:cs="Arial"/>
          <w:color w:val="000000" w:themeColor="text1"/>
          <w:szCs w:val="24"/>
          <w:lang w:val="cs-CZ" w:eastAsia="de-AT"/>
        </w:rPr>
        <w:t>ítě</w:t>
      </w:r>
      <w:r w:rsidR="00224561" w:rsidRPr="0055589B">
        <w:rPr>
          <w:rFonts w:ascii="Arial" w:hAnsi="Arial" w:cs="Arial"/>
          <w:color w:val="000000" w:themeColor="text1"/>
          <w:szCs w:val="24"/>
          <w:lang w:val="cs-CZ" w:eastAsia="de-AT"/>
        </w:rPr>
        <w:t xml:space="preserve">, přiměřené pravidelné penzijní příspěvky </w:t>
      </w:r>
      <w:r w:rsidR="00A667B1" w:rsidRPr="0055589B">
        <w:rPr>
          <w:rFonts w:ascii="Arial" w:hAnsi="Arial" w:cs="Arial"/>
          <w:color w:val="000000" w:themeColor="text1"/>
          <w:szCs w:val="24"/>
          <w:lang w:val="cs-CZ" w:eastAsia="de-AT"/>
        </w:rPr>
        <w:t xml:space="preserve">nad rámec </w:t>
      </w:r>
      <w:r w:rsidR="00224561" w:rsidRPr="0055589B">
        <w:rPr>
          <w:rFonts w:ascii="Arial" w:hAnsi="Arial" w:cs="Arial"/>
          <w:color w:val="000000" w:themeColor="text1"/>
          <w:szCs w:val="24"/>
          <w:lang w:val="cs-CZ" w:eastAsia="de-AT"/>
        </w:rPr>
        <w:t>povinného režimu, cestovní náhrady a zdravotní pojištění.</w:t>
      </w:r>
    </w:p>
    <w:p w14:paraId="6F6D229F" w14:textId="005ABC11" w:rsidR="00280D95" w:rsidRDefault="00280D95" w:rsidP="007F006A">
      <w:pPr>
        <w:spacing w:after="120" w:line="276" w:lineRule="auto"/>
        <w:jc w:val="both"/>
        <w:rPr>
          <w:rFonts w:ascii="Arial" w:hAnsi="Arial" w:cs="Arial"/>
          <w:color w:val="000000" w:themeColor="text1"/>
          <w:szCs w:val="24"/>
          <w:lang w:val="cs-CZ" w:eastAsia="de-AT"/>
        </w:rPr>
      </w:pPr>
    </w:p>
    <w:p w14:paraId="6D89CDBF" w14:textId="703A2B02" w:rsidR="00280D95" w:rsidRDefault="00A656EB" w:rsidP="00280D95">
      <w:pPr>
        <w:pStyle w:val="Nadpis3"/>
        <w:rPr>
          <w:color w:val="000000" w:themeColor="text1"/>
          <w:lang w:val="cs-CZ"/>
        </w:rPr>
      </w:pPr>
      <w:bookmarkStart w:id="40" w:name="_Toc108689208"/>
      <w:r>
        <w:rPr>
          <w:color w:val="000000" w:themeColor="text1"/>
          <w:lang w:val="cs-CZ"/>
        </w:rPr>
        <w:t>Spoluúčast zaměstnanců</w:t>
      </w:r>
      <w:bookmarkEnd w:id="40"/>
    </w:p>
    <w:p w14:paraId="16696A35" w14:textId="59AA3F09" w:rsidR="00A656EB" w:rsidRPr="00A656EB" w:rsidRDefault="00A656EB" w:rsidP="00A656EB">
      <w:pPr>
        <w:spacing w:after="120" w:line="276" w:lineRule="auto"/>
        <w:jc w:val="both"/>
        <w:rPr>
          <w:rFonts w:ascii="Arial" w:hAnsi="Arial" w:cs="Arial"/>
          <w:color w:val="000000" w:themeColor="text1"/>
          <w:szCs w:val="24"/>
          <w:lang w:val="cs-CZ" w:eastAsia="de-AT"/>
        </w:rPr>
      </w:pPr>
      <w:r w:rsidRPr="00A656EB">
        <w:rPr>
          <w:rFonts w:ascii="Arial" w:hAnsi="Arial" w:cs="Arial"/>
          <w:color w:val="000000" w:themeColor="text1"/>
          <w:szCs w:val="24"/>
          <w:lang w:val="cs-CZ" w:eastAsia="de-AT"/>
        </w:rPr>
        <w:t xml:space="preserve">Akciový program </w:t>
      </w:r>
      <w:r w:rsidR="00E83904">
        <w:rPr>
          <w:rFonts w:ascii="Arial" w:hAnsi="Arial" w:cs="Arial"/>
          <w:color w:val="000000" w:themeColor="text1"/>
          <w:szCs w:val="24"/>
          <w:lang w:val="cs-CZ" w:eastAsia="de-AT"/>
        </w:rPr>
        <w:t xml:space="preserve">We Share by </w:t>
      </w:r>
      <w:r w:rsidRPr="00A656EB">
        <w:rPr>
          <w:rFonts w:ascii="Arial" w:hAnsi="Arial" w:cs="Arial"/>
          <w:color w:val="000000" w:themeColor="text1"/>
          <w:szCs w:val="24"/>
          <w:lang w:val="cs-CZ" w:eastAsia="de-AT"/>
        </w:rPr>
        <w:t>Erste</w:t>
      </w:r>
      <w:r w:rsidR="005A2350">
        <w:rPr>
          <w:rFonts w:ascii="Arial" w:hAnsi="Arial" w:cs="Arial"/>
          <w:color w:val="000000" w:themeColor="text1"/>
          <w:szCs w:val="24"/>
          <w:lang w:val="cs-CZ" w:eastAsia="de-AT"/>
        </w:rPr>
        <w:t xml:space="preserve"> Group</w:t>
      </w:r>
    </w:p>
    <w:p w14:paraId="651C2AA0" w14:textId="183B0F5E" w:rsidR="00A656EB" w:rsidRPr="00A656EB" w:rsidRDefault="00A656EB" w:rsidP="00A656EB">
      <w:pPr>
        <w:spacing w:after="120" w:line="276" w:lineRule="auto"/>
        <w:jc w:val="both"/>
        <w:rPr>
          <w:rFonts w:ascii="Arial" w:hAnsi="Arial" w:cs="Arial"/>
          <w:color w:val="000000" w:themeColor="text1"/>
          <w:szCs w:val="24"/>
          <w:lang w:val="cs-CZ" w:eastAsia="de-AT"/>
        </w:rPr>
      </w:pPr>
      <w:r w:rsidRPr="00A656EB">
        <w:rPr>
          <w:rFonts w:ascii="Arial" w:hAnsi="Arial" w:cs="Arial"/>
          <w:color w:val="000000" w:themeColor="text1"/>
          <w:szCs w:val="24"/>
          <w:lang w:val="cs-CZ" w:eastAsia="de-AT"/>
        </w:rPr>
        <w:t xml:space="preserve">V rámci </w:t>
      </w:r>
      <w:r w:rsidR="005A2350">
        <w:rPr>
          <w:rFonts w:ascii="Arial" w:hAnsi="Arial" w:cs="Arial"/>
          <w:color w:val="000000" w:themeColor="text1"/>
          <w:szCs w:val="24"/>
          <w:lang w:val="cs-CZ" w:eastAsia="de-AT"/>
        </w:rPr>
        <w:t xml:space="preserve">zaměstnaneckého akciového programu We Share by </w:t>
      </w:r>
      <w:r w:rsidRPr="00A656EB">
        <w:rPr>
          <w:rFonts w:ascii="Arial" w:hAnsi="Arial" w:cs="Arial"/>
          <w:color w:val="000000" w:themeColor="text1"/>
          <w:szCs w:val="24"/>
          <w:lang w:val="cs-CZ" w:eastAsia="de-AT"/>
        </w:rPr>
        <w:t xml:space="preserve">Erste </w:t>
      </w:r>
      <w:r w:rsidR="005A2350">
        <w:rPr>
          <w:rFonts w:ascii="Arial" w:hAnsi="Arial" w:cs="Arial"/>
          <w:color w:val="000000" w:themeColor="text1"/>
          <w:szCs w:val="24"/>
          <w:lang w:val="cs-CZ" w:eastAsia="de-AT"/>
        </w:rPr>
        <w:t xml:space="preserve">Group </w:t>
      </w:r>
      <w:r w:rsidRPr="00A656EB">
        <w:rPr>
          <w:rFonts w:ascii="Arial" w:hAnsi="Arial" w:cs="Arial"/>
          <w:color w:val="000000" w:themeColor="text1"/>
          <w:szCs w:val="24"/>
          <w:lang w:val="cs-CZ" w:eastAsia="de-AT"/>
        </w:rPr>
        <w:t>(ESP)</w:t>
      </w:r>
      <w:r>
        <w:rPr>
          <w:rFonts w:ascii="Arial" w:hAnsi="Arial" w:cs="Arial"/>
          <w:color w:val="000000" w:themeColor="text1"/>
          <w:szCs w:val="24"/>
          <w:lang w:val="cs-CZ" w:eastAsia="de-AT"/>
        </w:rPr>
        <w:t xml:space="preserve">, označován také jako </w:t>
      </w:r>
      <w:r w:rsidRPr="00A656EB">
        <w:rPr>
          <w:rFonts w:ascii="Arial" w:hAnsi="Arial" w:cs="Arial"/>
          <w:color w:val="000000" w:themeColor="text1"/>
          <w:szCs w:val="24"/>
          <w:lang w:val="cs-CZ" w:eastAsia="de-AT"/>
        </w:rPr>
        <w:t xml:space="preserve">WeShare by Erste Group </w:t>
      </w:r>
      <w:r>
        <w:rPr>
          <w:rFonts w:ascii="Arial" w:hAnsi="Arial" w:cs="Arial"/>
          <w:color w:val="000000" w:themeColor="text1"/>
          <w:szCs w:val="24"/>
          <w:lang w:val="cs-CZ" w:eastAsia="de-AT"/>
        </w:rPr>
        <w:t xml:space="preserve">program, </w:t>
      </w:r>
      <w:r w:rsidRPr="00A656EB">
        <w:rPr>
          <w:rFonts w:ascii="Arial" w:hAnsi="Arial" w:cs="Arial"/>
          <w:color w:val="000000" w:themeColor="text1"/>
          <w:szCs w:val="24"/>
          <w:lang w:val="cs-CZ" w:eastAsia="de-AT"/>
        </w:rPr>
        <w:t>získávají všichni zaměstnanci, kteří jsou od roku 2021 v aktivním pracovním poměru k poslednímu dni příslušného účetního roku a kteří jsou na konci daného roku zaměstnáni déle než 6 měsíců, akcie Erste Group Bank AG v čisté ekvivalentní hodnotě 350 EUR ročně (navíc ke své fixní a variabilní odměně).</w:t>
      </w:r>
    </w:p>
    <w:p w14:paraId="049C1EE2" w14:textId="77777777" w:rsidR="00A656EB" w:rsidRPr="00A656EB" w:rsidRDefault="00A656EB" w:rsidP="00A656EB">
      <w:pPr>
        <w:spacing w:after="120" w:line="276" w:lineRule="auto"/>
        <w:jc w:val="both"/>
        <w:rPr>
          <w:rFonts w:ascii="Arial" w:hAnsi="Arial" w:cs="Arial"/>
          <w:color w:val="000000" w:themeColor="text1"/>
          <w:szCs w:val="24"/>
          <w:lang w:val="cs-CZ" w:eastAsia="de-AT"/>
        </w:rPr>
      </w:pPr>
      <w:r w:rsidRPr="00A656EB">
        <w:rPr>
          <w:rFonts w:ascii="Arial" w:hAnsi="Arial" w:cs="Arial"/>
          <w:color w:val="000000" w:themeColor="text1"/>
          <w:szCs w:val="24"/>
          <w:lang w:val="cs-CZ" w:eastAsia="de-AT"/>
        </w:rPr>
        <w:t xml:space="preserve">Tato výhoda nenahrazuje smluvní mzdu ani žádný bonus, ale je poskytována navíc. </w:t>
      </w:r>
    </w:p>
    <w:p w14:paraId="74598702" w14:textId="2CC93595" w:rsidR="00A656EB" w:rsidRPr="00A656EB" w:rsidRDefault="00A656EB" w:rsidP="00A656EB">
      <w:pPr>
        <w:spacing w:after="120" w:line="276" w:lineRule="auto"/>
        <w:jc w:val="both"/>
        <w:rPr>
          <w:rFonts w:ascii="Arial" w:hAnsi="Arial" w:cs="Arial"/>
          <w:color w:val="000000" w:themeColor="text1"/>
          <w:szCs w:val="24"/>
          <w:lang w:val="cs-CZ" w:eastAsia="de-AT"/>
        </w:rPr>
      </w:pPr>
      <w:r w:rsidRPr="00A656EB">
        <w:rPr>
          <w:rFonts w:ascii="Arial" w:hAnsi="Arial" w:cs="Arial"/>
          <w:color w:val="000000" w:themeColor="text1"/>
          <w:szCs w:val="24"/>
          <w:lang w:val="cs-CZ" w:eastAsia="de-AT"/>
        </w:rPr>
        <w:t xml:space="preserve">V rámci </w:t>
      </w:r>
      <w:r w:rsidR="005A2350">
        <w:rPr>
          <w:rFonts w:ascii="Arial" w:hAnsi="Arial" w:cs="Arial"/>
          <w:color w:val="000000" w:themeColor="text1"/>
          <w:szCs w:val="24"/>
          <w:lang w:val="cs-CZ" w:eastAsia="de-AT"/>
        </w:rPr>
        <w:t xml:space="preserve">zaměstnaneckého </w:t>
      </w:r>
      <w:r w:rsidRPr="00A656EB">
        <w:rPr>
          <w:rFonts w:ascii="Arial" w:hAnsi="Arial" w:cs="Arial"/>
          <w:color w:val="000000" w:themeColor="text1"/>
          <w:szCs w:val="24"/>
          <w:lang w:val="cs-CZ" w:eastAsia="de-AT"/>
        </w:rPr>
        <w:t xml:space="preserve">akciového programu mají zaměstnanci navíc nárok na další výhody, pokud se zaváží k osobní investici do akcií Erste Group. Struktura výhod je podrobněji popsána ve vnitřním předpisu týkající se programu „WeShare by Erste Group“. </w:t>
      </w:r>
    </w:p>
    <w:p w14:paraId="299D5FCC" w14:textId="77777777" w:rsidR="00A656EB" w:rsidRPr="00A656EB" w:rsidRDefault="00A656EB" w:rsidP="00A656EB">
      <w:pPr>
        <w:spacing w:after="120" w:line="276" w:lineRule="auto"/>
        <w:jc w:val="both"/>
        <w:rPr>
          <w:rFonts w:ascii="Arial" w:hAnsi="Arial" w:cs="Arial"/>
          <w:color w:val="000000" w:themeColor="text1"/>
          <w:szCs w:val="24"/>
          <w:lang w:val="cs-CZ" w:eastAsia="de-AT"/>
        </w:rPr>
      </w:pPr>
      <w:r w:rsidRPr="00A656EB">
        <w:rPr>
          <w:rFonts w:ascii="Arial" w:hAnsi="Arial" w:cs="Arial"/>
          <w:color w:val="000000" w:themeColor="text1"/>
          <w:szCs w:val="24"/>
          <w:lang w:val="cs-CZ" w:eastAsia="de-AT"/>
        </w:rPr>
        <w:t>Zaměstnanecký akciový program je poskytován pouze v případě, že Skupina a místní banky splňují všechny kapitálové a likvidní požadavky, Holding vyplácí dividendy a skupina EAM splňuje minimální požadavky na ziskovost.</w:t>
      </w:r>
    </w:p>
    <w:p w14:paraId="0290E424" w14:textId="1570E98E" w:rsidR="00A656EB" w:rsidRPr="00A656EB" w:rsidRDefault="00A656EB" w:rsidP="00A656EB">
      <w:pPr>
        <w:spacing w:after="120" w:line="276" w:lineRule="auto"/>
        <w:jc w:val="both"/>
        <w:rPr>
          <w:rFonts w:ascii="Arial" w:hAnsi="Arial" w:cs="Arial"/>
          <w:color w:val="000000" w:themeColor="text1"/>
          <w:szCs w:val="24"/>
          <w:lang w:val="cs-CZ" w:eastAsia="de-AT"/>
        </w:rPr>
      </w:pPr>
      <w:r w:rsidRPr="00A656EB">
        <w:rPr>
          <w:rFonts w:ascii="Arial" w:hAnsi="Arial" w:cs="Arial"/>
          <w:color w:val="000000" w:themeColor="text1"/>
          <w:szCs w:val="24"/>
          <w:lang w:val="cs-CZ" w:eastAsia="de-AT"/>
        </w:rPr>
        <w:lastRenderedPageBreak/>
        <w:t>Erste Mitarbeiterbeteiligung Privatstiftung bude pro zaměstnance vykonávat funkci správce akcií udělených v rámci programu ESP.</w:t>
      </w:r>
    </w:p>
    <w:p w14:paraId="18EF2143" w14:textId="2CE7EB63" w:rsidR="00224561" w:rsidRPr="0055589B" w:rsidRDefault="00224561" w:rsidP="006033BF">
      <w:pPr>
        <w:pStyle w:val="Nadpis2"/>
        <w:rPr>
          <w:rFonts w:eastAsia="Times New Roman"/>
          <w:color w:val="000000" w:themeColor="text1"/>
          <w:lang w:val="cs-CZ"/>
        </w:rPr>
      </w:pPr>
      <w:bookmarkStart w:id="41" w:name="_Toc108689209"/>
      <w:r w:rsidRPr="0055589B">
        <w:rPr>
          <w:color w:val="000000" w:themeColor="text1"/>
          <w:lang w:val="cs-CZ"/>
        </w:rPr>
        <w:t>P</w:t>
      </w:r>
      <w:r w:rsidR="00A945D3" w:rsidRPr="0055589B">
        <w:rPr>
          <w:color w:val="000000" w:themeColor="text1"/>
          <w:lang w:val="cs-CZ"/>
        </w:rPr>
        <w:t>ravidla</w:t>
      </w:r>
      <w:r w:rsidRPr="0055589B">
        <w:rPr>
          <w:color w:val="000000" w:themeColor="text1"/>
          <w:lang w:val="cs-CZ"/>
        </w:rPr>
        <w:t xml:space="preserve"> pro variabilní odměňování</w:t>
      </w:r>
      <w:bookmarkEnd w:id="41"/>
    </w:p>
    <w:p w14:paraId="28DBBAD1" w14:textId="386DECDC" w:rsidR="00224561" w:rsidRPr="0055589B" w:rsidRDefault="00224561" w:rsidP="006033BF">
      <w:pPr>
        <w:pStyle w:val="Nadpis3"/>
        <w:rPr>
          <w:rFonts w:eastAsia="Times New Roman"/>
          <w:color w:val="000000" w:themeColor="text1"/>
          <w:lang w:val="cs-CZ"/>
        </w:rPr>
      </w:pPr>
      <w:bookmarkStart w:id="42" w:name="_Toc108689210"/>
      <w:r w:rsidRPr="0055589B">
        <w:rPr>
          <w:color w:val="000000" w:themeColor="text1"/>
          <w:lang w:val="cs-CZ"/>
        </w:rPr>
        <w:t>Obecn</w:t>
      </w:r>
      <w:r w:rsidR="00A945D3" w:rsidRPr="0055589B">
        <w:rPr>
          <w:color w:val="000000" w:themeColor="text1"/>
          <w:lang w:val="cs-CZ"/>
        </w:rPr>
        <w:t>á pravidla</w:t>
      </w:r>
      <w:r w:rsidRPr="0055589B">
        <w:rPr>
          <w:color w:val="000000" w:themeColor="text1"/>
          <w:lang w:val="cs-CZ"/>
        </w:rPr>
        <w:t xml:space="preserve"> pro variabilní odměňování</w:t>
      </w:r>
      <w:bookmarkEnd w:id="42"/>
    </w:p>
    <w:p w14:paraId="109AB59A" w14:textId="77777777" w:rsidR="00224561" w:rsidRPr="0055589B" w:rsidRDefault="00224561" w:rsidP="007F006A">
      <w:pPr>
        <w:keepNext/>
        <w:spacing w:before="240" w:after="120" w:line="276" w:lineRule="auto"/>
        <w:jc w:val="both"/>
        <w:outlineLvl w:val="3"/>
        <w:rPr>
          <w:rFonts w:ascii="Arial" w:eastAsia="Times New Roman" w:hAnsi="Arial" w:cs="Arial"/>
          <w:b/>
          <w:bCs/>
          <w:color w:val="000000" w:themeColor="text1"/>
          <w:szCs w:val="28"/>
          <w:lang w:val="cs-CZ" w:eastAsia="de-AT"/>
        </w:rPr>
      </w:pPr>
      <w:r w:rsidRPr="0055589B">
        <w:rPr>
          <w:rFonts w:ascii="Arial" w:hAnsi="Arial" w:cs="Arial"/>
          <w:b/>
          <w:bCs/>
          <w:color w:val="000000" w:themeColor="text1"/>
          <w:szCs w:val="28"/>
          <w:lang w:val="cs-CZ" w:eastAsia="de-AT"/>
        </w:rPr>
        <w:t>Výpočet pohyblivé odměny</w:t>
      </w:r>
    </w:p>
    <w:p w14:paraId="1A3587F9" w14:textId="61726EDF"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Pro </w:t>
      </w:r>
      <w:r w:rsidR="00F32622"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 xml:space="preserve">polečnost jsou </w:t>
      </w:r>
      <w:r w:rsidR="00F32622" w:rsidRPr="0055589B">
        <w:rPr>
          <w:rFonts w:ascii="Arial" w:hAnsi="Arial" w:cs="Arial"/>
          <w:color w:val="000000" w:themeColor="text1"/>
          <w:szCs w:val="24"/>
          <w:lang w:val="cs-CZ" w:eastAsia="de-AT"/>
        </w:rPr>
        <w:t>stanoveny</w:t>
      </w:r>
      <w:r w:rsidRPr="0055589B">
        <w:rPr>
          <w:rFonts w:ascii="Arial" w:hAnsi="Arial" w:cs="Arial"/>
          <w:color w:val="000000" w:themeColor="text1"/>
          <w:szCs w:val="24"/>
          <w:lang w:val="cs-CZ" w:eastAsia="de-AT"/>
        </w:rPr>
        <w:t xml:space="preserve"> minimální požadavky na ziskovost. </w:t>
      </w:r>
      <w:r w:rsidR="00FE6C01" w:rsidRPr="0055589B">
        <w:rPr>
          <w:rFonts w:ascii="Arial" w:hAnsi="Arial" w:cs="Arial"/>
          <w:color w:val="000000" w:themeColor="text1"/>
          <w:szCs w:val="24"/>
          <w:lang w:val="cs-CZ" w:eastAsia="de-AT"/>
        </w:rPr>
        <w:t xml:space="preserve">Zahrnují </w:t>
      </w:r>
      <w:r w:rsidRPr="0055589B">
        <w:rPr>
          <w:rFonts w:ascii="Arial" w:hAnsi="Arial" w:cs="Arial"/>
          <w:color w:val="000000" w:themeColor="text1"/>
          <w:szCs w:val="24"/>
          <w:lang w:val="cs-CZ" w:eastAsia="de-AT"/>
        </w:rPr>
        <w:t xml:space="preserve">podmínky pro </w:t>
      </w:r>
      <w:r w:rsidR="00FE6C01" w:rsidRPr="0055589B">
        <w:rPr>
          <w:rFonts w:ascii="Arial" w:hAnsi="Arial" w:cs="Arial"/>
          <w:color w:val="000000" w:themeColor="text1"/>
          <w:szCs w:val="24"/>
          <w:lang w:val="cs-CZ" w:eastAsia="de-AT"/>
        </w:rPr>
        <w:t xml:space="preserve">výplatu variabilní složky odměn vyplácené předem i s odkladem. </w:t>
      </w:r>
      <w:r w:rsidRPr="0055589B">
        <w:rPr>
          <w:rFonts w:ascii="Arial" w:hAnsi="Arial" w:cs="Arial"/>
          <w:color w:val="000000" w:themeColor="text1"/>
          <w:szCs w:val="24"/>
          <w:lang w:val="cs-CZ" w:eastAsia="de-AT"/>
        </w:rPr>
        <w:t>V případě odměny související s</w:t>
      </w:r>
      <w:r w:rsidR="00FE6C01" w:rsidRPr="0055589B">
        <w:rPr>
          <w:rFonts w:ascii="Arial" w:hAnsi="Arial" w:cs="Arial"/>
          <w:color w:val="000000" w:themeColor="text1"/>
          <w:szCs w:val="24"/>
          <w:lang w:val="cs-CZ" w:eastAsia="de-AT"/>
        </w:rPr>
        <w:t xml:space="preserve"> výkonností </w:t>
      </w:r>
      <w:r w:rsidR="0039440C" w:rsidRPr="0055589B">
        <w:rPr>
          <w:rFonts w:ascii="Arial" w:hAnsi="Arial" w:cs="Arial"/>
          <w:color w:val="000000" w:themeColor="text1"/>
          <w:szCs w:val="24"/>
          <w:lang w:val="cs-CZ" w:eastAsia="de-AT"/>
        </w:rPr>
        <w:t xml:space="preserve">vychází </w:t>
      </w:r>
      <w:r w:rsidRPr="0055589B">
        <w:rPr>
          <w:rFonts w:ascii="Arial" w:hAnsi="Arial" w:cs="Arial"/>
          <w:color w:val="000000" w:themeColor="text1"/>
          <w:szCs w:val="24"/>
          <w:lang w:val="cs-CZ" w:eastAsia="de-AT"/>
        </w:rPr>
        <w:t xml:space="preserve">celková výše odměny </w:t>
      </w:r>
      <w:r w:rsidR="00FE6C01" w:rsidRPr="0055589B">
        <w:rPr>
          <w:rFonts w:ascii="Arial" w:hAnsi="Arial" w:cs="Arial"/>
          <w:color w:val="000000" w:themeColor="text1"/>
          <w:szCs w:val="24"/>
          <w:lang w:val="cs-CZ" w:eastAsia="de-AT"/>
        </w:rPr>
        <w:t xml:space="preserve">z </w:t>
      </w:r>
      <w:r w:rsidRPr="0055589B">
        <w:rPr>
          <w:rFonts w:ascii="Arial" w:hAnsi="Arial" w:cs="Arial"/>
          <w:color w:val="000000" w:themeColor="text1"/>
          <w:szCs w:val="24"/>
          <w:lang w:val="cs-CZ" w:eastAsia="de-AT"/>
        </w:rPr>
        <w:t>kombinac</w:t>
      </w:r>
      <w:r w:rsidR="00FE6C01" w:rsidRPr="0055589B">
        <w:rPr>
          <w:rFonts w:ascii="Arial" w:hAnsi="Arial" w:cs="Arial"/>
          <w:color w:val="000000" w:themeColor="text1"/>
          <w:szCs w:val="24"/>
          <w:lang w:val="cs-CZ" w:eastAsia="de-AT"/>
        </w:rPr>
        <w:t>e</w:t>
      </w:r>
      <w:r w:rsidRPr="0055589B">
        <w:rPr>
          <w:rFonts w:ascii="Arial" w:hAnsi="Arial" w:cs="Arial"/>
          <w:color w:val="000000" w:themeColor="text1"/>
          <w:szCs w:val="24"/>
          <w:lang w:val="cs-CZ" w:eastAsia="de-AT"/>
        </w:rPr>
        <w:t xml:space="preserve"> hodnocení výkonnosti jednotlivce</w:t>
      </w:r>
      <w:r w:rsidR="00FE6C01" w:rsidRPr="0055589B">
        <w:rPr>
          <w:rFonts w:ascii="Arial" w:hAnsi="Arial" w:cs="Arial"/>
          <w:color w:val="000000" w:themeColor="text1"/>
          <w:szCs w:val="24"/>
          <w:lang w:val="cs-CZ" w:eastAsia="de-AT"/>
        </w:rPr>
        <w:t xml:space="preserve"> i dotčené </w:t>
      </w:r>
      <w:r w:rsidR="00890A8F" w:rsidRPr="0055589B">
        <w:rPr>
          <w:rFonts w:ascii="Arial" w:hAnsi="Arial" w:cs="Arial"/>
          <w:color w:val="000000" w:themeColor="text1"/>
          <w:szCs w:val="24"/>
          <w:lang w:val="cs-CZ" w:eastAsia="de-AT"/>
        </w:rPr>
        <w:t>obchodní</w:t>
      </w:r>
      <w:r w:rsidR="00FE6C01" w:rsidRPr="0055589B">
        <w:rPr>
          <w:rFonts w:ascii="Arial" w:hAnsi="Arial" w:cs="Arial"/>
          <w:color w:val="000000" w:themeColor="text1"/>
          <w:szCs w:val="24"/>
          <w:lang w:val="cs-CZ" w:eastAsia="de-AT"/>
        </w:rPr>
        <w:t xml:space="preserve"> jednotky nebo </w:t>
      </w:r>
      <w:r w:rsidRPr="0055589B">
        <w:rPr>
          <w:rFonts w:ascii="Arial" w:hAnsi="Arial" w:cs="Arial"/>
          <w:color w:val="000000" w:themeColor="text1"/>
          <w:szCs w:val="24"/>
          <w:lang w:val="cs-CZ" w:eastAsia="de-AT"/>
        </w:rPr>
        <w:t>investičních fondů a celkových výsledků společnosti.</w:t>
      </w:r>
    </w:p>
    <w:p w14:paraId="12AE29AF" w14:textId="3DF4EF3D" w:rsidR="00224561" w:rsidRPr="0055589B" w:rsidRDefault="00585B1C"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P</w:t>
      </w:r>
      <w:r w:rsidR="00224561" w:rsidRPr="0055589B">
        <w:rPr>
          <w:rFonts w:ascii="Arial" w:hAnsi="Arial" w:cs="Arial"/>
          <w:color w:val="000000" w:themeColor="text1"/>
          <w:szCs w:val="24"/>
          <w:lang w:val="cs-CZ" w:eastAsia="de-AT"/>
        </w:rPr>
        <w:t>ři posuzování individuální výkonnosti</w:t>
      </w:r>
      <w:r w:rsidRPr="0055589B">
        <w:rPr>
          <w:rFonts w:ascii="Arial" w:hAnsi="Arial" w:cs="Arial"/>
          <w:color w:val="000000" w:themeColor="text1"/>
          <w:szCs w:val="24"/>
          <w:lang w:val="cs-CZ" w:eastAsia="de-AT"/>
        </w:rPr>
        <w:t xml:space="preserve"> se zohledňují také </w:t>
      </w:r>
      <w:r w:rsidR="00224561" w:rsidRPr="0055589B">
        <w:rPr>
          <w:rFonts w:ascii="Arial" w:hAnsi="Arial" w:cs="Arial"/>
          <w:color w:val="000000" w:themeColor="text1"/>
          <w:szCs w:val="24"/>
          <w:lang w:val="cs-CZ" w:eastAsia="de-AT"/>
        </w:rPr>
        <w:t xml:space="preserve">finanční a </w:t>
      </w:r>
      <w:r w:rsidRPr="0055589B">
        <w:rPr>
          <w:rFonts w:ascii="Arial" w:hAnsi="Arial" w:cs="Arial"/>
          <w:color w:val="000000" w:themeColor="text1"/>
          <w:szCs w:val="24"/>
          <w:lang w:val="cs-CZ" w:eastAsia="de-AT"/>
        </w:rPr>
        <w:t>nefinanční kritéria.</w:t>
      </w:r>
      <w:r w:rsidR="00224561" w:rsidRPr="0055589B">
        <w:rPr>
          <w:rFonts w:ascii="Arial" w:hAnsi="Arial" w:cs="Arial"/>
          <w:color w:val="000000" w:themeColor="text1"/>
          <w:szCs w:val="24"/>
          <w:lang w:val="cs-CZ" w:eastAsia="de-AT"/>
        </w:rPr>
        <w:t xml:space="preserve"> Tato kritéria jsou </w:t>
      </w:r>
      <w:r w:rsidRPr="0055589B">
        <w:rPr>
          <w:rFonts w:ascii="Arial" w:hAnsi="Arial" w:cs="Arial"/>
          <w:color w:val="000000" w:themeColor="text1"/>
          <w:szCs w:val="24"/>
          <w:lang w:val="cs-CZ" w:eastAsia="de-AT"/>
        </w:rPr>
        <w:t xml:space="preserve">stanovena touto politikou. </w:t>
      </w:r>
    </w:p>
    <w:p w14:paraId="3E81EA54" w14:textId="253ACC4A" w:rsidR="00224561" w:rsidRPr="0055589B" w:rsidRDefault="00224561" w:rsidP="007F006A">
      <w:pPr>
        <w:keepNext/>
        <w:spacing w:before="240" w:after="120" w:line="276" w:lineRule="auto"/>
        <w:jc w:val="both"/>
        <w:outlineLvl w:val="3"/>
        <w:rPr>
          <w:rFonts w:ascii="Arial" w:eastAsia="Times New Roman" w:hAnsi="Arial" w:cs="Arial"/>
          <w:b/>
          <w:bCs/>
          <w:color w:val="000000" w:themeColor="text1"/>
          <w:szCs w:val="28"/>
          <w:lang w:val="cs-CZ" w:eastAsia="de-AT"/>
        </w:rPr>
      </w:pPr>
      <w:r w:rsidRPr="0055589B">
        <w:rPr>
          <w:rFonts w:ascii="Arial" w:hAnsi="Arial" w:cs="Arial"/>
          <w:b/>
          <w:bCs/>
          <w:color w:val="000000" w:themeColor="text1"/>
          <w:szCs w:val="28"/>
          <w:lang w:val="cs-CZ" w:eastAsia="de-AT"/>
        </w:rPr>
        <w:t>Výkon</w:t>
      </w:r>
      <w:r w:rsidR="00585B1C" w:rsidRPr="0055589B">
        <w:rPr>
          <w:rFonts w:ascii="Arial" w:hAnsi="Arial" w:cs="Arial"/>
          <w:b/>
          <w:bCs/>
          <w:color w:val="000000" w:themeColor="text1"/>
          <w:szCs w:val="28"/>
          <w:lang w:val="cs-CZ" w:eastAsia="de-AT"/>
        </w:rPr>
        <w:t>nost</w:t>
      </w:r>
      <w:r w:rsidRPr="0055589B">
        <w:rPr>
          <w:rFonts w:ascii="Arial" w:hAnsi="Arial" w:cs="Arial"/>
          <w:b/>
          <w:bCs/>
          <w:color w:val="000000" w:themeColor="text1"/>
          <w:szCs w:val="28"/>
          <w:lang w:val="cs-CZ" w:eastAsia="de-AT"/>
        </w:rPr>
        <w:t xml:space="preserve"> a dlouhodobá udržitelnost</w:t>
      </w:r>
    </w:p>
    <w:p w14:paraId="1907647F" w14:textId="5BEF9B11"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Variabilní odměňování zaměstnanců závisí na posouzení výkonnosti a rozvoje dotyčné</w:t>
      </w:r>
      <w:r w:rsidR="00890A8F" w:rsidRPr="0055589B">
        <w:rPr>
          <w:rFonts w:ascii="Arial" w:hAnsi="Arial" w:cs="Arial"/>
          <w:color w:val="000000" w:themeColor="text1"/>
          <w:szCs w:val="24"/>
          <w:lang w:val="cs-CZ" w:eastAsia="de-AT"/>
        </w:rPr>
        <w:t xml:space="preserve"> osoby</w:t>
      </w:r>
      <w:r w:rsidRPr="0055589B">
        <w:rPr>
          <w:rFonts w:ascii="Arial" w:hAnsi="Arial" w:cs="Arial"/>
          <w:color w:val="000000" w:themeColor="text1"/>
          <w:szCs w:val="24"/>
          <w:lang w:val="cs-CZ" w:eastAsia="de-AT"/>
        </w:rPr>
        <w:t xml:space="preserve"> a obchodní jednotky v kombinaci s celkovou výkonností </w:t>
      </w:r>
      <w:r w:rsidR="00890A8F"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 xml:space="preserve">polečnosti nebo investičních fondů, které spravují. </w:t>
      </w:r>
      <w:r w:rsidR="00890A8F" w:rsidRPr="0055589B">
        <w:rPr>
          <w:rFonts w:ascii="Arial" w:hAnsi="Arial" w:cs="Arial"/>
          <w:color w:val="000000" w:themeColor="text1"/>
          <w:szCs w:val="24"/>
          <w:lang w:val="cs-CZ" w:eastAsia="de-AT"/>
        </w:rPr>
        <w:t xml:space="preserve">Výkonnost obchodní </w:t>
      </w:r>
      <w:r w:rsidRPr="0055589B">
        <w:rPr>
          <w:rFonts w:ascii="Arial" w:hAnsi="Arial" w:cs="Arial"/>
          <w:color w:val="000000" w:themeColor="text1"/>
          <w:szCs w:val="24"/>
          <w:lang w:val="cs-CZ" w:eastAsia="de-AT"/>
        </w:rPr>
        <w:t>jednotk</w:t>
      </w:r>
      <w:r w:rsidR="00890A8F" w:rsidRPr="0055589B">
        <w:rPr>
          <w:rFonts w:ascii="Arial" w:hAnsi="Arial" w:cs="Arial"/>
          <w:color w:val="000000" w:themeColor="text1"/>
          <w:szCs w:val="24"/>
          <w:lang w:val="cs-CZ" w:eastAsia="de-AT"/>
        </w:rPr>
        <w:t>y</w:t>
      </w:r>
      <w:r w:rsidRPr="0055589B">
        <w:rPr>
          <w:rFonts w:ascii="Arial" w:hAnsi="Arial" w:cs="Arial"/>
          <w:color w:val="000000" w:themeColor="text1"/>
          <w:szCs w:val="24"/>
          <w:lang w:val="cs-CZ" w:eastAsia="de-AT"/>
        </w:rPr>
        <w:t xml:space="preserve"> </w:t>
      </w:r>
      <w:r w:rsidR="00890A8F" w:rsidRPr="0055589B">
        <w:rPr>
          <w:rFonts w:ascii="Arial" w:hAnsi="Arial" w:cs="Arial"/>
          <w:color w:val="000000" w:themeColor="text1"/>
          <w:szCs w:val="24"/>
          <w:lang w:val="cs-CZ" w:eastAsia="de-AT"/>
        </w:rPr>
        <w:t xml:space="preserve">i jednotlivce se </w:t>
      </w:r>
      <w:proofErr w:type="gramStart"/>
      <w:r w:rsidRPr="0055589B">
        <w:rPr>
          <w:rFonts w:ascii="Arial" w:hAnsi="Arial" w:cs="Arial"/>
          <w:color w:val="000000" w:themeColor="text1"/>
          <w:szCs w:val="24"/>
          <w:lang w:val="cs-CZ" w:eastAsia="de-AT"/>
        </w:rPr>
        <w:t>měří</w:t>
      </w:r>
      <w:proofErr w:type="gramEnd"/>
      <w:r w:rsidRPr="0055589B">
        <w:rPr>
          <w:rFonts w:ascii="Arial" w:hAnsi="Arial" w:cs="Arial"/>
          <w:color w:val="000000" w:themeColor="text1"/>
          <w:szCs w:val="24"/>
          <w:lang w:val="cs-CZ" w:eastAsia="de-AT"/>
        </w:rPr>
        <w:t xml:space="preserve"> kvantitativními a kvalitativními cíli, včetně udržitelnosti úsilí zaměstnance ve střednědobém a dlouhodobém horizontu. </w:t>
      </w:r>
    </w:p>
    <w:p w14:paraId="4BA716A8" w14:textId="6C3F6E7C"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N</w:t>
      </w:r>
      <w:r w:rsidR="00307315" w:rsidRPr="0055589B">
        <w:rPr>
          <w:rFonts w:ascii="Arial" w:hAnsi="Arial" w:cs="Arial"/>
          <w:color w:val="000000" w:themeColor="text1"/>
          <w:szCs w:val="24"/>
          <w:lang w:val="cs-CZ" w:eastAsia="de-AT"/>
        </w:rPr>
        <w:t>astavení každé politiky variabilního odměňování, její model i uplatňování zohledňuje níže uvedené postupy</w:t>
      </w:r>
      <w:r w:rsidRPr="0055589B">
        <w:rPr>
          <w:rFonts w:ascii="Arial" w:hAnsi="Arial" w:cs="Arial"/>
          <w:color w:val="000000" w:themeColor="text1"/>
          <w:szCs w:val="24"/>
          <w:lang w:val="cs-CZ" w:eastAsia="de-AT"/>
        </w:rPr>
        <w:t>. Obecně platí, že zásady a praktiky odměňování ne</w:t>
      </w:r>
      <w:r w:rsidR="00307315" w:rsidRPr="0055589B">
        <w:rPr>
          <w:rFonts w:ascii="Arial" w:hAnsi="Arial" w:cs="Arial"/>
          <w:color w:val="000000" w:themeColor="text1"/>
          <w:szCs w:val="24"/>
          <w:lang w:val="cs-CZ" w:eastAsia="de-AT"/>
        </w:rPr>
        <w:t xml:space="preserve">vytváření přímou vazbu mezi odměnou a prodejem </w:t>
      </w:r>
      <w:r w:rsidRPr="0055589B">
        <w:rPr>
          <w:rFonts w:ascii="Arial" w:hAnsi="Arial" w:cs="Arial"/>
          <w:color w:val="000000" w:themeColor="text1"/>
          <w:szCs w:val="24"/>
          <w:lang w:val="cs-CZ" w:eastAsia="de-AT"/>
        </w:rPr>
        <w:t>konkrétních finančních nástrojů/služeb a/nebo určité kategorie finančních nástrojů/služeb.</w:t>
      </w:r>
    </w:p>
    <w:p w14:paraId="641CFF8C" w14:textId="70E20EEB"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Jakákoli </w:t>
      </w:r>
      <w:r w:rsidR="00307315" w:rsidRPr="0055589B">
        <w:rPr>
          <w:rFonts w:ascii="Arial" w:hAnsi="Arial" w:cs="Arial"/>
          <w:color w:val="000000" w:themeColor="text1"/>
          <w:szCs w:val="24"/>
          <w:lang w:val="cs-CZ" w:eastAsia="de-AT"/>
        </w:rPr>
        <w:t xml:space="preserve">variabilní odměna </w:t>
      </w:r>
      <w:r w:rsidRPr="0055589B">
        <w:rPr>
          <w:rFonts w:ascii="Arial" w:hAnsi="Arial" w:cs="Arial"/>
          <w:color w:val="000000" w:themeColor="text1"/>
          <w:szCs w:val="24"/>
          <w:lang w:val="cs-CZ" w:eastAsia="de-AT"/>
        </w:rPr>
        <w:t xml:space="preserve">musí být v souladu se strategickými ukazateli, hodnotami a dlouhodobými zájmy </w:t>
      </w:r>
      <w:r w:rsidR="00307315"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polečnosti. Variabilní odměn</w:t>
      </w:r>
      <w:r w:rsidR="00A96F7F" w:rsidRPr="0055589B">
        <w:rPr>
          <w:rFonts w:ascii="Arial" w:hAnsi="Arial" w:cs="Arial"/>
          <w:color w:val="000000" w:themeColor="text1"/>
          <w:szCs w:val="24"/>
          <w:lang w:val="cs-CZ" w:eastAsia="de-AT"/>
        </w:rPr>
        <w:t>a</w:t>
      </w:r>
      <w:r w:rsidRPr="0055589B">
        <w:rPr>
          <w:rFonts w:ascii="Arial" w:hAnsi="Arial" w:cs="Arial"/>
          <w:color w:val="000000" w:themeColor="text1"/>
          <w:szCs w:val="24"/>
          <w:lang w:val="cs-CZ" w:eastAsia="de-AT"/>
        </w:rPr>
        <w:t xml:space="preserve"> musí </w:t>
      </w:r>
      <w:r w:rsidR="00A96F7F" w:rsidRPr="0055589B">
        <w:rPr>
          <w:rFonts w:ascii="Arial" w:hAnsi="Arial" w:cs="Arial"/>
          <w:color w:val="000000" w:themeColor="text1"/>
          <w:szCs w:val="24"/>
          <w:lang w:val="cs-CZ" w:eastAsia="de-AT"/>
        </w:rPr>
        <w:t>zohledňovat:</w:t>
      </w:r>
    </w:p>
    <w:p w14:paraId="478499DE" w14:textId="59F45C41" w:rsidR="00224561" w:rsidRPr="0055589B" w:rsidRDefault="00224561" w:rsidP="00224561">
      <w:pPr>
        <w:numPr>
          <w:ilvl w:val="0"/>
          <w:numId w:val="13"/>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rizik</w:t>
      </w:r>
      <w:r w:rsidR="00A96F7F" w:rsidRPr="0055589B">
        <w:rPr>
          <w:rFonts w:ascii="Arial" w:hAnsi="Arial" w:cs="Arial"/>
          <w:color w:val="000000" w:themeColor="text1"/>
          <w:lang w:val="cs-CZ" w:eastAsia="de-AT"/>
        </w:rPr>
        <w:t>a</w:t>
      </w:r>
      <w:r w:rsidRPr="0055589B">
        <w:rPr>
          <w:rFonts w:ascii="Arial" w:hAnsi="Arial" w:cs="Arial"/>
          <w:color w:val="000000" w:themeColor="text1"/>
          <w:lang w:val="cs-CZ" w:eastAsia="de-AT"/>
        </w:rPr>
        <w:t>, kapitál, likvidit</w:t>
      </w:r>
      <w:r w:rsidR="00A96F7F" w:rsidRPr="0055589B">
        <w:rPr>
          <w:rFonts w:ascii="Arial" w:hAnsi="Arial" w:cs="Arial"/>
          <w:color w:val="000000" w:themeColor="text1"/>
          <w:lang w:val="cs-CZ" w:eastAsia="de-AT"/>
        </w:rPr>
        <w:t>u</w:t>
      </w:r>
      <w:r w:rsidRPr="0055589B">
        <w:rPr>
          <w:rFonts w:ascii="Arial" w:hAnsi="Arial" w:cs="Arial"/>
          <w:color w:val="000000" w:themeColor="text1"/>
          <w:lang w:val="cs-CZ" w:eastAsia="de-AT"/>
        </w:rPr>
        <w:t xml:space="preserve"> a pravděpodobnost, jakož i </w:t>
      </w:r>
      <w:r w:rsidR="00A96F7F" w:rsidRPr="0055589B">
        <w:rPr>
          <w:rFonts w:ascii="Arial" w:hAnsi="Arial" w:cs="Arial"/>
          <w:color w:val="000000" w:themeColor="text1"/>
          <w:lang w:val="cs-CZ" w:eastAsia="de-AT"/>
        </w:rPr>
        <w:t>dobu realizace zisků S</w:t>
      </w:r>
      <w:r w:rsidRPr="0055589B">
        <w:rPr>
          <w:rFonts w:ascii="Arial" w:hAnsi="Arial" w:cs="Arial"/>
          <w:color w:val="000000" w:themeColor="text1"/>
          <w:lang w:val="cs-CZ" w:eastAsia="de-AT"/>
        </w:rPr>
        <w:t>polečnosti;</w:t>
      </w:r>
    </w:p>
    <w:p w14:paraId="450FA4BA" w14:textId="30F10473" w:rsidR="00224561" w:rsidRPr="0055589B" w:rsidRDefault="00224561" w:rsidP="00224561">
      <w:pPr>
        <w:numPr>
          <w:ilvl w:val="0"/>
          <w:numId w:val="13"/>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výkon</w:t>
      </w:r>
      <w:r w:rsidR="00A96F7F" w:rsidRPr="0055589B">
        <w:rPr>
          <w:rFonts w:ascii="Arial" w:hAnsi="Arial" w:cs="Arial"/>
          <w:color w:val="000000" w:themeColor="text1"/>
          <w:lang w:val="cs-CZ" w:eastAsia="de-AT"/>
        </w:rPr>
        <w:t>y</w:t>
      </w:r>
      <w:r w:rsidRPr="0055589B">
        <w:rPr>
          <w:rFonts w:ascii="Arial" w:hAnsi="Arial" w:cs="Arial"/>
          <w:color w:val="000000" w:themeColor="text1"/>
          <w:lang w:val="cs-CZ" w:eastAsia="de-AT"/>
        </w:rPr>
        <w:t xml:space="preserve"> skupiny Erste Asset </w:t>
      </w:r>
      <w:r w:rsidR="00A96F7F" w:rsidRPr="0055589B">
        <w:rPr>
          <w:rFonts w:ascii="Arial" w:hAnsi="Arial" w:cs="Arial"/>
          <w:color w:val="000000" w:themeColor="text1"/>
          <w:lang w:val="cs-CZ" w:eastAsia="de-AT"/>
        </w:rPr>
        <w:t>Management Group a S</w:t>
      </w:r>
      <w:r w:rsidRPr="0055589B">
        <w:rPr>
          <w:rFonts w:ascii="Arial" w:hAnsi="Arial" w:cs="Arial"/>
          <w:color w:val="000000" w:themeColor="text1"/>
          <w:lang w:val="cs-CZ" w:eastAsia="de-AT"/>
        </w:rPr>
        <w:t xml:space="preserve">polečnosti; </w:t>
      </w:r>
    </w:p>
    <w:p w14:paraId="042F4D90" w14:textId="433E1CA4" w:rsidR="00224561" w:rsidRPr="0055589B" w:rsidRDefault="00224561" w:rsidP="00224561">
      <w:pPr>
        <w:numPr>
          <w:ilvl w:val="0"/>
          <w:numId w:val="13"/>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výkon</w:t>
      </w:r>
      <w:r w:rsidR="00A96F7F" w:rsidRPr="0055589B">
        <w:rPr>
          <w:rFonts w:ascii="Arial" w:hAnsi="Arial" w:cs="Arial"/>
          <w:color w:val="000000" w:themeColor="text1"/>
          <w:lang w:val="cs-CZ" w:eastAsia="de-AT"/>
        </w:rPr>
        <w:t>y dotčené</w:t>
      </w:r>
      <w:r w:rsidRPr="0055589B">
        <w:rPr>
          <w:rFonts w:ascii="Arial" w:hAnsi="Arial" w:cs="Arial"/>
          <w:color w:val="000000" w:themeColor="text1"/>
          <w:lang w:val="cs-CZ" w:eastAsia="de-AT"/>
        </w:rPr>
        <w:t xml:space="preserve"> obchodní jednotky (oddělení/divize/pobočky); a </w:t>
      </w:r>
    </w:p>
    <w:p w14:paraId="25BF468F" w14:textId="70BFB98B" w:rsidR="00224561" w:rsidRPr="0055589B" w:rsidRDefault="00224561" w:rsidP="00224561">
      <w:pPr>
        <w:numPr>
          <w:ilvl w:val="0"/>
          <w:numId w:val="13"/>
        </w:numPr>
        <w:spacing w:after="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výkon</w:t>
      </w:r>
      <w:r w:rsidR="00A96F7F" w:rsidRPr="0055589B">
        <w:rPr>
          <w:rFonts w:ascii="Arial" w:hAnsi="Arial" w:cs="Arial"/>
          <w:color w:val="000000" w:themeColor="text1"/>
          <w:lang w:val="cs-CZ" w:eastAsia="de-AT"/>
        </w:rPr>
        <w:t>y</w:t>
      </w:r>
      <w:r w:rsidRPr="0055589B">
        <w:rPr>
          <w:rFonts w:ascii="Arial" w:hAnsi="Arial" w:cs="Arial"/>
          <w:color w:val="000000" w:themeColor="text1"/>
          <w:lang w:val="cs-CZ" w:eastAsia="de-AT"/>
        </w:rPr>
        <w:t xml:space="preserve"> jednotlivce.</w:t>
      </w:r>
    </w:p>
    <w:p w14:paraId="3602AD19" w14:textId="77777777" w:rsidR="00224561" w:rsidRPr="0055589B" w:rsidRDefault="00224561" w:rsidP="007F006A">
      <w:pPr>
        <w:spacing w:after="0" w:line="276" w:lineRule="auto"/>
        <w:jc w:val="both"/>
        <w:rPr>
          <w:rFonts w:ascii="Arial" w:eastAsia="Times New Roman" w:hAnsi="Arial" w:cs="Arial"/>
          <w:color w:val="000000" w:themeColor="text1"/>
          <w:lang w:val="cs-CZ" w:eastAsia="de-AT"/>
        </w:rPr>
      </w:pPr>
    </w:p>
    <w:p w14:paraId="1FB7670F" w14:textId="50E40EFC" w:rsidR="00224561" w:rsidRDefault="005D634E" w:rsidP="007F006A">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Variabilní odměna </w:t>
      </w:r>
      <w:r w:rsidR="00224561" w:rsidRPr="0055589B">
        <w:rPr>
          <w:rFonts w:ascii="Arial" w:hAnsi="Arial" w:cs="Arial"/>
          <w:color w:val="000000" w:themeColor="text1"/>
          <w:szCs w:val="24"/>
          <w:lang w:val="cs-CZ" w:eastAsia="de-AT"/>
        </w:rPr>
        <w:t xml:space="preserve">je </w:t>
      </w:r>
      <w:r w:rsidRPr="0055589B">
        <w:rPr>
          <w:rFonts w:ascii="Arial" w:hAnsi="Arial" w:cs="Arial"/>
          <w:color w:val="000000" w:themeColor="text1"/>
          <w:szCs w:val="24"/>
          <w:lang w:val="cs-CZ" w:eastAsia="de-AT"/>
        </w:rPr>
        <w:t xml:space="preserve">navázána na </w:t>
      </w:r>
      <w:r w:rsidR="00224561" w:rsidRPr="0055589B">
        <w:rPr>
          <w:rFonts w:ascii="Arial" w:hAnsi="Arial" w:cs="Arial"/>
          <w:color w:val="000000" w:themeColor="text1"/>
          <w:szCs w:val="24"/>
          <w:lang w:val="cs-CZ" w:eastAsia="de-AT"/>
        </w:rPr>
        <w:t>udržitelnost a nep</w:t>
      </w:r>
      <w:r w:rsidRPr="0055589B">
        <w:rPr>
          <w:rFonts w:ascii="Arial" w:hAnsi="Arial" w:cs="Arial"/>
          <w:color w:val="000000" w:themeColor="text1"/>
          <w:szCs w:val="24"/>
          <w:lang w:val="cs-CZ" w:eastAsia="de-AT"/>
        </w:rPr>
        <w:t xml:space="preserve">odporuje </w:t>
      </w:r>
      <w:r w:rsidR="00224561" w:rsidRPr="0055589B">
        <w:rPr>
          <w:rFonts w:ascii="Arial" w:hAnsi="Arial" w:cs="Arial"/>
          <w:color w:val="000000" w:themeColor="text1"/>
          <w:szCs w:val="24"/>
          <w:lang w:val="cs-CZ" w:eastAsia="de-AT"/>
        </w:rPr>
        <w:t xml:space="preserve">nadměrné přijímání rizik. </w:t>
      </w:r>
      <w:r w:rsidRPr="0055589B">
        <w:rPr>
          <w:rFonts w:ascii="Arial" w:hAnsi="Arial" w:cs="Arial"/>
          <w:color w:val="000000" w:themeColor="text1"/>
          <w:szCs w:val="24"/>
          <w:lang w:val="cs-CZ" w:eastAsia="de-AT"/>
        </w:rPr>
        <w:t>Variabilní odměna</w:t>
      </w:r>
      <w:r w:rsidR="00224561" w:rsidRPr="0055589B">
        <w:rPr>
          <w:rFonts w:ascii="Arial" w:hAnsi="Arial" w:cs="Arial"/>
          <w:color w:val="000000" w:themeColor="text1"/>
          <w:szCs w:val="24"/>
          <w:lang w:val="cs-CZ" w:eastAsia="de-AT"/>
        </w:rPr>
        <w:t xml:space="preserve"> se vyplácí pouze v</w:t>
      </w:r>
      <w:r w:rsidRPr="0055589B">
        <w:rPr>
          <w:rFonts w:ascii="Arial" w:hAnsi="Arial" w:cs="Arial"/>
          <w:color w:val="000000" w:themeColor="text1"/>
          <w:szCs w:val="24"/>
          <w:lang w:val="cs-CZ" w:eastAsia="de-AT"/>
        </w:rPr>
        <w:t xml:space="preserve"> případě, že je </w:t>
      </w:r>
      <w:r w:rsidR="00224561" w:rsidRPr="0055589B">
        <w:rPr>
          <w:rFonts w:ascii="Arial" w:hAnsi="Arial" w:cs="Arial"/>
          <w:color w:val="000000" w:themeColor="text1"/>
          <w:szCs w:val="24"/>
          <w:lang w:val="cs-CZ" w:eastAsia="de-AT"/>
        </w:rPr>
        <w:t xml:space="preserve">poměr mezi pevnou a pohyblivou </w:t>
      </w:r>
      <w:r w:rsidR="00D131BE" w:rsidRPr="0055589B">
        <w:rPr>
          <w:rFonts w:ascii="Arial" w:hAnsi="Arial" w:cs="Arial"/>
          <w:color w:val="000000" w:themeColor="text1"/>
          <w:szCs w:val="24"/>
          <w:lang w:val="cs-CZ" w:eastAsia="de-AT"/>
        </w:rPr>
        <w:t xml:space="preserve">složkou </w:t>
      </w:r>
      <w:r w:rsidR="00224561" w:rsidRPr="0055589B">
        <w:rPr>
          <w:rFonts w:ascii="Arial" w:hAnsi="Arial" w:cs="Arial"/>
          <w:color w:val="000000" w:themeColor="text1"/>
          <w:szCs w:val="24"/>
          <w:lang w:val="cs-CZ" w:eastAsia="de-AT"/>
        </w:rPr>
        <w:t>odměn</w:t>
      </w:r>
      <w:r w:rsidR="00D131BE" w:rsidRPr="0055589B">
        <w:rPr>
          <w:rFonts w:ascii="Arial" w:hAnsi="Arial" w:cs="Arial"/>
          <w:color w:val="000000" w:themeColor="text1"/>
          <w:szCs w:val="24"/>
          <w:lang w:val="cs-CZ" w:eastAsia="de-AT"/>
        </w:rPr>
        <w:t>y</w:t>
      </w:r>
      <w:r w:rsidR="00224561" w:rsidRPr="0055589B">
        <w:rPr>
          <w:rFonts w:ascii="Arial" w:hAnsi="Arial" w:cs="Arial"/>
          <w:color w:val="000000" w:themeColor="text1"/>
          <w:szCs w:val="24"/>
          <w:lang w:val="cs-CZ" w:eastAsia="de-AT"/>
        </w:rPr>
        <w:t xml:space="preserve"> přiměřený; poměr variabilní/fixní </w:t>
      </w:r>
      <w:r w:rsidR="00D131BE" w:rsidRPr="0055589B">
        <w:rPr>
          <w:rFonts w:ascii="Arial" w:hAnsi="Arial" w:cs="Arial"/>
          <w:color w:val="000000" w:themeColor="text1"/>
          <w:szCs w:val="24"/>
          <w:lang w:val="cs-CZ" w:eastAsia="de-AT"/>
        </w:rPr>
        <w:t xml:space="preserve">složky </w:t>
      </w:r>
      <w:r w:rsidR="00224561" w:rsidRPr="0055589B">
        <w:rPr>
          <w:rFonts w:ascii="Arial" w:hAnsi="Arial" w:cs="Arial"/>
          <w:color w:val="000000" w:themeColor="text1"/>
          <w:szCs w:val="24"/>
          <w:lang w:val="cs-CZ" w:eastAsia="de-AT"/>
        </w:rPr>
        <w:t xml:space="preserve">odměn je </w:t>
      </w:r>
      <w:r w:rsidR="0015331B" w:rsidRPr="0055589B">
        <w:rPr>
          <w:rFonts w:ascii="Arial" w:hAnsi="Arial" w:cs="Arial"/>
          <w:color w:val="000000" w:themeColor="text1"/>
          <w:szCs w:val="24"/>
          <w:lang w:val="cs-CZ" w:eastAsia="de-AT"/>
        </w:rPr>
        <w:t xml:space="preserve">u všech zaměstnanců a členů </w:t>
      </w:r>
      <w:r w:rsidR="007E4DE3" w:rsidRPr="0055589B">
        <w:rPr>
          <w:rFonts w:ascii="Arial" w:hAnsi="Arial" w:cs="Arial"/>
          <w:color w:val="000000" w:themeColor="text1"/>
          <w:szCs w:val="24"/>
          <w:lang w:val="cs-CZ" w:eastAsia="de-AT"/>
        </w:rPr>
        <w:t>Představenst</w:t>
      </w:r>
      <w:r w:rsidR="00DE7401" w:rsidRPr="0055589B">
        <w:rPr>
          <w:rFonts w:ascii="Arial" w:hAnsi="Arial" w:cs="Arial"/>
          <w:color w:val="000000" w:themeColor="text1"/>
          <w:szCs w:val="24"/>
          <w:lang w:val="cs-CZ" w:eastAsia="de-AT"/>
        </w:rPr>
        <w:t>va</w:t>
      </w:r>
      <w:r w:rsidR="0015331B" w:rsidRPr="0055589B">
        <w:rPr>
          <w:rFonts w:ascii="Arial" w:hAnsi="Arial" w:cs="Arial"/>
          <w:color w:val="000000" w:themeColor="text1"/>
          <w:szCs w:val="24"/>
          <w:lang w:val="cs-CZ" w:eastAsia="de-AT"/>
        </w:rPr>
        <w:t xml:space="preserve"> </w:t>
      </w:r>
      <w:r w:rsidR="00224561" w:rsidRPr="0055589B">
        <w:rPr>
          <w:rFonts w:ascii="Arial" w:hAnsi="Arial" w:cs="Arial"/>
          <w:color w:val="000000" w:themeColor="text1"/>
          <w:szCs w:val="24"/>
          <w:lang w:val="cs-CZ" w:eastAsia="de-AT"/>
        </w:rPr>
        <w:t>omeze</w:t>
      </w:r>
      <w:r w:rsidR="0015331B" w:rsidRPr="0055589B">
        <w:rPr>
          <w:rFonts w:ascii="Arial" w:hAnsi="Arial" w:cs="Arial"/>
          <w:color w:val="000000" w:themeColor="text1"/>
          <w:szCs w:val="24"/>
          <w:lang w:val="cs-CZ" w:eastAsia="de-AT"/>
        </w:rPr>
        <w:t xml:space="preserve">n </w:t>
      </w:r>
      <w:r w:rsidR="00224561" w:rsidRPr="0055589B">
        <w:rPr>
          <w:rFonts w:ascii="Arial" w:hAnsi="Arial" w:cs="Arial"/>
          <w:color w:val="000000" w:themeColor="text1"/>
          <w:szCs w:val="24"/>
          <w:lang w:val="cs-CZ" w:eastAsia="de-AT"/>
        </w:rPr>
        <w:t xml:space="preserve">na </w:t>
      </w:r>
      <w:r w:rsidR="00D131BE" w:rsidRPr="0055589B">
        <w:rPr>
          <w:rFonts w:ascii="Arial" w:hAnsi="Arial" w:cs="Arial"/>
          <w:color w:val="000000" w:themeColor="text1"/>
          <w:szCs w:val="24"/>
          <w:lang w:val="cs-CZ" w:eastAsia="de-AT"/>
        </w:rPr>
        <w:t xml:space="preserve">maximálně </w:t>
      </w:r>
      <w:r w:rsidR="00224561" w:rsidRPr="0055589B">
        <w:rPr>
          <w:rFonts w:ascii="Arial" w:hAnsi="Arial" w:cs="Arial"/>
          <w:color w:val="000000" w:themeColor="text1"/>
          <w:szCs w:val="24"/>
          <w:lang w:val="cs-CZ" w:eastAsia="de-AT"/>
        </w:rPr>
        <w:t>100</w:t>
      </w:r>
      <w:r w:rsidR="00D131BE" w:rsidRPr="0055589B">
        <w:rPr>
          <w:rFonts w:ascii="Arial" w:hAnsi="Arial" w:cs="Arial"/>
          <w:color w:val="000000" w:themeColor="text1"/>
          <w:szCs w:val="24"/>
          <w:lang w:val="cs-CZ" w:eastAsia="de-AT"/>
        </w:rPr>
        <w:t> </w:t>
      </w:r>
      <w:r w:rsidR="00224561" w:rsidRPr="0055589B">
        <w:rPr>
          <w:rFonts w:ascii="Arial" w:hAnsi="Arial" w:cs="Arial"/>
          <w:color w:val="000000" w:themeColor="text1"/>
          <w:szCs w:val="24"/>
          <w:lang w:val="cs-CZ" w:eastAsia="de-AT"/>
        </w:rPr>
        <w:t xml:space="preserve">% pevné </w:t>
      </w:r>
      <w:r w:rsidR="0015331B" w:rsidRPr="0055589B">
        <w:rPr>
          <w:rFonts w:ascii="Arial" w:hAnsi="Arial" w:cs="Arial"/>
          <w:color w:val="000000" w:themeColor="text1"/>
          <w:szCs w:val="24"/>
          <w:lang w:val="cs-CZ" w:eastAsia="de-AT"/>
        </w:rPr>
        <w:t xml:space="preserve">složky </w:t>
      </w:r>
      <w:r w:rsidR="00224561" w:rsidRPr="0055589B">
        <w:rPr>
          <w:rFonts w:ascii="Arial" w:hAnsi="Arial" w:cs="Arial"/>
          <w:color w:val="000000" w:themeColor="text1"/>
          <w:szCs w:val="24"/>
          <w:lang w:val="cs-CZ" w:eastAsia="de-AT"/>
        </w:rPr>
        <w:t>odměny</w:t>
      </w:r>
      <w:r w:rsidR="0015331B" w:rsidRPr="0055589B">
        <w:rPr>
          <w:rFonts w:ascii="Arial" w:hAnsi="Arial" w:cs="Arial"/>
          <w:color w:val="000000" w:themeColor="text1"/>
          <w:szCs w:val="24"/>
          <w:lang w:val="cs-CZ" w:eastAsia="de-AT"/>
        </w:rPr>
        <w:t>.</w:t>
      </w:r>
    </w:p>
    <w:p w14:paraId="581FA932" w14:textId="10FF78F6" w:rsidR="005A2350" w:rsidRPr="0055589B" w:rsidRDefault="005A2350" w:rsidP="007F006A">
      <w:pPr>
        <w:spacing w:after="120" w:line="276" w:lineRule="auto"/>
        <w:jc w:val="both"/>
        <w:rPr>
          <w:rFonts w:ascii="Arial" w:eastAsia="Times New Roman" w:hAnsi="Arial" w:cs="Arial"/>
          <w:color w:val="000000" w:themeColor="text1"/>
          <w:szCs w:val="24"/>
          <w:lang w:val="cs-CZ" w:eastAsia="de-AT"/>
        </w:rPr>
      </w:pPr>
      <w:r w:rsidRPr="005A2350">
        <w:rPr>
          <w:rFonts w:ascii="Arial" w:eastAsia="Times New Roman" w:hAnsi="Arial" w:cs="Arial"/>
          <w:color w:val="000000" w:themeColor="text1"/>
          <w:szCs w:val="24"/>
          <w:lang w:val="cs-CZ" w:eastAsia="de-AT"/>
        </w:rPr>
        <w:t>Doporučuje se, aby motivační struktury pro vybrané vedoucí pracovníky měly cíle v oblasti ESG, aby se podpořilo chování, které je v souladu s přístupem institucí ke klimatu a životnímu prostředí (rizikům). Pokud je obtížné kvantifikovat finanční dopady rizik souvisejících s klimatem a životním prostředím, může řídicí orgán zvážit začlenění vhodných kvalitativních kritérií do stanovení cílů.</w:t>
      </w:r>
    </w:p>
    <w:p w14:paraId="59F96F28" w14:textId="1546F130"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lastRenderedPageBreak/>
        <w:t xml:space="preserve">Neúspěch se </w:t>
      </w:r>
      <w:r w:rsidR="00971709" w:rsidRPr="0055589B">
        <w:rPr>
          <w:rFonts w:ascii="Arial" w:hAnsi="Arial" w:cs="Arial"/>
          <w:color w:val="000000" w:themeColor="text1"/>
          <w:szCs w:val="24"/>
          <w:lang w:val="cs-CZ" w:eastAsia="de-AT"/>
        </w:rPr>
        <w:t xml:space="preserve">neodměňuje. Dokud nejsou splněny všechny podmínky jednotlivých složek pohyblivé odměny, nedává se jakýkoliv závazný </w:t>
      </w:r>
      <w:r w:rsidR="007B1DC5" w:rsidRPr="0055589B">
        <w:rPr>
          <w:rFonts w:ascii="Arial" w:hAnsi="Arial" w:cs="Arial"/>
          <w:color w:val="000000" w:themeColor="text1"/>
          <w:szCs w:val="24"/>
          <w:lang w:val="cs-CZ" w:eastAsia="de-AT"/>
        </w:rPr>
        <w:t>příslib odměny</w:t>
      </w:r>
      <w:r w:rsidR="00971709" w:rsidRPr="0055589B">
        <w:rPr>
          <w:rFonts w:ascii="Arial" w:hAnsi="Arial" w:cs="Arial"/>
          <w:color w:val="000000" w:themeColor="text1"/>
          <w:szCs w:val="24"/>
          <w:lang w:val="cs-CZ" w:eastAsia="de-AT"/>
        </w:rPr>
        <w:t xml:space="preserve">. </w:t>
      </w:r>
    </w:p>
    <w:p w14:paraId="512A4106" w14:textId="51DB80C2"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Zejména </w:t>
      </w:r>
      <w:r w:rsidR="00D365C3" w:rsidRPr="0055589B">
        <w:rPr>
          <w:rFonts w:ascii="Arial" w:hAnsi="Arial" w:cs="Arial"/>
          <w:color w:val="000000" w:themeColor="text1"/>
          <w:szCs w:val="24"/>
          <w:lang w:val="cs-CZ" w:eastAsia="de-AT"/>
        </w:rPr>
        <w:t xml:space="preserve">nelze variabilní odměnu přislíbit a </w:t>
      </w:r>
      <w:r w:rsidR="005D634E" w:rsidRPr="0055589B">
        <w:rPr>
          <w:rFonts w:ascii="Arial" w:hAnsi="Arial" w:cs="Arial"/>
          <w:color w:val="000000" w:themeColor="text1"/>
          <w:szCs w:val="24"/>
          <w:lang w:val="cs-CZ" w:eastAsia="de-AT"/>
        </w:rPr>
        <w:t>variabilní odměna</w:t>
      </w:r>
      <w:r w:rsidRPr="0055589B">
        <w:rPr>
          <w:rFonts w:ascii="Arial" w:hAnsi="Arial" w:cs="Arial"/>
          <w:color w:val="000000" w:themeColor="text1"/>
          <w:szCs w:val="24"/>
          <w:lang w:val="cs-CZ" w:eastAsia="de-AT"/>
        </w:rPr>
        <w:t xml:space="preserve"> </w:t>
      </w:r>
      <w:r w:rsidR="00D365C3" w:rsidRPr="0055589B">
        <w:rPr>
          <w:rFonts w:ascii="Arial" w:hAnsi="Arial" w:cs="Arial"/>
          <w:color w:val="000000" w:themeColor="text1"/>
          <w:szCs w:val="24"/>
          <w:lang w:val="cs-CZ" w:eastAsia="de-AT"/>
        </w:rPr>
        <w:t>se</w:t>
      </w:r>
      <w:r w:rsidRPr="0055589B">
        <w:rPr>
          <w:rFonts w:ascii="Arial" w:hAnsi="Arial" w:cs="Arial"/>
          <w:color w:val="000000" w:themeColor="text1"/>
          <w:szCs w:val="24"/>
          <w:lang w:val="cs-CZ" w:eastAsia="de-AT"/>
        </w:rPr>
        <w:t xml:space="preserve"> musí týkat výkonnosti v </w:t>
      </w:r>
      <w:r w:rsidR="002160B8" w:rsidRPr="0055589B">
        <w:rPr>
          <w:rFonts w:ascii="Arial" w:hAnsi="Arial" w:cs="Arial"/>
          <w:color w:val="000000" w:themeColor="text1"/>
          <w:szCs w:val="24"/>
          <w:lang w:val="cs-CZ" w:eastAsia="de-AT"/>
        </w:rPr>
        <w:t>určitém</w:t>
      </w:r>
      <w:r w:rsidRPr="0055589B">
        <w:rPr>
          <w:rFonts w:ascii="Arial" w:hAnsi="Arial" w:cs="Arial"/>
          <w:color w:val="000000" w:themeColor="text1"/>
          <w:szCs w:val="24"/>
          <w:lang w:val="cs-CZ" w:eastAsia="de-AT"/>
        </w:rPr>
        <w:t xml:space="preserve"> konkrétním období. </w:t>
      </w:r>
      <w:r w:rsidR="002160B8" w:rsidRPr="0055589B">
        <w:rPr>
          <w:rFonts w:ascii="Arial" w:hAnsi="Arial" w:cs="Arial"/>
          <w:color w:val="000000" w:themeColor="text1"/>
          <w:szCs w:val="24"/>
          <w:lang w:val="cs-CZ" w:eastAsia="de-AT"/>
        </w:rPr>
        <w:t>Z</w:t>
      </w:r>
      <w:r w:rsidRPr="0055589B">
        <w:rPr>
          <w:rFonts w:ascii="Arial" w:hAnsi="Arial" w:cs="Arial"/>
          <w:color w:val="000000" w:themeColor="text1"/>
          <w:szCs w:val="24"/>
          <w:lang w:val="cs-CZ" w:eastAsia="de-AT"/>
        </w:rPr>
        <w:t xml:space="preserve">aručená </w:t>
      </w:r>
      <w:r w:rsidR="002160B8" w:rsidRPr="0055589B">
        <w:rPr>
          <w:rFonts w:ascii="Arial" w:hAnsi="Arial" w:cs="Arial"/>
          <w:color w:val="000000" w:themeColor="text1"/>
          <w:szCs w:val="24"/>
          <w:lang w:val="cs-CZ" w:eastAsia="de-AT"/>
        </w:rPr>
        <w:t>variabilní odměna</w:t>
      </w:r>
      <w:r w:rsidRPr="0055589B">
        <w:rPr>
          <w:rFonts w:ascii="Arial" w:hAnsi="Arial" w:cs="Arial"/>
          <w:color w:val="000000" w:themeColor="text1"/>
          <w:szCs w:val="24"/>
          <w:lang w:val="cs-CZ" w:eastAsia="de-AT"/>
        </w:rPr>
        <w:t xml:space="preserve"> </w:t>
      </w:r>
      <w:r w:rsidR="002160B8" w:rsidRPr="0055589B">
        <w:rPr>
          <w:rFonts w:ascii="Arial" w:hAnsi="Arial" w:cs="Arial"/>
          <w:color w:val="000000" w:themeColor="text1"/>
          <w:szCs w:val="24"/>
          <w:lang w:val="cs-CZ" w:eastAsia="de-AT"/>
        </w:rPr>
        <w:t>se zakazu</w:t>
      </w:r>
      <w:r w:rsidR="007B1DC5" w:rsidRPr="0055589B">
        <w:rPr>
          <w:rFonts w:ascii="Arial" w:hAnsi="Arial" w:cs="Arial"/>
          <w:color w:val="000000" w:themeColor="text1"/>
          <w:szCs w:val="24"/>
          <w:lang w:val="cs-CZ" w:eastAsia="de-AT"/>
        </w:rPr>
        <w:t>je</w:t>
      </w:r>
      <w:r w:rsidRPr="0055589B">
        <w:rPr>
          <w:rFonts w:ascii="Arial" w:hAnsi="Arial" w:cs="Arial"/>
          <w:color w:val="000000" w:themeColor="text1"/>
          <w:szCs w:val="24"/>
          <w:lang w:val="cs-CZ" w:eastAsia="de-AT"/>
        </w:rPr>
        <w:t xml:space="preserve">. Jedinou výjimkou je </w:t>
      </w:r>
      <w:r w:rsidR="00382E45" w:rsidRPr="0055589B">
        <w:rPr>
          <w:rFonts w:ascii="Arial" w:hAnsi="Arial" w:cs="Arial"/>
          <w:color w:val="000000" w:themeColor="text1"/>
          <w:szCs w:val="24"/>
          <w:lang w:val="cs-CZ" w:eastAsia="de-AT"/>
        </w:rPr>
        <w:t xml:space="preserve">nástupní bonus, který lze při nástupu nových zaměstnanců vyplácet v hotovosti předem. Výplatu nástupního bonusu </w:t>
      </w:r>
      <w:r w:rsidRPr="0055589B">
        <w:rPr>
          <w:rFonts w:ascii="Arial" w:hAnsi="Arial" w:cs="Arial"/>
          <w:color w:val="000000" w:themeColor="text1"/>
          <w:szCs w:val="24"/>
          <w:lang w:val="cs-CZ" w:eastAsia="de-AT"/>
        </w:rPr>
        <w:t xml:space="preserve">musí schválit </w:t>
      </w:r>
      <w:r w:rsidR="008C4408" w:rsidRPr="0055589B">
        <w:rPr>
          <w:rFonts w:ascii="Arial" w:hAnsi="Arial" w:cs="Arial"/>
          <w:color w:val="000000" w:themeColor="text1"/>
          <w:szCs w:val="24"/>
          <w:lang w:val="cs-CZ" w:eastAsia="de-AT"/>
        </w:rPr>
        <w:t>Představenstvo</w:t>
      </w:r>
      <w:r w:rsidRPr="0055589B">
        <w:rPr>
          <w:rFonts w:ascii="Arial" w:hAnsi="Arial" w:cs="Arial"/>
          <w:color w:val="000000" w:themeColor="text1"/>
          <w:szCs w:val="24"/>
          <w:lang w:val="cs-CZ" w:eastAsia="de-AT"/>
        </w:rPr>
        <w:t xml:space="preserve"> </w:t>
      </w:r>
      <w:r w:rsidR="00382E45"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 xml:space="preserve">polečnosti a </w:t>
      </w:r>
      <w:r w:rsidR="00382E45" w:rsidRPr="0055589B">
        <w:rPr>
          <w:rFonts w:ascii="Arial" w:hAnsi="Arial" w:cs="Arial"/>
          <w:color w:val="000000" w:themeColor="text1"/>
          <w:szCs w:val="24"/>
          <w:lang w:val="cs-CZ" w:eastAsia="de-AT"/>
        </w:rPr>
        <w:t xml:space="preserve">bonus je </w:t>
      </w:r>
      <w:r w:rsidRPr="0055589B">
        <w:rPr>
          <w:rFonts w:ascii="Arial" w:hAnsi="Arial" w:cs="Arial"/>
          <w:color w:val="000000" w:themeColor="text1"/>
          <w:szCs w:val="24"/>
          <w:lang w:val="cs-CZ" w:eastAsia="de-AT"/>
        </w:rPr>
        <w:t xml:space="preserve">omezen na první rok zaměstnání za předpokladu, že </w:t>
      </w:r>
      <w:r w:rsidR="00382E45" w:rsidRPr="0055589B">
        <w:rPr>
          <w:rFonts w:ascii="Arial" w:hAnsi="Arial" w:cs="Arial"/>
          <w:color w:val="000000" w:themeColor="text1"/>
          <w:szCs w:val="24"/>
          <w:lang w:val="cs-CZ" w:eastAsia="de-AT"/>
        </w:rPr>
        <w:t xml:space="preserve">subjekt disponuje solidním a dostatečným </w:t>
      </w:r>
      <w:r w:rsidRPr="0055589B">
        <w:rPr>
          <w:rFonts w:ascii="Arial" w:hAnsi="Arial" w:cs="Arial"/>
          <w:color w:val="000000" w:themeColor="text1"/>
          <w:szCs w:val="24"/>
          <w:lang w:val="cs-CZ" w:eastAsia="de-AT"/>
        </w:rPr>
        <w:t>kapitál</w:t>
      </w:r>
      <w:r w:rsidR="00382E45" w:rsidRPr="0055589B">
        <w:rPr>
          <w:rFonts w:ascii="Arial" w:hAnsi="Arial" w:cs="Arial"/>
          <w:color w:val="000000" w:themeColor="text1"/>
          <w:szCs w:val="24"/>
          <w:lang w:val="cs-CZ" w:eastAsia="de-AT"/>
        </w:rPr>
        <w:t>em</w:t>
      </w:r>
      <w:r w:rsidRPr="0055589B">
        <w:rPr>
          <w:rFonts w:ascii="Arial" w:hAnsi="Arial" w:cs="Arial"/>
          <w:color w:val="000000" w:themeColor="text1"/>
          <w:szCs w:val="24"/>
          <w:lang w:val="cs-CZ" w:eastAsia="de-AT"/>
        </w:rPr>
        <w:t>.</w:t>
      </w:r>
    </w:p>
    <w:p w14:paraId="69C36465" w14:textId="13B43B34" w:rsidR="00004D23" w:rsidRPr="00136253" w:rsidRDefault="00224561" w:rsidP="007F006A">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Zaměstnanci a členové </w:t>
      </w:r>
      <w:r w:rsidR="007E4DE3" w:rsidRPr="0055589B">
        <w:rPr>
          <w:rFonts w:ascii="Arial" w:hAnsi="Arial" w:cs="Arial"/>
          <w:color w:val="000000" w:themeColor="text1"/>
          <w:szCs w:val="24"/>
          <w:lang w:val="cs-CZ" w:eastAsia="de-AT"/>
        </w:rPr>
        <w:t>Představenst</w:t>
      </w:r>
      <w:r w:rsidR="005401C8" w:rsidRPr="0055589B">
        <w:rPr>
          <w:rFonts w:ascii="Arial" w:hAnsi="Arial" w:cs="Arial"/>
          <w:color w:val="000000" w:themeColor="text1"/>
          <w:szCs w:val="24"/>
          <w:lang w:val="cs-CZ" w:eastAsia="de-AT"/>
        </w:rPr>
        <w:t>va</w:t>
      </w:r>
      <w:r w:rsidRPr="0055589B">
        <w:rPr>
          <w:rFonts w:ascii="Arial" w:hAnsi="Arial" w:cs="Arial"/>
          <w:color w:val="000000" w:themeColor="text1"/>
          <w:szCs w:val="24"/>
          <w:lang w:val="cs-CZ" w:eastAsia="de-AT"/>
        </w:rPr>
        <w:t xml:space="preserve"> nerozhodují o své vlastní </w:t>
      </w:r>
      <w:r w:rsidR="00DA52FA" w:rsidRPr="0055589B">
        <w:rPr>
          <w:rFonts w:ascii="Arial" w:hAnsi="Arial" w:cs="Arial"/>
          <w:color w:val="000000" w:themeColor="text1"/>
          <w:szCs w:val="24"/>
          <w:lang w:val="cs-CZ" w:eastAsia="de-AT"/>
        </w:rPr>
        <w:t>pohybliv</w:t>
      </w:r>
      <w:r w:rsidRPr="0055589B">
        <w:rPr>
          <w:rFonts w:ascii="Arial" w:hAnsi="Arial" w:cs="Arial"/>
          <w:color w:val="000000" w:themeColor="text1"/>
          <w:szCs w:val="24"/>
          <w:lang w:val="cs-CZ" w:eastAsia="de-AT"/>
        </w:rPr>
        <w:t xml:space="preserve">é odměně. </w:t>
      </w:r>
    </w:p>
    <w:p w14:paraId="723194D9" w14:textId="77777777" w:rsidR="00004D23" w:rsidRPr="00136253" w:rsidRDefault="00004D23" w:rsidP="00136253">
      <w:pPr>
        <w:keepNext/>
        <w:spacing w:before="240" w:after="120" w:line="276" w:lineRule="auto"/>
        <w:jc w:val="both"/>
        <w:outlineLvl w:val="3"/>
        <w:rPr>
          <w:rFonts w:cs="Arial"/>
          <w:lang w:val="cs-CZ"/>
        </w:rPr>
      </w:pPr>
      <w:r w:rsidRPr="00136253">
        <w:rPr>
          <w:rFonts w:ascii="Arial" w:hAnsi="Arial" w:cs="Arial"/>
          <w:b/>
          <w:bCs/>
          <w:color w:val="000000" w:themeColor="text1"/>
          <w:szCs w:val="28"/>
          <w:lang w:val="cs-CZ" w:eastAsia="de-AT"/>
        </w:rPr>
        <w:t xml:space="preserve">Transparentnost politiky odměňování ve vztahu k integraci rizik udržitelnosti </w:t>
      </w:r>
    </w:p>
    <w:p w14:paraId="5A5E6410" w14:textId="07EF58ED" w:rsidR="00004D23" w:rsidRPr="00136253" w:rsidRDefault="00004D23" w:rsidP="00136253">
      <w:pPr>
        <w:jc w:val="both"/>
        <w:rPr>
          <w:rFonts w:ascii="Arial" w:hAnsi="Arial" w:cs="Arial"/>
          <w:lang w:val="cs-CZ"/>
        </w:rPr>
      </w:pPr>
      <w:r w:rsidRPr="00136253">
        <w:rPr>
          <w:rFonts w:ascii="Arial" w:hAnsi="Arial" w:cs="Arial"/>
          <w:lang w:val="cs-CZ"/>
        </w:rPr>
        <w:t>Systém odměňování popsaný v této politice odměňování podporuje řádné řízení rizik udržitelnosti, jak je definuje Nařízení (EU) 2019/2088, a je v souladu se strategií udržitelnosti EAM. V souvislosti se zohledňováním rizik udržitelnosti v politice odměňování EAM se věnuje zvláštní pozornost tomu, aby bylo zajištěno, že nebude podporováno nadměrné podstupování rizik v oblasti udržitelnosti a že struktura odměňování bude napojena na rizikově vážené výsledky (viz bod 8.1.). Proto je součástí hodnocení výkonnosti fondu a správy portfolia i zohlednění rizik udržitelnosti v rámci investičního procesu.</w:t>
      </w:r>
    </w:p>
    <w:p w14:paraId="665447DD" w14:textId="77777777" w:rsidR="00224561" w:rsidRPr="0055589B" w:rsidRDefault="00224561" w:rsidP="007F006A">
      <w:pPr>
        <w:keepNext/>
        <w:spacing w:before="240" w:after="120" w:line="276" w:lineRule="auto"/>
        <w:jc w:val="both"/>
        <w:outlineLvl w:val="3"/>
        <w:rPr>
          <w:rFonts w:ascii="Arial" w:eastAsia="Times New Roman" w:hAnsi="Arial" w:cs="Arial"/>
          <w:b/>
          <w:bCs/>
          <w:color w:val="000000" w:themeColor="text1"/>
          <w:szCs w:val="28"/>
          <w:lang w:val="cs-CZ" w:eastAsia="de-AT"/>
        </w:rPr>
      </w:pPr>
      <w:r w:rsidRPr="0055589B">
        <w:rPr>
          <w:rFonts w:ascii="Arial" w:hAnsi="Arial" w:cs="Arial"/>
          <w:b/>
          <w:bCs/>
          <w:color w:val="000000" w:themeColor="text1"/>
          <w:szCs w:val="28"/>
          <w:lang w:val="cs-CZ" w:eastAsia="de-AT"/>
        </w:rPr>
        <w:t>Požadavky na riziko, kapitál a likviditu</w:t>
      </w:r>
    </w:p>
    <w:p w14:paraId="4A55D70E" w14:textId="316ED97E"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Výplata </w:t>
      </w:r>
      <w:r w:rsidR="00DA52FA" w:rsidRPr="0055589B">
        <w:rPr>
          <w:rFonts w:ascii="Arial" w:hAnsi="Arial" w:cs="Arial"/>
          <w:color w:val="000000" w:themeColor="text1"/>
          <w:szCs w:val="24"/>
          <w:lang w:val="cs-CZ" w:eastAsia="de-AT"/>
        </w:rPr>
        <w:t>pohybliv</w:t>
      </w:r>
      <w:r w:rsidRPr="0055589B">
        <w:rPr>
          <w:rFonts w:ascii="Arial" w:hAnsi="Arial" w:cs="Arial"/>
          <w:color w:val="000000" w:themeColor="text1"/>
          <w:szCs w:val="24"/>
          <w:lang w:val="cs-CZ" w:eastAsia="de-AT"/>
        </w:rPr>
        <w:t>ých složek odměny jako cel</w:t>
      </w:r>
      <w:r w:rsidR="003D139D" w:rsidRPr="0055589B">
        <w:rPr>
          <w:rFonts w:ascii="Arial" w:hAnsi="Arial" w:cs="Arial"/>
          <w:color w:val="000000" w:themeColor="text1"/>
          <w:szCs w:val="24"/>
          <w:lang w:val="cs-CZ" w:eastAsia="de-AT"/>
        </w:rPr>
        <w:t>e</w:t>
      </w:r>
      <w:r w:rsidRPr="0055589B">
        <w:rPr>
          <w:rFonts w:ascii="Arial" w:hAnsi="Arial" w:cs="Arial"/>
          <w:color w:val="000000" w:themeColor="text1"/>
          <w:szCs w:val="24"/>
          <w:lang w:val="cs-CZ" w:eastAsia="de-AT"/>
        </w:rPr>
        <w:t xml:space="preserve">k nesmí omezovat schopnost společnosti posilovat </w:t>
      </w:r>
      <w:r w:rsidR="003D139D" w:rsidRPr="0055589B">
        <w:rPr>
          <w:rFonts w:ascii="Arial" w:hAnsi="Arial" w:cs="Arial"/>
          <w:color w:val="000000" w:themeColor="text1"/>
          <w:szCs w:val="24"/>
          <w:lang w:val="cs-CZ" w:eastAsia="de-AT"/>
        </w:rPr>
        <w:t>svou kapitálovou a likviditní základnu. R</w:t>
      </w:r>
      <w:r w:rsidRPr="0055589B">
        <w:rPr>
          <w:rFonts w:ascii="Arial" w:hAnsi="Arial" w:cs="Arial"/>
          <w:color w:val="000000" w:themeColor="text1"/>
          <w:szCs w:val="24"/>
          <w:lang w:val="cs-CZ" w:eastAsia="de-AT"/>
        </w:rPr>
        <w:t xml:space="preserve">ozhodnutí členů </w:t>
      </w:r>
      <w:r w:rsidR="007E4DE3" w:rsidRPr="0055589B">
        <w:rPr>
          <w:rFonts w:ascii="Arial" w:hAnsi="Arial" w:cs="Arial"/>
          <w:color w:val="000000" w:themeColor="text1"/>
          <w:szCs w:val="24"/>
          <w:lang w:val="cs-CZ" w:eastAsia="de-AT"/>
        </w:rPr>
        <w:t>Představenst</w:t>
      </w:r>
      <w:r w:rsidR="005401C8" w:rsidRPr="0055589B">
        <w:rPr>
          <w:rFonts w:ascii="Arial" w:hAnsi="Arial" w:cs="Arial"/>
          <w:color w:val="000000" w:themeColor="text1"/>
          <w:szCs w:val="24"/>
          <w:lang w:val="cs-CZ" w:eastAsia="de-AT"/>
        </w:rPr>
        <w:t>va</w:t>
      </w:r>
      <w:r w:rsidRPr="0055589B">
        <w:rPr>
          <w:rFonts w:ascii="Arial" w:hAnsi="Arial" w:cs="Arial"/>
          <w:color w:val="000000" w:themeColor="text1"/>
          <w:szCs w:val="24"/>
          <w:lang w:val="cs-CZ" w:eastAsia="de-AT"/>
        </w:rPr>
        <w:t xml:space="preserve"> </w:t>
      </w:r>
      <w:r w:rsidR="003D139D" w:rsidRPr="0055589B">
        <w:rPr>
          <w:rFonts w:ascii="Arial" w:hAnsi="Arial" w:cs="Arial"/>
          <w:color w:val="000000" w:themeColor="text1"/>
          <w:szCs w:val="24"/>
          <w:lang w:val="cs-CZ" w:eastAsia="de-AT"/>
        </w:rPr>
        <w:t xml:space="preserve">o variabilních odměnách musejí </w:t>
      </w:r>
      <w:r w:rsidRPr="0055589B">
        <w:rPr>
          <w:rFonts w:ascii="Arial" w:hAnsi="Arial" w:cs="Arial"/>
          <w:color w:val="000000" w:themeColor="text1"/>
          <w:szCs w:val="24"/>
          <w:lang w:val="cs-CZ" w:eastAsia="de-AT"/>
        </w:rPr>
        <w:t>patřičně zohledň</w:t>
      </w:r>
      <w:r w:rsidR="003D139D" w:rsidRPr="0055589B">
        <w:rPr>
          <w:rFonts w:ascii="Arial" w:hAnsi="Arial" w:cs="Arial"/>
          <w:color w:val="000000" w:themeColor="text1"/>
          <w:szCs w:val="24"/>
          <w:lang w:val="cs-CZ" w:eastAsia="de-AT"/>
        </w:rPr>
        <w:t xml:space="preserve">ovat </w:t>
      </w:r>
      <w:r w:rsidRPr="0055589B">
        <w:rPr>
          <w:rFonts w:ascii="Arial" w:hAnsi="Arial" w:cs="Arial"/>
          <w:color w:val="000000" w:themeColor="text1"/>
          <w:szCs w:val="24"/>
          <w:lang w:val="cs-CZ" w:eastAsia="de-AT"/>
        </w:rPr>
        <w:t>dlouhodob</w:t>
      </w:r>
      <w:r w:rsidR="003D139D" w:rsidRPr="0055589B">
        <w:rPr>
          <w:rFonts w:ascii="Arial" w:hAnsi="Arial" w:cs="Arial"/>
          <w:color w:val="000000" w:themeColor="text1"/>
          <w:szCs w:val="24"/>
          <w:lang w:val="cs-CZ" w:eastAsia="de-AT"/>
        </w:rPr>
        <w:t>ý</w:t>
      </w:r>
      <w:r w:rsidRPr="0055589B">
        <w:rPr>
          <w:rFonts w:ascii="Arial" w:hAnsi="Arial" w:cs="Arial"/>
          <w:color w:val="000000" w:themeColor="text1"/>
          <w:szCs w:val="24"/>
          <w:lang w:val="cs-CZ" w:eastAsia="de-AT"/>
        </w:rPr>
        <w:t xml:space="preserve"> záj</w:t>
      </w:r>
      <w:r w:rsidR="003D139D" w:rsidRPr="0055589B">
        <w:rPr>
          <w:rFonts w:ascii="Arial" w:hAnsi="Arial" w:cs="Arial"/>
          <w:color w:val="000000" w:themeColor="text1"/>
          <w:szCs w:val="24"/>
          <w:lang w:val="cs-CZ" w:eastAsia="de-AT"/>
        </w:rPr>
        <w:t>e</w:t>
      </w:r>
      <w:r w:rsidRPr="0055589B">
        <w:rPr>
          <w:rFonts w:ascii="Arial" w:hAnsi="Arial" w:cs="Arial"/>
          <w:color w:val="000000" w:themeColor="text1"/>
          <w:szCs w:val="24"/>
          <w:lang w:val="cs-CZ" w:eastAsia="de-AT"/>
        </w:rPr>
        <w:t xml:space="preserve">m akcionářů, investorů a zaměstnanců </w:t>
      </w:r>
      <w:r w:rsidR="003D139D"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 xml:space="preserve">polečnosti </w:t>
      </w:r>
      <w:r w:rsidR="003D139D" w:rsidRPr="0055589B">
        <w:rPr>
          <w:rFonts w:ascii="Arial" w:hAnsi="Arial" w:cs="Arial"/>
          <w:color w:val="000000" w:themeColor="text1"/>
          <w:szCs w:val="24"/>
          <w:lang w:val="cs-CZ" w:eastAsia="de-AT"/>
        </w:rPr>
        <w:t xml:space="preserve">na </w:t>
      </w:r>
      <w:r w:rsidRPr="0055589B">
        <w:rPr>
          <w:rFonts w:ascii="Arial" w:hAnsi="Arial" w:cs="Arial"/>
          <w:color w:val="000000" w:themeColor="text1"/>
          <w:szCs w:val="24"/>
          <w:lang w:val="cs-CZ" w:eastAsia="de-AT"/>
        </w:rPr>
        <w:t>funkční</w:t>
      </w:r>
      <w:r w:rsidR="003D139D" w:rsidRPr="0055589B">
        <w:rPr>
          <w:rFonts w:ascii="Arial" w:hAnsi="Arial" w:cs="Arial"/>
          <w:color w:val="000000" w:themeColor="text1"/>
          <w:szCs w:val="24"/>
          <w:lang w:val="cs-CZ" w:eastAsia="de-AT"/>
        </w:rPr>
        <w:t>m</w:t>
      </w:r>
      <w:r w:rsidRPr="0055589B">
        <w:rPr>
          <w:rFonts w:ascii="Arial" w:hAnsi="Arial" w:cs="Arial"/>
          <w:color w:val="000000" w:themeColor="text1"/>
          <w:szCs w:val="24"/>
          <w:lang w:val="cs-CZ" w:eastAsia="de-AT"/>
        </w:rPr>
        <w:t xml:space="preserve"> bankovní</w:t>
      </w:r>
      <w:r w:rsidR="003D139D" w:rsidRPr="0055589B">
        <w:rPr>
          <w:rFonts w:ascii="Arial" w:hAnsi="Arial" w:cs="Arial"/>
          <w:color w:val="000000" w:themeColor="text1"/>
          <w:szCs w:val="24"/>
          <w:lang w:val="cs-CZ" w:eastAsia="de-AT"/>
        </w:rPr>
        <w:t>m</w:t>
      </w:r>
      <w:r w:rsidRPr="0055589B">
        <w:rPr>
          <w:rFonts w:ascii="Arial" w:hAnsi="Arial" w:cs="Arial"/>
          <w:color w:val="000000" w:themeColor="text1"/>
          <w:szCs w:val="24"/>
          <w:lang w:val="cs-CZ" w:eastAsia="de-AT"/>
        </w:rPr>
        <w:t xml:space="preserve"> sektor</w:t>
      </w:r>
      <w:r w:rsidR="003D139D" w:rsidRPr="0055589B">
        <w:rPr>
          <w:rFonts w:ascii="Arial" w:hAnsi="Arial" w:cs="Arial"/>
          <w:color w:val="000000" w:themeColor="text1"/>
          <w:szCs w:val="24"/>
          <w:lang w:val="cs-CZ" w:eastAsia="de-AT"/>
        </w:rPr>
        <w:t>u</w:t>
      </w:r>
      <w:r w:rsidRPr="0055589B">
        <w:rPr>
          <w:rFonts w:ascii="Arial" w:hAnsi="Arial" w:cs="Arial"/>
          <w:color w:val="000000" w:themeColor="text1"/>
          <w:szCs w:val="24"/>
          <w:lang w:val="cs-CZ" w:eastAsia="de-AT"/>
        </w:rPr>
        <w:t xml:space="preserve"> a stabilit</w:t>
      </w:r>
      <w:r w:rsidR="003D139D" w:rsidRPr="0055589B">
        <w:rPr>
          <w:rFonts w:ascii="Arial" w:hAnsi="Arial" w:cs="Arial"/>
          <w:color w:val="000000" w:themeColor="text1"/>
          <w:szCs w:val="24"/>
          <w:lang w:val="cs-CZ" w:eastAsia="de-AT"/>
        </w:rPr>
        <w:t>ě</w:t>
      </w:r>
      <w:r w:rsidRPr="0055589B">
        <w:rPr>
          <w:rFonts w:ascii="Arial" w:hAnsi="Arial" w:cs="Arial"/>
          <w:color w:val="000000" w:themeColor="text1"/>
          <w:szCs w:val="24"/>
          <w:lang w:val="cs-CZ" w:eastAsia="de-AT"/>
        </w:rPr>
        <w:t xml:space="preserve"> finančního trhu.</w:t>
      </w:r>
    </w:p>
    <w:p w14:paraId="5A2811E5" w14:textId="3876EB09" w:rsidR="00224561" w:rsidRPr="0055589B" w:rsidRDefault="00224561" w:rsidP="007F006A">
      <w:pPr>
        <w:keepNext/>
        <w:spacing w:before="240" w:after="120" w:line="276" w:lineRule="auto"/>
        <w:jc w:val="both"/>
        <w:outlineLvl w:val="3"/>
        <w:rPr>
          <w:rFonts w:ascii="Arial" w:eastAsia="Times New Roman" w:hAnsi="Arial" w:cs="Arial"/>
          <w:b/>
          <w:bCs/>
          <w:color w:val="000000" w:themeColor="text1"/>
          <w:szCs w:val="28"/>
          <w:lang w:val="cs-CZ" w:eastAsia="de-AT"/>
        </w:rPr>
      </w:pPr>
      <w:r w:rsidRPr="0055589B">
        <w:rPr>
          <w:rFonts w:ascii="Arial" w:hAnsi="Arial" w:cs="Arial"/>
          <w:b/>
          <w:bCs/>
          <w:color w:val="000000" w:themeColor="text1"/>
          <w:szCs w:val="28"/>
          <w:lang w:val="cs-CZ" w:eastAsia="de-AT"/>
        </w:rPr>
        <w:t xml:space="preserve">Členové </w:t>
      </w:r>
      <w:r w:rsidR="007E4DE3" w:rsidRPr="0055589B">
        <w:rPr>
          <w:rFonts w:ascii="Arial" w:hAnsi="Arial" w:cs="Arial"/>
          <w:b/>
          <w:bCs/>
          <w:color w:val="000000" w:themeColor="text1"/>
          <w:szCs w:val="28"/>
          <w:lang w:val="cs-CZ" w:eastAsia="de-AT"/>
        </w:rPr>
        <w:t>Představenst</w:t>
      </w:r>
      <w:r w:rsidRPr="0055589B">
        <w:rPr>
          <w:rFonts w:ascii="Arial" w:hAnsi="Arial" w:cs="Arial"/>
          <w:b/>
          <w:bCs/>
          <w:color w:val="000000" w:themeColor="text1"/>
          <w:szCs w:val="28"/>
          <w:lang w:val="cs-CZ" w:eastAsia="de-AT"/>
        </w:rPr>
        <w:t>va</w:t>
      </w:r>
    </w:p>
    <w:p w14:paraId="0AF6612A" w14:textId="00361305"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Členové </w:t>
      </w:r>
      <w:r w:rsidR="007E4DE3" w:rsidRPr="0055589B">
        <w:rPr>
          <w:rFonts w:ascii="Arial" w:hAnsi="Arial" w:cs="Arial"/>
          <w:color w:val="000000" w:themeColor="text1"/>
          <w:szCs w:val="24"/>
          <w:lang w:val="cs-CZ" w:eastAsia="de-AT"/>
        </w:rPr>
        <w:t>Představenst</w:t>
      </w:r>
      <w:r w:rsidRPr="0055589B">
        <w:rPr>
          <w:rFonts w:ascii="Arial" w:hAnsi="Arial" w:cs="Arial"/>
          <w:color w:val="000000" w:themeColor="text1"/>
          <w:szCs w:val="24"/>
          <w:lang w:val="cs-CZ" w:eastAsia="de-AT"/>
        </w:rPr>
        <w:t xml:space="preserve">va společnosti </w:t>
      </w:r>
      <w:proofErr w:type="gramStart"/>
      <w:r w:rsidR="003434DE" w:rsidRPr="0055589B">
        <w:rPr>
          <w:rFonts w:ascii="Arial" w:hAnsi="Arial" w:cs="Arial"/>
          <w:color w:val="000000" w:themeColor="text1"/>
          <w:szCs w:val="24"/>
          <w:lang w:val="cs-CZ" w:eastAsia="de-AT"/>
        </w:rPr>
        <w:t>obdrží</w:t>
      </w:r>
      <w:proofErr w:type="gramEnd"/>
      <w:r w:rsidR="003434DE" w:rsidRPr="0055589B">
        <w:rPr>
          <w:rFonts w:ascii="Arial" w:hAnsi="Arial" w:cs="Arial"/>
          <w:color w:val="000000" w:themeColor="text1"/>
          <w:szCs w:val="24"/>
          <w:lang w:val="cs-CZ" w:eastAsia="de-AT"/>
        </w:rPr>
        <w:t xml:space="preserve"> na </w:t>
      </w:r>
      <w:r w:rsidRPr="0055589B">
        <w:rPr>
          <w:rFonts w:ascii="Arial" w:hAnsi="Arial" w:cs="Arial"/>
          <w:color w:val="000000" w:themeColor="text1"/>
          <w:szCs w:val="24"/>
          <w:lang w:val="cs-CZ" w:eastAsia="de-AT"/>
        </w:rPr>
        <w:t xml:space="preserve">začátku </w:t>
      </w:r>
      <w:r w:rsidR="003434DE" w:rsidRPr="0055589B">
        <w:rPr>
          <w:rFonts w:ascii="Arial" w:hAnsi="Arial" w:cs="Arial"/>
          <w:color w:val="000000" w:themeColor="text1"/>
          <w:szCs w:val="24"/>
          <w:lang w:val="cs-CZ" w:eastAsia="de-AT"/>
        </w:rPr>
        <w:t xml:space="preserve">každého hodnoceného období klíčové ukazatele výkonnosti, </w:t>
      </w:r>
      <w:r w:rsidRPr="0055589B">
        <w:rPr>
          <w:rFonts w:ascii="Arial" w:hAnsi="Arial" w:cs="Arial"/>
          <w:color w:val="000000" w:themeColor="text1"/>
          <w:szCs w:val="24"/>
          <w:lang w:val="cs-CZ" w:eastAsia="de-AT"/>
        </w:rPr>
        <w:t>které jsou</w:t>
      </w:r>
      <w:r w:rsidR="003434DE" w:rsidRPr="0055589B">
        <w:rPr>
          <w:rFonts w:ascii="Arial" w:hAnsi="Arial" w:cs="Arial"/>
          <w:color w:val="000000" w:themeColor="text1"/>
          <w:szCs w:val="24"/>
          <w:lang w:val="cs-CZ" w:eastAsia="de-AT"/>
        </w:rPr>
        <w:t xml:space="preserve"> odsouhlaseny </w:t>
      </w:r>
      <w:r w:rsidRPr="0055589B">
        <w:rPr>
          <w:rFonts w:ascii="Arial" w:hAnsi="Arial" w:cs="Arial"/>
          <w:color w:val="000000" w:themeColor="text1"/>
          <w:szCs w:val="24"/>
          <w:lang w:val="cs-CZ" w:eastAsia="de-AT"/>
        </w:rPr>
        <w:t xml:space="preserve">s předsedou </w:t>
      </w:r>
      <w:r w:rsidR="004835DF" w:rsidRPr="0055589B">
        <w:rPr>
          <w:rFonts w:ascii="Arial" w:hAnsi="Arial" w:cs="Arial"/>
          <w:color w:val="000000" w:themeColor="text1"/>
          <w:szCs w:val="24"/>
          <w:lang w:val="cs-CZ" w:eastAsia="de-AT"/>
        </w:rPr>
        <w:t>D</w:t>
      </w:r>
      <w:r w:rsidRPr="0055589B">
        <w:rPr>
          <w:rFonts w:ascii="Arial" w:hAnsi="Arial" w:cs="Arial"/>
          <w:color w:val="000000" w:themeColor="text1"/>
          <w:szCs w:val="24"/>
          <w:lang w:val="cs-CZ" w:eastAsia="de-AT"/>
        </w:rPr>
        <w:t xml:space="preserve">ozorčí rady. </w:t>
      </w:r>
      <w:r w:rsidR="005A4089" w:rsidRPr="0055589B">
        <w:rPr>
          <w:rFonts w:ascii="Arial" w:hAnsi="Arial" w:cs="Arial"/>
          <w:color w:val="000000" w:themeColor="text1"/>
          <w:szCs w:val="24"/>
          <w:lang w:val="cs-CZ" w:eastAsia="de-AT"/>
        </w:rPr>
        <w:t>V</w:t>
      </w:r>
      <w:r w:rsidRPr="0055589B">
        <w:rPr>
          <w:rFonts w:ascii="Arial" w:hAnsi="Arial" w:cs="Arial"/>
          <w:color w:val="000000" w:themeColor="text1"/>
          <w:szCs w:val="24"/>
          <w:lang w:val="cs-CZ" w:eastAsia="de-AT"/>
        </w:rPr>
        <w:t xml:space="preserve">ýbor pro odměňování </w:t>
      </w:r>
      <w:r w:rsidR="005A4089" w:rsidRPr="0055589B">
        <w:rPr>
          <w:rFonts w:ascii="Arial" w:hAnsi="Arial" w:cs="Arial"/>
          <w:color w:val="000000" w:themeColor="text1"/>
          <w:szCs w:val="24"/>
          <w:lang w:val="cs-CZ" w:eastAsia="de-AT"/>
        </w:rPr>
        <w:t xml:space="preserve">s ohledem na tyto KPI rozhodne, zda mají </w:t>
      </w:r>
      <w:r w:rsidRPr="0055589B">
        <w:rPr>
          <w:rFonts w:ascii="Arial" w:hAnsi="Arial" w:cs="Arial"/>
          <w:color w:val="000000" w:themeColor="text1"/>
          <w:szCs w:val="24"/>
          <w:lang w:val="cs-CZ" w:eastAsia="de-AT"/>
        </w:rPr>
        <w:t xml:space="preserve">členové </w:t>
      </w:r>
      <w:r w:rsidR="005A4089" w:rsidRPr="0055589B">
        <w:rPr>
          <w:rFonts w:ascii="Arial" w:hAnsi="Arial" w:cs="Arial"/>
          <w:color w:val="000000" w:themeColor="text1"/>
          <w:szCs w:val="24"/>
          <w:lang w:val="cs-CZ" w:eastAsia="de-AT"/>
        </w:rPr>
        <w:t>P</w:t>
      </w:r>
      <w:r w:rsidR="005401C8" w:rsidRPr="0055589B">
        <w:rPr>
          <w:rFonts w:ascii="Arial" w:hAnsi="Arial" w:cs="Arial"/>
          <w:color w:val="000000" w:themeColor="text1"/>
          <w:szCs w:val="24"/>
          <w:lang w:val="cs-CZ" w:eastAsia="de-AT"/>
        </w:rPr>
        <w:t>ředstavenstva</w:t>
      </w:r>
      <w:r w:rsidRPr="0055589B">
        <w:rPr>
          <w:rFonts w:ascii="Arial" w:hAnsi="Arial" w:cs="Arial"/>
          <w:color w:val="000000" w:themeColor="text1"/>
          <w:szCs w:val="24"/>
          <w:lang w:val="cs-CZ" w:eastAsia="de-AT"/>
        </w:rPr>
        <w:t xml:space="preserve"> nárok na roční bonusy (</w:t>
      </w:r>
      <w:r w:rsidR="005A4089" w:rsidRPr="0055589B">
        <w:rPr>
          <w:rFonts w:ascii="Arial" w:hAnsi="Arial" w:cs="Arial"/>
          <w:color w:val="000000" w:themeColor="text1"/>
          <w:szCs w:val="24"/>
          <w:lang w:val="cs-CZ" w:eastAsia="de-AT"/>
        </w:rPr>
        <w:t xml:space="preserve">tzv. </w:t>
      </w:r>
      <w:r w:rsidRPr="0055589B">
        <w:rPr>
          <w:rFonts w:ascii="Arial" w:hAnsi="Arial" w:cs="Arial"/>
          <w:color w:val="000000" w:themeColor="text1"/>
          <w:szCs w:val="24"/>
          <w:lang w:val="cs-CZ" w:eastAsia="de-AT"/>
        </w:rPr>
        <w:t xml:space="preserve">krátkodobý motivační plán) nebo </w:t>
      </w:r>
      <w:r w:rsidR="005A4089" w:rsidRPr="0055589B">
        <w:rPr>
          <w:rFonts w:ascii="Arial" w:hAnsi="Arial" w:cs="Arial"/>
          <w:color w:val="000000" w:themeColor="text1"/>
          <w:szCs w:val="24"/>
          <w:lang w:val="cs-CZ" w:eastAsia="de-AT"/>
        </w:rPr>
        <w:t xml:space="preserve">na odměny v rámci jiného systému variabilních odměn. KPI by měly být </w:t>
      </w:r>
      <w:r w:rsidRPr="0055589B">
        <w:rPr>
          <w:rFonts w:ascii="Arial" w:hAnsi="Arial" w:cs="Arial"/>
          <w:color w:val="000000" w:themeColor="text1"/>
          <w:szCs w:val="24"/>
          <w:lang w:val="cs-CZ" w:eastAsia="de-AT"/>
        </w:rPr>
        <w:t xml:space="preserve">relevantní, </w:t>
      </w:r>
      <w:r w:rsidR="00515CE7" w:rsidRPr="0055589B">
        <w:rPr>
          <w:rFonts w:ascii="Arial" w:hAnsi="Arial" w:cs="Arial"/>
          <w:color w:val="000000" w:themeColor="text1"/>
          <w:szCs w:val="24"/>
          <w:lang w:val="cs-CZ" w:eastAsia="de-AT"/>
        </w:rPr>
        <w:t>upravitelné a nastavené tak,</w:t>
      </w:r>
      <w:r w:rsidRPr="0055589B">
        <w:rPr>
          <w:rFonts w:ascii="Arial" w:hAnsi="Arial" w:cs="Arial"/>
          <w:color w:val="000000" w:themeColor="text1"/>
          <w:szCs w:val="24"/>
          <w:lang w:val="cs-CZ" w:eastAsia="de-AT"/>
        </w:rPr>
        <w:t xml:space="preserve"> aby pos</w:t>
      </w:r>
      <w:r w:rsidR="00515CE7" w:rsidRPr="0055589B">
        <w:rPr>
          <w:rFonts w:ascii="Arial" w:hAnsi="Arial" w:cs="Arial"/>
          <w:color w:val="000000" w:themeColor="text1"/>
          <w:szCs w:val="24"/>
          <w:lang w:val="cs-CZ" w:eastAsia="de-AT"/>
        </w:rPr>
        <w:t xml:space="preserve">ilovaly </w:t>
      </w:r>
      <w:r w:rsidRPr="0055589B">
        <w:rPr>
          <w:rFonts w:ascii="Arial" w:hAnsi="Arial" w:cs="Arial"/>
          <w:color w:val="000000" w:themeColor="text1"/>
          <w:szCs w:val="24"/>
          <w:lang w:val="cs-CZ" w:eastAsia="de-AT"/>
        </w:rPr>
        <w:t>dlouhodobou hodnotu. Celkov</w:t>
      </w:r>
      <w:r w:rsidR="00515CE7" w:rsidRPr="0055589B">
        <w:rPr>
          <w:rFonts w:ascii="Arial" w:hAnsi="Arial" w:cs="Arial"/>
          <w:color w:val="000000" w:themeColor="text1"/>
          <w:szCs w:val="24"/>
          <w:lang w:val="cs-CZ" w:eastAsia="de-AT"/>
        </w:rPr>
        <w:t xml:space="preserve">á výše odměn, </w:t>
      </w:r>
      <w:r w:rsidRPr="0055589B">
        <w:rPr>
          <w:rFonts w:ascii="Arial" w:hAnsi="Arial" w:cs="Arial"/>
          <w:color w:val="000000" w:themeColor="text1"/>
          <w:szCs w:val="24"/>
          <w:lang w:val="cs-CZ" w:eastAsia="de-AT"/>
        </w:rPr>
        <w:t>které jsou potenciálně k dispozici, by neměl</w:t>
      </w:r>
      <w:r w:rsidR="00515CE7" w:rsidRPr="0055589B">
        <w:rPr>
          <w:rFonts w:ascii="Arial" w:hAnsi="Arial" w:cs="Arial"/>
          <w:color w:val="000000" w:themeColor="text1"/>
          <w:szCs w:val="24"/>
          <w:lang w:val="cs-CZ" w:eastAsia="de-AT"/>
        </w:rPr>
        <w:t xml:space="preserve">a být nadměrná. Případné </w:t>
      </w:r>
      <w:r w:rsidRPr="0055589B">
        <w:rPr>
          <w:rFonts w:ascii="Arial" w:hAnsi="Arial" w:cs="Arial"/>
          <w:color w:val="000000" w:themeColor="text1"/>
          <w:szCs w:val="24"/>
          <w:lang w:val="cs-CZ" w:eastAsia="de-AT"/>
        </w:rPr>
        <w:t>návrh</w:t>
      </w:r>
      <w:r w:rsidR="00515CE7" w:rsidRPr="0055589B">
        <w:rPr>
          <w:rFonts w:ascii="Arial" w:hAnsi="Arial" w:cs="Arial"/>
          <w:color w:val="000000" w:themeColor="text1"/>
          <w:szCs w:val="24"/>
          <w:lang w:val="cs-CZ" w:eastAsia="de-AT"/>
        </w:rPr>
        <w:t>y</w:t>
      </w:r>
      <w:r w:rsidRPr="0055589B">
        <w:rPr>
          <w:rFonts w:ascii="Arial" w:hAnsi="Arial" w:cs="Arial"/>
          <w:color w:val="000000" w:themeColor="text1"/>
          <w:szCs w:val="24"/>
          <w:lang w:val="cs-CZ" w:eastAsia="de-AT"/>
        </w:rPr>
        <w:t xml:space="preserve"> </w:t>
      </w:r>
      <w:r w:rsidR="00515CE7" w:rsidRPr="0055589B">
        <w:rPr>
          <w:rFonts w:ascii="Arial" w:hAnsi="Arial" w:cs="Arial"/>
          <w:color w:val="000000" w:themeColor="text1"/>
          <w:szCs w:val="24"/>
          <w:lang w:val="cs-CZ" w:eastAsia="de-AT"/>
        </w:rPr>
        <w:t xml:space="preserve">na </w:t>
      </w:r>
      <w:r w:rsidRPr="0055589B">
        <w:rPr>
          <w:rFonts w:ascii="Arial" w:hAnsi="Arial" w:cs="Arial"/>
          <w:color w:val="000000" w:themeColor="text1"/>
          <w:szCs w:val="24"/>
          <w:lang w:val="cs-CZ" w:eastAsia="de-AT"/>
        </w:rPr>
        <w:t>výjimky</w:t>
      </w:r>
      <w:r w:rsidR="00515CE7" w:rsidRPr="0055589B">
        <w:rPr>
          <w:rFonts w:ascii="Arial" w:hAnsi="Arial" w:cs="Arial"/>
          <w:color w:val="000000" w:themeColor="text1"/>
          <w:szCs w:val="24"/>
          <w:lang w:val="cs-CZ" w:eastAsia="de-AT"/>
        </w:rPr>
        <w:t xml:space="preserve"> schvaluje D</w:t>
      </w:r>
      <w:r w:rsidRPr="0055589B">
        <w:rPr>
          <w:rFonts w:ascii="Arial" w:hAnsi="Arial" w:cs="Arial"/>
          <w:color w:val="000000" w:themeColor="text1"/>
          <w:szCs w:val="24"/>
          <w:lang w:val="cs-CZ" w:eastAsia="de-AT"/>
        </w:rPr>
        <w:t>ozorčí rad</w:t>
      </w:r>
      <w:r w:rsidR="00515CE7" w:rsidRPr="0055589B">
        <w:rPr>
          <w:rFonts w:ascii="Arial" w:hAnsi="Arial" w:cs="Arial"/>
          <w:color w:val="000000" w:themeColor="text1"/>
          <w:szCs w:val="24"/>
          <w:lang w:val="cs-CZ" w:eastAsia="de-AT"/>
        </w:rPr>
        <w:t>a</w:t>
      </w:r>
      <w:r w:rsidRPr="0055589B">
        <w:rPr>
          <w:rFonts w:ascii="Arial" w:hAnsi="Arial" w:cs="Arial"/>
          <w:color w:val="000000" w:themeColor="text1"/>
          <w:szCs w:val="24"/>
          <w:lang w:val="cs-CZ" w:eastAsia="de-AT"/>
        </w:rPr>
        <w:t>.</w:t>
      </w:r>
    </w:p>
    <w:p w14:paraId="28FA43FA" w14:textId="77777777" w:rsidR="00224561" w:rsidRPr="0055589B" w:rsidRDefault="00224561" w:rsidP="007F006A">
      <w:pPr>
        <w:keepNext/>
        <w:spacing w:before="240" w:after="120" w:line="276" w:lineRule="auto"/>
        <w:jc w:val="both"/>
        <w:outlineLvl w:val="3"/>
        <w:rPr>
          <w:rFonts w:ascii="Arial" w:eastAsia="Times New Roman" w:hAnsi="Arial" w:cs="Arial"/>
          <w:b/>
          <w:bCs/>
          <w:color w:val="000000" w:themeColor="text1"/>
          <w:szCs w:val="28"/>
          <w:lang w:val="cs-CZ" w:eastAsia="de-AT"/>
        </w:rPr>
      </w:pPr>
      <w:r w:rsidRPr="0055589B">
        <w:rPr>
          <w:rFonts w:ascii="Arial" w:hAnsi="Arial" w:cs="Arial"/>
          <w:b/>
          <w:bCs/>
          <w:color w:val="000000" w:themeColor="text1"/>
          <w:szCs w:val="28"/>
          <w:lang w:val="cs-CZ" w:eastAsia="de-AT"/>
        </w:rPr>
        <w:t>Kontrolní funkce</w:t>
      </w:r>
    </w:p>
    <w:p w14:paraId="240E9EBF" w14:textId="582494C6" w:rsidR="00224561" w:rsidRPr="0055589B" w:rsidRDefault="005D634E"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Variabilní odměn</w:t>
      </w:r>
      <w:r w:rsidR="0059711E" w:rsidRPr="0055589B">
        <w:rPr>
          <w:rFonts w:ascii="Arial" w:hAnsi="Arial" w:cs="Arial"/>
          <w:color w:val="000000" w:themeColor="text1"/>
          <w:szCs w:val="24"/>
          <w:lang w:val="cs-CZ" w:eastAsia="de-AT"/>
        </w:rPr>
        <w:t>y</w:t>
      </w:r>
      <w:r w:rsidR="00224561" w:rsidRPr="0055589B">
        <w:rPr>
          <w:rFonts w:ascii="Arial" w:hAnsi="Arial" w:cs="Arial"/>
          <w:color w:val="000000" w:themeColor="text1"/>
          <w:szCs w:val="24"/>
          <w:lang w:val="cs-CZ" w:eastAsia="de-AT"/>
        </w:rPr>
        <w:t xml:space="preserve"> </w:t>
      </w:r>
      <w:r w:rsidR="0059711E" w:rsidRPr="0055589B">
        <w:rPr>
          <w:rFonts w:ascii="Arial" w:hAnsi="Arial" w:cs="Arial"/>
          <w:color w:val="000000" w:themeColor="text1"/>
          <w:szCs w:val="24"/>
          <w:lang w:val="cs-CZ" w:eastAsia="de-AT"/>
        </w:rPr>
        <w:t>vedoucích</w:t>
      </w:r>
      <w:r w:rsidR="00224561" w:rsidRPr="0055589B">
        <w:rPr>
          <w:rFonts w:ascii="Arial" w:hAnsi="Arial" w:cs="Arial"/>
          <w:color w:val="000000" w:themeColor="text1"/>
          <w:szCs w:val="24"/>
          <w:lang w:val="cs-CZ" w:eastAsia="de-AT"/>
        </w:rPr>
        <w:t xml:space="preserve"> kontrolních funkcí (úroveň </w:t>
      </w:r>
      <w:r w:rsidR="0059711E" w:rsidRPr="0055589B">
        <w:rPr>
          <w:rFonts w:ascii="Arial" w:hAnsi="Arial" w:cs="Arial"/>
          <w:color w:val="000000" w:themeColor="text1"/>
          <w:szCs w:val="24"/>
          <w:lang w:val="cs-CZ" w:eastAsia="de-AT"/>
        </w:rPr>
        <w:t>obchodní linie</w:t>
      </w:r>
      <w:r w:rsidR="00224561" w:rsidRPr="0055589B">
        <w:rPr>
          <w:rFonts w:ascii="Arial" w:hAnsi="Arial" w:cs="Arial"/>
          <w:color w:val="000000" w:themeColor="text1"/>
          <w:szCs w:val="24"/>
          <w:lang w:val="cs-CZ" w:eastAsia="de-AT"/>
        </w:rPr>
        <w:t>) přezkoumá</w:t>
      </w:r>
      <w:r w:rsidR="0059711E" w:rsidRPr="0055589B">
        <w:rPr>
          <w:rFonts w:ascii="Arial" w:hAnsi="Arial" w:cs="Arial"/>
          <w:color w:val="000000" w:themeColor="text1"/>
          <w:szCs w:val="24"/>
          <w:lang w:val="cs-CZ" w:eastAsia="de-AT"/>
        </w:rPr>
        <w:t>vá a schvaluje V</w:t>
      </w:r>
      <w:r w:rsidR="00224561" w:rsidRPr="0055589B">
        <w:rPr>
          <w:rFonts w:ascii="Arial" w:hAnsi="Arial" w:cs="Arial"/>
          <w:color w:val="000000" w:themeColor="text1"/>
          <w:szCs w:val="24"/>
          <w:lang w:val="cs-CZ" w:eastAsia="de-AT"/>
        </w:rPr>
        <w:t>ýbor pro odměňování. Obchodní linie a/nebo týmy, které dohlíž</w:t>
      </w:r>
      <w:r w:rsidR="0061613E" w:rsidRPr="0055589B">
        <w:rPr>
          <w:rFonts w:ascii="Arial" w:hAnsi="Arial" w:cs="Arial"/>
          <w:color w:val="000000" w:themeColor="text1"/>
          <w:szCs w:val="24"/>
          <w:lang w:val="cs-CZ" w:eastAsia="de-AT"/>
        </w:rPr>
        <w:t>í</w:t>
      </w:r>
      <w:r w:rsidR="00224561" w:rsidRPr="0055589B">
        <w:rPr>
          <w:rFonts w:ascii="Arial" w:hAnsi="Arial" w:cs="Arial"/>
          <w:color w:val="000000" w:themeColor="text1"/>
          <w:szCs w:val="24"/>
          <w:lang w:val="cs-CZ" w:eastAsia="de-AT"/>
        </w:rPr>
        <w:t xml:space="preserve"> kontrolní funkc</w:t>
      </w:r>
      <w:r w:rsidR="0061613E" w:rsidRPr="0055589B">
        <w:rPr>
          <w:rFonts w:ascii="Arial" w:hAnsi="Arial" w:cs="Arial"/>
          <w:color w:val="000000" w:themeColor="text1"/>
          <w:szCs w:val="24"/>
          <w:lang w:val="cs-CZ" w:eastAsia="de-AT"/>
        </w:rPr>
        <w:t>e</w:t>
      </w:r>
      <w:r w:rsidR="00224561" w:rsidRPr="0055589B">
        <w:rPr>
          <w:rFonts w:ascii="Arial" w:hAnsi="Arial" w:cs="Arial"/>
          <w:color w:val="000000" w:themeColor="text1"/>
          <w:szCs w:val="24"/>
          <w:lang w:val="cs-CZ" w:eastAsia="de-AT"/>
        </w:rPr>
        <w:t xml:space="preserve">, </w:t>
      </w:r>
      <w:r w:rsidR="0061613E" w:rsidRPr="0055589B">
        <w:rPr>
          <w:rFonts w:ascii="Arial" w:hAnsi="Arial" w:cs="Arial"/>
          <w:color w:val="000000" w:themeColor="text1"/>
          <w:szCs w:val="24"/>
          <w:lang w:val="cs-CZ" w:eastAsia="de-AT"/>
        </w:rPr>
        <w:t xml:space="preserve">se nepodílejí na </w:t>
      </w:r>
      <w:r w:rsidR="00224561" w:rsidRPr="0055589B">
        <w:rPr>
          <w:rFonts w:ascii="Arial" w:hAnsi="Arial" w:cs="Arial"/>
          <w:color w:val="000000" w:themeColor="text1"/>
          <w:szCs w:val="24"/>
          <w:lang w:val="cs-CZ" w:eastAsia="de-AT"/>
        </w:rPr>
        <w:t xml:space="preserve">rozhodovacím procesu, </w:t>
      </w:r>
      <w:r w:rsidR="0061613E" w:rsidRPr="0055589B">
        <w:rPr>
          <w:rFonts w:ascii="Arial" w:hAnsi="Arial" w:cs="Arial"/>
          <w:color w:val="000000" w:themeColor="text1"/>
          <w:szCs w:val="24"/>
          <w:lang w:val="cs-CZ" w:eastAsia="de-AT"/>
        </w:rPr>
        <w:t xml:space="preserve">v jehož rámci se stanoví odměny </w:t>
      </w:r>
      <w:r w:rsidR="00224561" w:rsidRPr="0055589B">
        <w:rPr>
          <w:rFonts w:ascii="Arial" w:hAnsi="Arial" w:cs="Arial"/>
          <w:color w:val="000000" w:themeColor="text1"/>
          <w:szCs w:val="24"/>
          <w:lang w:val="cs-CZ" w:eastAsia="de-AT"/>
        </w:rPr>
        <w:t xml:space="preserve">za kontrolní funkce. </w:t>
      </w:r>
      <w:r w:rsidR="0061613E" w:rsidRPr="0055589B">
        <w:rPr>
          <w:rFonts w:ascii="Arial" w:hAnsi="Arial" w:cs="Arial"/>
          <w:color w:val="000000" w:themeColor="text1"/>
          <w:szCs w:val="24"/>
          <w:lang w:val="cs-CZ" w:eastAsia="de-AT"/>
        </w:rPr>
        <w:t xml:space="preserve">Odměny kontrolních funkcí nejsou navázány na </w:t>
      </w:r>
      <w:r w:rsidR="00224561" w:rsidRPr="0055589B">
        <w:rPr>
          <w:rFonts w:ascii="Arial" w:hAnsi="Arial" w:cs="Arial"/>
          <w:color w:val="000000" w:themeColor="text1"/>
          <w:szCs w:val="24"/>
          <w:lang w:val="cs-CZ" w:eastAsia="de-AT"/>
        </w:rPr>
        <w:t>výko</w:t>
      </w:r>
      <w:r w:rsidR="0061613E" w:rsidRPr="0055589B">
        <w:rPr>
          <w:rFonts w:ascii="Arial" w:hAnsi="Arial" w:cs="Arial"/>
          <w:color w:val="000000" w:themeColor="text1"/>
          <w:szCs w:val="24"/>
          <w:lang w:val="cs-CZ" w:eastAsia="de-AT"/>
        </w:rPr>
        <w:t>ny</w:t>
      </w:r>
      <w:r w:rsidR="00224561" w:rsidRPr="0055589B">
        <w:rPr>
          <w:rFonts w:ascii="Arial" w:hAnsi="Arial" w:cs="Arial"/>
          <w:color w:val="000000" w:themeColor="text1"/>
          <w:szCs w:val="24"/>
          <w:lang w:val="cs-CZ" w:eastAsia="de-AT"/>
        </w:rPr>
        <w:t xml:space="preserve"> týmů, které dohlíže</w:t>
      </w:r>
      <w:r w:rsidR="0061613E" w:rsidRPr="0055589B">
        <w:rPr>
          <w:rFonts w:ascii="Arial" w:hAnsi="Arial" w:cs="Arial"/>
          <w:color w:val="000000" w:themeColor="text1"/>
          <w:szCs w:val="24"/>
          <w:lang w:val="cs-CZ" w:eastAsia="de-AT"/>
        </w:rPr>
        <w:t>jí</w:t>
      </w:r>
      <w:r w:rsidR="00224561" w:rsidRPr="0055589B">
        <w:rPr>
          <w:rFonts w:ascii="Arial" w:hAnsi="Arial" w:cs="Arial"/>
          <w:color w:val="000000" w:themeColor="text1"/>
          <w:szCs w:val="24"/>
          <w:lang w:val="cs-CZ" w:eastAsia="de-AT"/>
        </w:rPr>
        <w:t xml:space="preserve">. </w:t>
      </w:r>
      <w:r w:rsidR="0061613E" w:rsidRPr="0055589B">
        <w:rPr>
          <w:rFonts w:ascii="Arial" w:hAnsi="Arial" w:cs="Arial"/>
          <w:color w:val="000000" w:themeColor="text1"/>
          <w:szCs w:val="24"/>
          <w:lang w:val="cs-CZ" w:eastAsia="de-AT"/>
        </w:rPr>
        <w:t>Pracovníci v k</w:t>
      </w:r>
      <w:r w:rsidR="00224561" w:rsidRPr="0055589B">
        <w:rPr>
          <w:rFonts w:ascii="Arial" w:hAnsi="Arial" w:cs="Arial"/>
          <w:color w:val="000000" w:themeColor="text1"/>
          <w:szCs w:val="24"/>
          <w:lang w:val="cs-CZ" w:eastAsia="de-AT"/>
        </w:rPr>
        <w:t xml:space="preserve">ontrolních funkcích jsou </w:t>
      </w:r>
      <w:r w:rsidR="0061613E" w:rsidRPr="0055589B">
        <w:rPr>
          <w:rFonts w:ascii="Arial" w:hAnsi="Arial" w:cs="Arial"/>
          <w:color w:val="000000" w:themeColor="text1"/>
          <w:szCs w:val="24"/>
          <w:lang w:val="cs-CZ" w:eastAsia="de-AT"/>
        </w:rPr>
        <w:t xml:space="preserve">odměňováni podle dosažených cílů souvisejících </w:t>
      </w:r>
      <w:r w:rsidR="00224561" w:rsidRPr="0055589B">
        <w:rPr>
          <w:rFonts w:ascii="Arial" w:hAnsi="Arial" w:cs="Arial"/>
          <w:color w:val="000000" w:themeColor="text1"/>
          <w:szCs w:val="24"/>
          <w:lang w:val="cs-CZ" w:eastAsia="de-AT"/>
        </w:rPr>
        <w:t>s jejich funkcemi, nezávisle na výkon</w:t>
      </w:r>
      <w:r w:rsidR="0061613E" w:rsidRPr="0055589B">
        <w:rPr>
          <w:rFonts w:ascii="Arial" w:hAnsi="Arial" w:cs="Arial"/>
          <w:color w:val="000000" w:themeColor="text1"/>
          <w:szCs w:val="24"/>
          <w:lang w:val="cs-CZ" w:eastAsia="de-AT"/>
        </w:rPr>
        <w:t>ech</w:t>
      </w:r>
      <w:r w:rsidR="00224561" w:rsidRPr="0055589B">
        <w:rPr>
          <w:rFonts w:ascii="Arial" w:hAnsi="Arial" w:cs="Arial"/>
          <w:color w:val="000000" w:themeColor="text1"/>
          <w:szCs w:val="24"/>
          <w:lang w:val="cs-CZ" w:eastAsia="de-AT"/>
        </w:rPr>
        <w:t xml:space="preserve"> obchodních oblastí, které </w:t>
      </w:r>
      <w:r w:rsidR="0061613E" w:rsidRPr="0055589B">
        <w:rPr>
          <w:rFonts w:ascii="Arial" w:hAnsi="Arial" w:cs="Arial"/>
          <w:color w:val="000000" w:themeColor="text1"/>
          <w:szCs w:val="24"/>
          <w:lang w:val="cs-CZ" w:eastAsia="de-AT"/>
        </w:rPr>
        <w:t>kontrolují.</w:t>
      </w:r>
    </w:p>
    <w:p w14:paraId="5FECBF74" w14:textId="0890F8D1" w:rsidR="00224561" w:rsidRPr="0055589B" w:rsidRDefault="0061613E" w:rsidP="007F006A">
      <w:pPr>
        <w:keepNext/>
        <w:spacing w:before="240" w:after="120" w:line="276" w:lineRule="auto"/>
        <w:jc w:val="both"/>
        <w:outlineLvl w:val="3"/>
        <w:rPr>
          <w:rFonts w:ascii="Arial" w:eastAsia="Times New Roman" w:hAnsi="Arial" w:cs="Arial"/>
          <w:b/>
          <w:bCs/>
          <w:color w:val="000000" w:themeColor="text1"/>
          <w:szCs w:val="28"/>
          <w:lang w:val="cs-CZ" w:eastAsia="de-AT"/>
        </w:rPr>
      </w:pPr>
      <w:r w:rsidRPr="0055589B">
        <w:rPr>
          <w:rFonts w:ascii="Arial" w:hAnsi="Arial" w:cs="Arial"/>
          <w:b/>
          <w:bCs/>
          <w:color w:val="000000" w:themeColor="text1"/>
          <w:szCs w:val="28"/>
          <w:lang w:val="cs-CZ" w:eastAsia="de-AT"/>
        </w:rPr>
        <w:lastRenderedPageBreak/>
        <w:t xml:space="preserve">Podvýbor pro </w:t>
      </w:r>
      <w:r w:rsidR="00224561" w:rsidRPr="0055589B">
        <w:rPr>
          <w:rFonts w:ascii="Arial" w:hAnsi="Arial" w:cs="Arial"/>
          <w:b/>
          <w:bCs/>
          <w:color w:val="000000" w:themeColor="text1"/>
          <w:szCs w:val="28"/>
          <w:lang w:val="cs-CZ" w:eastAsia="de-AT"/>
        </w:rPr>
        <w:t>odměňování</w:t>
      </w:r>
    </w:p>
    <w:p w14:paraId="1879BC94" w14:textId="49AEA84D"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Variabilní model odměňování a </w:t>
      </w:r>
      <w:r w:rsidR="00D00916" w:rsidRPr="0055589B">
        <w:rPr>
          <w:rFonts w:ascii="Arial" w:hAnsi="Arial" w:cs="Arial"/>
          <w:color w:val="000000" w:themeColor="text1"/>
          <w:szCs w:val="24"/>
          <w:lang w:val="cs-CZ" w:eastAsia="de-AT"/>
        </w:rPr>
        <w:t xml:space="preserve">činnost </w:t>
      </w:r>
      <w:r w:rsidR="00CA60B8" w:rsidRPr="0055589B">
        <w:rPr>
          <w:rFonts w:ascii="Arial" w:hAnsi="Arial" w:cs="Arial"/>
          <w:color w:val="000000" w:themeColor="text1"/>
          <w:szCs w:val="24"/>
          <w:lang w:val="cs-CZ" w:eastAsia="de-AT"/>
        </w:rPr>
        <w:t xml:space="preserve">pracovníků, kteří </w:t>
      </w:r>
      <w:r w:rsidR="008B07BE" w:rsidRPr="0055589B">
        <w:rPr>
          <w:rFonts w:ascii="Arial" w:hAnsi="Arial" w:cs="Arial"/>
          <w:color w:val="000000" w:themeColor="text1"/>
          <w:szCs w:val="24"/>
          <w:lang w:val="cs-CZ" w:eastAsia="de-AT"/>
        </w:rPr>
        <w:t>podstupují</w:t>
      </w:r>
      <w:r w:rsidR="00CA60B8" w:rsidRPr="0055589B">
        <w:rPr>
          <w:rFonts w:ascii="Arial" w:hAnsi="Arial" w:cs="Arial"/>
          <w:color w:val="000000" w:themeColor="text1"/>
          <w:szCs w:val="24"/>
          <w:lang w:val="cs-CZ" w:eastAsia="de-AT"/>
        </w:rPr>
        <w:t xml:space="preserve"> rizika, </w:t>
      </w:r>
      <w:r w:rsidRPr="0055589B">
        <w:rPr>
          <w:rFonts w:ascii="Arial" w:hAnsi="Arial" w:cs="Arial"/>
          <w:color w:val="000000" w:themeColor="text1"/>
          <w:szCs w:val="24"/>
          <w:lang w:val="cs-CZ" w:eastAsia="de-AT"/>
        </w:rPr>
        <w:t>schv</w:t>
      </w:r>
      <w:r w:rsidR="008B07BE" w:rsidRPr="0055589B">
        <w:rPr>
          <w:rFonts w:ascii="Arial" w:hAnsi="Arial" w:cs="Arial"/>
          <w:color w:val="000000" w:themeColor="text1"/>
          <w:szCs w:val="24"/>
          <w:lang w:val="cs-CZ" w:eastAsia="de-AT"/>
        </w:rPr>
        <w:t>aluje V</w:t>
      </w:r>
      <w:r w:rsidRPr="0055589B">
        <w:rPr>
          <w:rFonts w:ascii="Arial" w:hAnsi="Arial" w:cs="Arial"/>
          <w:color w:val="000000" w:themeColor="text1"/>
          <w:szCs w:val="24"/>
          <w:lang w:val="cs-CZ" w:eastAsia="de-AT"/>
        </w:rPr>
        <w:t xml:space="preserve">ýbor pro odměňování po konzultaci </w:t>
      </w:r>
      <w:r w:rsidR="008B07BE" w:rsidRPr="0055589B">
        <w:rPr>
          <w:rFonts w:ascii="Arial" w:hAnsi="Arial" w:cs="Arial"/>
          <w:color w:val="000000" w:themeColor="text1"/>
          <w:szCs w:val="24"/>
          <w:lang w:val="cs-CZ" w:eastAsia="de-AT"/>
        </w:rPr>
        <w:t>s </w:t>
      </w:r>
      <w:r w:rsidRPr="0055589B">
        <w:rPr>
          <w:rFonts w:ascii="Arial" w:hAnsi="Arial" w:cs="Arial"/>
          <w:color w:val="000000" w:themeColor="text1"/>
          <w:szCs w:val="24"/>
          <w:lang w:val="cs-CZ" w:eastAsia="de-AT"/>
        </w:rPr>
        <w:t>výbor</w:t>
      </w:r>
      <w:r w:rsidR="008B07BE" w:rsidRPr="0055589B">
        <w:rPr>
          <w:rFonts w:ascii="Arial" w:hAnsi="Arial" w:cs="Arial"/>
          <w:color w:val="000000" w:themeColor="text1"/>
          <w:szCs w:val="24"/>
          <w:lang w:val="cs-CZ" w:eastAsia="de-AT"/>
        </w:rPr>
        <w:t xml:space="preserve">em složeným ze zástupců oddělení </w:t>
      </w:r>
      <w:r w:rsidRPr="0055589B">
        <w:rPr>
          <w:rFonts w:ascii="Arial" w:hAnsi="Arial" w:cs="Arial"/>
          <w:color w:val="000000" w:themeColor="text1"/>
          <w:szCs w:val="24"/>
          <w:lang w:val="cs-CZ" w:eastAsia="de-AT"/>
        </w:rPr>
        <w:t>řízení rizik, lidských zdrojů (</w:t>
      </w:r>
      <w:r w:rsidR="008B07BE" w:rsidRPr="0055589B">
        <w:rPr>
          <w:rFonts w:ascii="Arial" w:hAnsi="Arial" w:cs="Arial"/>
          <w:color w:val="000000" w:themeColor="text1"/>
          <w:szCs w:val="24"/>
          <w:lang w:val="cs-CZ" w:eastAsia="de-AT"/>
        </w:rPr>
        <w:t>„</w:t>
      </w:r>
      <w:r w:rsidRPr="0055589B">
        <w:rPr>
          <w:rFonts w:ascii="Arial" w:hAnsi="Arial" w:cs="Arial"/>
          <w:color w:val="000000" w:themeColor="text1"/>
          <w:szCs w:val="24"/>
          <w:lang w:val="cs-CZ" w:eastAsia="de-AT"/>
        </w:rPr>
        <w:t xml:space="preserve">HR"), financí a </w:t>
      </w:r>
      <w:r w:rsidR="008B07BE" w:rsidRPr="0055589B">
        <w:rPr>
          <w:rFonts w:ascii="Arial" w:hAnsi="Arial" w:cs="Arial"/>
          <w:color w:val="000000" w:themeColor="text1"/>
          <w:szCs w:val="24"/>
          <w:lang w:val="cs-CZ" w:eastAsia="de-AT"/>
        </w:rPr>
        <w:t>compliance („Podv</w:t>
      </w:r>
      <w:r w:rsidRPr="0055589B">
        <w:rPr>
          <w:rFonts w:ascii="Arial" w:hAnsi="Arial" w:cs="Arial"/>
          <w:color w:val="000000" w:themeColor="text1"/>
          <w:szCs w:val="24"/>
          <w:lang w:val="cs-CZ" w:eastAsia="de-AT"/>
        </w:rPr>
        <w:t>ýbor pro odměňování"), kter</w:t>
      </w:r>
      <w:r w:rsidR="008B07BE" w:rsidRPr="0055589B">
        <w:rPr>
          <w:rFonts w:ascii="Arial" w:hAnsi="Arial" w:cs="Arial"/>
          <w:color w:val="000000" w:themeColor="text1"/>
          <w:szCs w:val="24"/>
          <w:lang w:val="cs-CZ" w:eastAsia="de-AT"/>
        </w:rPr>
        <w:t>ý má p</w:t>
      </w:r>
      <w:r w:rsidRPr="0055589B">
        <w:rPr>
          <w:rFonts w:ascii="Arial" w:hAnsi="Arial" w:cs="Arial"/>
          <w:color w:val="000000" w:themeColor="text1"/>
          <w:szCs w:val="24"/>
          <w:lang w:val="cs-CZ" w:eastAsia="de-AT"/>
        </w:rPr>
        <w:t>řehled o pracovních povinnostech a požadavcích na výkon</w:t>
      </w:r>
      <w:r w:rsidR="008B07BE" w:rsidRPr="0055589B">
        <w:rPr>
          <w:rFonts w:ascii="Arial" w:hAnsi="Arial" w:cs="Arial"/>
          <w:color w:val="000000" w:themeColor="text1"/>
          <w:szCs w:val="24"/>
          <w:lang w:val="cs-CZ" w:eastAsia="de-AT"/>
        </w:rPr>
        <w:t>y</w:t>
      </w:r>
      <w:r w:rsidRPr="0055589B">
        <w:rPr>
          <w:rFonts w:ascii="Arial" w:hAnsi="Arial" w:cs="Arial"/>
          <w:color w:val="000000" w:themeColor="text1"/>
          <w:szCs w:val="24"/>
          <w:lang w:val="cs-CZ" w:eastAsia="de-AT"/>
        </w:rPr>
        <w:t xml:space="preserve"> zaměstnanc</w:t>
      </w:r>
      <w:r w:rsidR="008B07BE" w:rsidRPr="0055589B">
        <w:rPr>
          <w:rFonts w:ascii="Arial" w:hAnsi="Arial" w:cs="Arial"/>
          <w:color w:val="000000" w:themeColor="text1"/>
          <w:szCs w:val="24"/>
          <w:lang w:val="cs-CZ" w:eastAsia="de-AT"/>
        </w:rPr>
        <w:t>ů</w:t>
      </w:r>
      <w:r w:rsidRPr="0055589B">
        <w:rPr>
          <w:rFonts w:ascii="Arial" w:hAnsi="Arial" w:cs="Arial"/>
          <w:color w:val="000000" w:themeColor="text1"/>
          <w:szCs w:val="24"/>
          <w:lang w:val="cs-CZ" w:eastAsia="de-AT"/>
        </w:rPr>
        <w:t xml:space="preserve">. </w:t>
      </w:r>
    </w:p>
    <w:p w14:paraId="114441C6" w14:textId="14C07987" w:rsidR="00224561" w:rsidRPr="0055589B" w:rsidRDefault="00C6148B" w:rsidP="007F006A">
      <w:pPr>
        <w:keepNext/>
        <w:spacing w:before="240" w:after="120" w:line="276" w:lineRule="auto"/>
        <w:jc w:val="both"/>
        <w:outlineLvl w:val="3"/>
        <w:rPr>
          <w:rFonts w:ascii="Arial" w:eastAsia="Times New Roman" w:hAnsi="Arial" w:cs="Arial"/>
          <w:b/>
          <w:bCs/>
          <w:color w:val="000000" w:themeColor="text1"/>
          <w:szCs w:val="28"/>
          <w:lang w:val="cs-CZ" w:eastAsia="de-AT"/>
        </w:rPr>
      </w:pPr>
      <w:r w:rsidRPr="0055589B">
        <w:rPr>
          <w:rFonts w:ascii="Arial" w:hAnsi="Arial" w:cs="Arial"/>
          <w:b/>
          <w:bCs/>
          <w:color w:val="000000" w:themeColor="text1"/>
          <w:szCs w:val="28"/>
          <w:lang w:val="cs-CZ" w:eastAsia="de-AT"/>
        </w:rPr>
        <w:t>Motivační systémy</w:t>
      </w:r>
      <w:r w:rsidR="00224561" w:rsidRPr="0055589B">
        <w:rPr>
          <w:rFonts w:ascii="Arial" w:hAnsi="Arial" w:cs="Arial"/>
          <w:b/>
          <w:bCs/>
          <w:color w:val="000000" w:themeColor="text1"/>
          <w:szCs w:val="28"/>
          <w:lang w:val="cs-CZ" w:eastAsia="de-AT"/>
        </w:rPr>
        <w:t xml:space="preserve"> a stanovení bonusového </w:t>
      </w:r>
      <w:r w:rsidRPr="0055589B">
        <w:rPr>
          <w:rFonts w:ascii="Arial" w:hAnsi="Arial" w:cs="Arial"/>
          <w:b/>
          <w:bCs/>
          <w:color w:val="000000" w:themeColor="text1"/>
          <w:szCs w:val="28"/>
          <w:lang w:val="cs-CZ" w:eastAsia="de-AT"/>
        </w:rPr>
        <w:t xml:space="preserve">fondu </w:t>
      </w:r>
    </w:p>
    <w:p w14:paraId="029C11C4" w14:textId="3C99122D"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Motivační s</w:t>
      </w:r>
      <w:r w:rsidR="00C6148B" w:rsidRPr="0055589B">
        <w:rPr>
          <w:rFonts w:ascii="Arial" w:hAnsi="Arial" w:cs="Arial"/>
          <w:color w:val="000000" w:themeColor="text1"/>
          <w:szCs w:val="24"/>
          <w:lang w:val="cs-CZ" w:eastAsia="de-AT"/>
        </w:rPr>
        <w:t>ystémy</w:t>
      </w:r>
    </w:p>
    <w:p w14:paraId="38622E99" w14:textId="11F6DC7D"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Existuje několik motivačních </w:t>
      </w:r>
      <w:r w:rsidR="00C6148B" w:rsidRPr="0055589B">
        <w:rPr>
          <w:rFonts w:ascii="Arial" w:hAnsi="Arial" w:cs="Arial"/>
          <w:color w:val="000000" w:themeColor="text1"/>
          <w:szCs w:val="24"/>
          <w:lang w:val="cs-CZ" w:eastAsia="de-AT"/>
        </w:rPr>
        <w:t xml:space="preserve">systémů. Zavedení </w:t>
      </w:r>
      <w:r w:rsidRPr="0055589B">
        <w:rPr>
          <w:rFonts w:ascii="Arial" w:hAnsi="Arial" w:cs="Arial"/>
          <w:color w:val="000000" w:themeColor="text1"/>
          <w:szCs w:val="24"/>
          <w:lang w:val="cs-CZ" w:eastAsia="de-AT"/>
        </w:rPr>
        <w:t xml:space="preserve">jakéhokoli nového </w:t>
      </w:r>
      <w:r w:rsidR="00C6148B" w:rsidRPr="0055589B">
        <w:rPr>
          <w:rFonts w:ascii="Arial" w:hAnsi="Arial" w:cs="Arial"/>
          <w:color w:val="000000" w:themeColor="text1"/>
          <w:szCs w:val="24"/>
          <w:lang w:val="cs-CZ" w:eastAsia="de-AT"/>
        </w:rPr>
        <w:t>motivačního</w:t>
      </w:r>
      <w:r w:rsidRPr="0055589B">
        <w:rPr>
          <w:rFonts w:ascii="Arial" w:hAnsi="Arial" w:cs="Arial"/>
          <w:color w:val="000000" w:themeColor="text1"/>
          <w:szCs w:val="24"/>
          <w:lang w:val="cs-CZ" w:eastAsia="de-AT"/>
        </w:rPr>
        <w:t xml:space="preserve"> systému musí </w:t>
      </w:r>
      <w:r w:rsidR="00C6148B" w:rsidRPr="0055589B">
        <w:rPr>
          <w:rFonts w:ascii="Arial" w:hAnsi="Arial" w:cs="Arial"/>
          <w:color w:val="000000" w:themeColor="text1"/>
          <w:szCs w:val="24"/>
          <w:lang w:val="cs-CZ" w:eastAsia="de-AT"/>
        </w:rPr>
        <w:t xml:space="preserve">prováděno s vědomím a souhlasem HR. </w:t>
      </w:r>
      <w:r w:rsidRPr="0055589B">
        <w:rPr>
          <w:rFonts w:ascii="Arial" w:hAnsi="Arial" w:cs="Arial"/>
          <w:color w:val="000000" w:themeColor="text1"/>
          <w:szCs w:val="24"/>
          <w:lang w:val="cs-CZ" w:eastAsia="de-AT"/>
        </w:rPr>
        <w:t xml:space="preserve">Funkce compliance musí být </w:t>
      </w:r>
      <w:r w:rsidR="00C6148B" w:rsidRPr="0055589B">
        <w:rPr>
          <w:rFonts w:ascii="Arial" w:hAnsi="Arial" w:cs="Arial"/>
          <w:color w:val="000000" w:themeColor="text1"/>
          <w:szCs w:val="24"/>
          <w:lang w:val="cs-CZ" w:eastAsia="de-AT"/>
        </w:rPr>
        <w:t>v případě návrhu nového motivačního systému do procesu z</w:t>
      </w:r>
      <w:r w:rsidRPr="0055589B">
        <w:rPr>
          <w:rFonts w:ascii="Arial" w:hAnsi="Arial" w:cs="Arial"/>
          <w:color w:val="000000" w:themeColor="text1"/>
          <w:szCs w:val="24"/>
          <w:lang w:val="cs-CZ" w:eastAsia="de-AT"/>
        </w:rPr>
        <w:t>apojena jako poradce</w:t>
      </w:r>
      <w:r w:rsidR="00C6148B" w:rsidRPr="0055589B">
        <w:rPr>
          <w:rFonts w:ascii="Arial" w:hAnsi="Arial" w:cs="Arial"/>
          <w:color w:val="000000" w:themeColor="text1"/>
          <w:szCs w:val="24"/>
          <w:lang w:val="cs-CZ" w:eastAsia="de-AT"/>
        </w:rPr>
        <w:t xml:space="preserve">. Všechny </w:t>
      </w:r>
      <w:r w:rsidRPr="0055589B">
        <w:rPr>
          <w:rFonts w:ascii="Arial" w:hAnsi="Arial" w:cs="Arial"/>
          <w:color w:val="000000" w:themeColor="text1"/>
          <w:szCs w:val="24"/>
          <w:lang w:val="cs-CZ" w:eastAsia="de-AT"/>
        </w:rPr>
        <w:t>motivační systém</w:t>
      </w:r>
      <w:r w:rsidR="00C6148B" w:rsidRPr="0055589B">
        <w:rPr>
          <w:rFonts w:ascii="Arial" w:hAnsi="Arial" w:cs="Arial"/>
          <w:color w:val="000000" w:themeColor="text1"/>
          <w:szCs w:val="24"/>
          <w:lang w:val="cs-CZ" w:eastAsia="de-AT"/>
        </w:rPr>
        <w:t>y</w:t>
      </w:r>
      <w:r w:rsidRPr="0055589B">
        <w:rPr>
          <w:rFonts w:ascii="Arial" w:hAnsi="Arial" w:cs="Arial"/>
          <w:color w:val="000000" w:themeColor="text1"/>
          <w:szCs w:val="24"/>
          <w:lang w:val="cs-CZ" w:eastAsia="de-AT"/>
        </w:rPr>
        <w:t xml:space="preserve"> schvaluje </w:t>
      </w:r>
      <w:r w:rsidR="008C4408" w:rsidRPr="0055589B">
        <w:rPr>
          <w:rFonts w:ascii="Arial" w:hAnsi="Arial" w:cs="Arial"/>
          <w:color w:val="000000" w:themeColor="text1"/>
          <w:szCs w:val="24"/>
          <w:lang w:val="cs-CZ" w:eastAsia="de-AT"/>
        </w:rPr>
        <w:t>Představenstvo</w:t>
      </w:r>
      <w:r w:rsidRPr="0055589B">
        <w:rPr>
          <w:rFonts w:ascii="Arial" w:hAnsi="Arial" w:cs="Arial"/>
          <w:color w:val="000000" w:themeColor="text1"/>
          <w:szCs w:val="24"/>
          <w:lang w:val="cs-CZ" w:eastAsia="de-AT"/>
        </w:rPr>
        <w:t xml:space="preserve"> </w:t>
      </w:r>
      <w:r w:rsidR="00C6148B"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 xml:space="preserve">polečnosti. Výbor pro odměňování </w:t>
      </w:r>
      <w:proofErr w:type="gramStart"/>
      <w:r w:rsidRPr="0055589B">
        <w:rPr>
          <w:rFonts w:ascii="Arial" w:hAnsi="Arial" w:cs="Arial"/>
          <w:color w:val="000000" w:themeColor="text1"/>
          <w:szCs w:val="24"/>
          <w:lang w:val="cs-CZ" w:eastAsia="de-AT"/>
        </w:rPr>
        <w:t>obdrží</w:t>
      </w:r>
      <w:proofErr w:type="gramEnd"/>
      <w:r w:rsidRPr="0055589B">
        <w:rPr>
          <w:rFonts w:ascii="Arial" w:hAnsi="Arial" w:cs="Arial"/>
          <w:color w:val="000000" w:themeColor="text1"/>
          <w:szCs w:val="24"/>
          <w:lang w:val="cs-CZ" w:eastAsia="de-AT"/>
        </w:rPr>
        <w:t xml:space="preserve"> zprávu o zavedených </w:t>
      </w:r>
      <w:r w:rsidR="00C6148B" w:rsidRPr="0055589B">
        <w:rPr>
          <w:rFonts w:ascii="Arial" w:hAnsi="Arial" w:cs="Arial"/>
          <w:color w:val="000000" w:themeColor="text1"/>
          <w:szCs w:val="24"/>
          <w:lang w:val="cs-CZ" w:eastAsia="de-AT"/>
        </w:rPr>
        <w:t>motivačních</w:t>
      </w:r>
      <w:r w:rsidRPr="0055589B">
        <w:rPr>
          <w:rFonts w:ascii="Arial" w:hAnsi="Arial" w:cs="Arial"/>
          <w:color w:val="000000" w:themeColor="text1"/>
          <w:szCs w:val="24"/>
          <w:lang w:val="cs-CZ" w:eastAsia="de-AT"/>
        </w:rPr>
        <w:t xml:space="preserve"> </w:t>
      </w:r>
      <w:r w:rsidR="00C6148B" w:rsidRPr="0055589B">
        <w:rPr>
          <w:rFonts w:ascii="Arial" w:hAnsi="Arial" w:cs="Arial"/>
          <w:color w:val="000000" w:themeColor="text1"/>
          <w:szCs w:val="24"/>
          <w:lang w:val="cs-CZ" w:eastAsia="de-AT"/>
        </w:rPr>
        <w:t xml:space="preserve">systémech.  </w:t>
      </w:r>
      <w:r w:rsidRPr="0055589B">
        <w:rPr>
          <w:rFonts w:ascii="Arial" w:hAnsi="Arial" w:cs="Arial"/>
          <w:color w:val="000000" w:themeColor="text1"/>
          <w:szCs w:val="24"/>
          <w:lang w:val="cs-CZ" w:eastAsia="de-AT"/>
        </w:rPr>
        <w:t xml:space="preserve">Všechny </w:t>
      </w:r>
      <w:r w:rsidR="00C6148B" w:rsidRPr="0055589B">
        <w:rPr>
          <w:rFonts w:ascii="Arial" w:hAnsi="Arial" w:cs="Arial"/>
          <w:color w:val="000000" w:themeColor="text1"/>
          <w:szCs w:val="24"/>
          <w:lang w:val="cs-CZ" w:eastAsia="de-AT"/>
        </w:rPr>
        <w:t xml:space="preserve">motivační </w:t>
      </w:r>
      <w:r w:rsidRPr="0055589B">
        <w:rPr>
          <w:rFonts w:ascii="Arial" w:hAnsi="Arial" w:cs="Arial"/>
          <w:color w:val="000000" w:themeColor="text1"/>
          <w:szCs w:val="24"/>
          <w:lang w:val="cs-CZ" w:eastAsia="de-AT"/>
        </w:rPr>
        <w:t>systémy se mus</w:t>
      </w:r>
      <w:r w:rsidR="00C6148B" w:rsidRPr="0055589B">
        <w:rPr>
          <w:rFonts w:ascii="Arial" w:hAnsi="Arial" w:cs="Arial"/>
          <w:color w:val="000000" w:themeColor="text1"/>
          <w:szCs w:val="24"/>
          <w:lang w:val="cs-CZ" w:eastAsia="de-AT"/>
        </w:rPr>
        <w:t>ej</w:t>
      </w:r>
      <w:r w:rsidRPr="0055589B">
        <w:rPr>
          <w:rFonts w:ascii="Arial" w:hAnsi="Arial" w:cs="Arial"/>
          <w:color w:val="000000" w:themeColor="text1"/>
          <w:szCs w:val="24"/>
          <w:lang w:val="cs-CZ" w:eastAsia="de-AT"/>
        </w:rPr>
        <w:t xml:space="preserve">í týkat společnosti, obchodní linie a jednotlivých výsledků. </w:t>
      </w:r>
    </w:p>
    <w:p w14:paraId="29A26560" w14:textId="1DE11B53"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Obecně mohou být </w:t>
      </w:r>
      <w:r w:rsidR="00C6148B" w:rsidRPr="0055589B">
        <w:rPr>
          <w:rFonts w:ascii="Arial" w:hAnsi="Arial" w:cs="Arial"/>
          <w:color w:val="000000" w:themeColor="text1"/>
          <w:szCs w:val="24"/>
          <w:lang w:val="cs-CZ" w:eastAsia="de-AT"/>
        </w:rPr>
        <w:t>motivační</w:t>
      </w:r>
      <w:r w:rsidRPr="0055589B">
        <w:rPr>
          <w:rFonts w:ascii="Arial" w:hAnsi="Arial" w:cs="Arial"/>
          <w:color w:val="000000" w:themeColor="text1"/>
          <w:szCs w:val="24"/>
          <w:lang w:val="cs-CZ" w:eastAsia="de-AT"/>
        </w:rPr>
        <w:t xml:space="preserve"> systémy zařazeny do jednoho z</w:t>
      </w:r>
      <w:r w:rsidR="00C6148B" w:rsidRPr="0055589B">
        <w:rPr>
          <w:rFonts w:ascii="Arial" w:hAnsi="Arial" w:cs="Arial"/>
          <w:color w:val="000000" w:themeColor="text1"/>
          <w:szCs w:val="24"/>
          <w:lang w:val="cs-CZ" w:eastAsia="de-AT"/>
        </w:rPr>
        <w:t> uvedených hlavních programů</w:t>
      </w:r>
      <w:r w:rsidRPr="0055589B">
        <w:rPr>
          <w:rFonts w:ascii="Arial" w:hAnsi="Arial" w:cs="Arial"/>
          <w:color w:val="000000" w:themeColor="text1"/>
          <w:szCs w:val="24"/>
          <w:lang w:val="cs-CZ" w:eastAsia="de-AT"/>
        </w:rPr>
        <w:t>:</w:t>
      </w:r>
    </w:p>
    <w:p w14:paraId="5617CA6C" w14:textId="6CE76A71" w:rsidR="00224561" w:rsidRPr="0055589B" w:rsidRDefault="00224561" w:rsidP="00224561">
      <w:pPr>
        <w:numPr>
          <w:ilvl w:val="0"/>
          <w:numId w:val="14"/>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Krátkodobá pobídka: </w:t>
      </w:r>
      <w:r w:rsidR="00C6148B" w:rsidRPr="0055589B">
        <w:rPr>
          <w:rFonts w:ascii="Arial" w:hAnsi="Arial" w:cs="Arial"/>
          <w:color w:val="000000" w:themeColor="text1"/>
          <w:lang w:val="cs-CZ" w:eastAsia="de-AT"/>
        </w:rPr>
        <w:t xml:space="preserve">systém </w:t>
      </w:r>
      <w:r w:rsidRPr="0055589B">
        <w:rPr>
          <w:rFonts w:ascii="Arial" w:hAnsi="Arial" w:cs="Arial"/>
          <w:color w:val="000000" w:themeColor="text1"/>
          <w:lang w:val="cs-CZ" w:eastAsia="de-AT"/>
        </w:rPr>
        <w:t>roční bonu</w:t>
      </w:r>
      <w:r w:rsidR="007B1DC5" w:rsidRPr="0055589B">
        <w:rPr>
          <w:rFonts w:ascii="Arial" w:hAnsi="Arial" w:cs="Arial"/>
          <w:color w:val="000000" w:themeColor="text1"/>
          <w:lang w:val="cs-CZ" w:eastAsia="de-AT"/>
        </w:rPr>
        <w:t>s</w:t>
      </w:r>
      <w:r w:rsidR="00C6148B" w:rsidRPr="0055589B">
        <w:rPr>
          <w:rFonts w:ascii="Arial" w:hAnsi="Arial" w:cs="Arial"/>
          <w:color w:val="000000" w:themeColor="text1"/>
          <w:lang w:val="cs-CZ" w:eastAsia="de-AT"/>
        </w:rPr>
        <w:t xml:space="preserve">ů </w:t>
      </w:r>
      <w:r w:rsidRPr="0055589B">
        <w:rPr>
          <w:rFonts w:ascii="Arial" w:hAnsi="Arial" w:cs="Arial"/>
          <w:color w:val="000000" w:themeColor="text1"/>
          <w:lang w:val="cs-CZ" w:eastAsia="de-AT"/>
        </w:rPr>
        <w:t>založený na ročním hodnocení výkonnosti zaměstnance</w:t>
      </w:r>
      <w:r w:rsidR="00C6148B" w:rsidRPr="0055589B">
        <w:rPr>
          <w:rFonts w:ascii="Arial" w:hAnsi="Arial" w:cs="Arial"/>
          <w:color w:val="000000" w:themeColor="text1"/>
          <w:lang w:val="cs-CZ" w:eastAsia="de-AT"/>
        </w:rPr>
        <w:t>;</w:t>
      </w:r>
      <w:r w:rsidRPr="0055589B">
        <w:rPr>
          <w:rFonts w:ascii="Arial" w:hAnsi="Arial" w:cs="Arial"/>
          <w:color w:val="000000" w:themeColor="text1"/>
          <w:lang w:val="cs-CZ" w:eastAsia="de-AT"/>
        </w:rPr>
        <w:t xml:space="preserve"> </w:t>
      </w:r>
    </w:p>
    <w:p w14:paraId="69BD7410" w14:textId="06665C76" w:rsidR="00224561" w:rsidRPr="0055589B" w:rsidRDefault="00224561" w:rsidP="00224561">
      <w:pPr>
        <w:numPr>
          <w:ilvl w:val="0"/>
          <w:numId w:val="14"/>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Bonus k</w:t>
      </w:r>
      <w:r w:rsidR="00C6148B" w:rsidRPr="0055589B">
        <w:rPr>
          <w:rFonts w:ascii="Arial" w:hAnsi="Arial" w:cs="Arial"/>
          <w:color w:val="000000" w:themeColor="text1"/>
          <w:lang w:val="cs-CZ" w:eastAsia="de-AT"/>
        </w:rPr>
        <w:t> u</w:t>
      </w:r>
      <w:r w:rsidRPr="0055589B">
        <w:rPr>
          <w:rFonts w:ascii="Arial" w:hAnsi="Arial" w:cs="Arial"/>
          <w:color w:val="000000" w:themeColor="text1"/>
          <w:lang w:val="cs-CZ" w:eastAsia="de-AT"/>
        </w:rPr>
        <w:t>držení</w:t>
      </w:r>
      <w:r w:rsidR="00C6148B" w:rsidRPr="0055589B">
        <w:rPr>
          <w:rFonts w:ascii="Arial" w:hAnsi="Arial" w:cs="Arial"/>
          <w:color w:val="000000" w:themeColor="text1"/>
          <w:lang w:val="cs-CZ" w:eastAsia="de-AT"/>
        </w:rPr>
        <w:t xml:space="preserve"> pracovníka</w:t>
      </w:r>
      <w:r w:rsidRPr="0055589B">
        <w:rPr>
          <w:rFonts w:ascii="Arial" w:hAnsi="Arial" w:cs="Arial"/>
          <w:color w:val="000000" w:themeColor="text1"/>
          <w:lang w:val="cs-CZ" w:eastAsia="de-AT"/>
        </w:rPr>
        <w:t xml:space="preserve">: instituce mohou využívat </w:t>
      </w:r>
      <w:r w:rsidR="00C6148B" w:rsidRPr="0055589B">
        <w:rPr>
          <w:rFonts w:ascii="Arial" w:hAnsi="Arial" w:cs="Arial"/>
          <w:color w:val="000000" w:themeColor="text1"/>
          <w:lang w:val="cs-CZ" w:eastAsia="de-AT"/>
        </w:rPr>
        <w:t xml:space="preserve">retenční </w:t>
      </w:r>
      <w:r w:rsidRPr="0055589B">
        <w:rPr>
          <w:rFonts w:ascii="Arial" w:hAnsi="Arial" w:cs="Arial"/>
          <w:color w:val="000000" w:themeColor="text1"/>
          <w:lang w:val="cs-CZ" w:eastAsia="de-AT"/>
        </w:rPr>
        <w:t xml:space="preserve">bonusy </w:t>
      </w:r>
      <w:r w:rsidR="00C6148B" w:rsidRPr="0055589B">
        <w:rPr>
          <w:rFonts w:ascii="Arial" w:hAnsi="Arial" w:cs="Arial"/>
          <w:color w:val="000000" w:themeColor="text1"/>
          <w:lang w:val="cs-CZ" w:eastAsia="de-AT"/>
        </w:rPr>
        <w:t xml:space="preserve">v případě </w:t>
      </w:r>
      <w:r w:rsidRPr="0055589B">
        <w:rPr>
          <w:rFonts w:ascii="Arial" w:hAnsi="Arial" w:cs="Arial"/>
          <w:color w:val="000000" w:themeColor="text1"/>
          <w:lang w:val="cs-CZ" w:eastAsia="de-AT"/>
        </w:rPr>
        <w:t>restrukturalizace,</w:t>
      </w:r>
      <w:r w:rsidR="00C6148B" w:rsidRPr="0055589B">
        <w:rPr>
          <w:rFonts w:ascii="Arial" w:hAnsi="Arial" w:cs="Arial"/>
          <w:color w:val="000000" w:themeColor="text1"/>
          <w:lang w:val="cs-CZ" w:eastAsia="de-AT"/>
        </w:rPr>
        <w:t xml:space="preserve"> zrušení společnosti nebo při změně kontroly, ale </w:t>
      </w:r>
      <w:r w:rsidRPr="0055589B">
        <w:rPr>
          <w:rFonts w:ascii="Arial" w:hAnsi="Arial" w:cs="Arial"/>
          <w:color w:val="000000" w:themeColor="text1"/>
          <w:lang w:val="cs-CZ" w:eastAsia="de-AT"/>
        </w:rPr>
        <w:t>také v situacích, kdy může instituce</w:t>
      </w:r>
      <w:r w:rsidR="00C6148B" w:rsidRPr="0055589B">
        <w:rPr>
          <w:rFonts w:ascii="Arial" w:hAnsi="Arial" w:cs="Arial"/>
          <w:color w:val="000000" w:themeColor="text1"/>
          <w:lang w:val="cs-CZ" w:eastAsia="de-AT"/>
        </w:rPr>
        <w:t xml:space="preserve"> zdůvodnit </w:t>
      </w:r>
      <w:r w:rsidRPr="0055589B">
        <w:rPr>
          <w:rFonts w:ascii="Arial" w:hAnsi="Arial" w:cs="Arial"/>
          <w:color w:val="000000" w:themeColor="text1"/>
          <w:lang w:val="cs-CZ" w:eastAsia="de-AT"/>
        </w:rPr>
        <w:t>sv</w:t>
      </w:r>
      <w:r w:rsidR="00C6148B" w:rsidRPr="0055589B">
        <w:rPr>
          <w:rFonts w:ascii="Arial" w:hAnsi="Arial" w:cs="Arial"/>
          <w:color w:val="000000" w:themeColor="text1"/>
          <w:lang w:val="cs-CZ" w:eastAsia="de-AT"/>
        </w:rPr>
        <w:t>ůj</w:t>
      </w:r>
      <w:r w:rsidRPr="0055589B">
        <w:rPr>
          <w:rFonts w:ascii="Arial" w:hAnsi="Arial" w:cs="Arial"/>
          <w:color w:val="000000" w:themeColor="text1"/>
          <w:lang w:val="cs-CZ" w:eastAsia="de-AT"/>
        </w:rPr>
        <w:t xml:space="preserve"> oprávněn</w:t>
      </w:r>
      <w:r w:rsidR="00C6148B" w:rsidRPr="0055589B">
        <w:rPr>
          <w:rFonts w:ascii="Arial" w:hAnsi="Arial" w:cs="Arial"/>
          <w:color w:val="000000" w:themeColor="text1"/>
          <w:lang w:val="cs-CZ" w:eastAsia="de-AT"/>
        </w:rPr>
        <w:t>ý</w:t>
      </w:r>
      <w:r w:rsidRPr="0055589B">
        <w:rPr>
          <w:rFonts w:ascii="Arial" w:hAnsi="Arial" w:cs="Arial"/>
          <w:color w:val="000000" w:themeColor="text1"/>
          <w:lang w:val="cs-CZ" w:eastAsia="de-AT"/>
        </w:rPr>
        <w:t xml:space="preserve"> záj</w:t>
      </w:r>
      <w:r w:rsidR="00C6148B" w:rsidRPr="0055589B">
        <w:rPr>
          <w:rFonts w:ascii="Arial" w:hAnsi="Arial" w:cs="Arial"/>
          <w:color w:val="000000" w:themeColor="text1"/>
          <w:lang w:val="cs-CZ" w:eastAsia="de-AT"/>
        </w:rPr>
        <w:t>e</w:t>
      </w:r>
      <w:r w:rsidRPr="0055589B">
        <w:rPr>
          <w:rFonts w:ascii="Arial" w:hAnsi="Arial" w:cs="Arial"/>
          <w:color w:val="000000" w:themeColor="text1"/>
          <w:lang w:val="cs-CZ" w:eastAsia="de-AT"/>
        </w:rPr>
        <w:t xml:space="preserve">m o </w:t>
      </w:r>
      <w:r w:rsidR="00C6148B" w:rsidRPr="0055589B">
        <w:rPr>
          <w:rFonts w:ascii="Arial" w:hAnsi="Arial" w:cs="Arial"/>
          <w:color w:val="000000" w:themeColor="text1"/>
          <w:lang w:val="cs-CZ" w:eastAsia="de-AT"/>
        </w:rPr>
        <w:t>udržení</w:t>
      </w:r>
      <w:r w:rsidRPr="0055589B">
        <w:rPr>
          <w:rFonts w:ascii="Arial" w:hAnsi="Arial" w:cs="Arial"/>
          <w:color w:val="000000" w:themeColor="text1"/>
          <w:lang w:val="cs-CZ" w:eastAsia="de-AT"/>
        </w:rPr>
        <w:t xml:space="preserve"> příslušného zaměstnance;</w:t>
      </w:r>
    </w:p>
    <w:p w14:paraId="241A7A0F" w14:textId="12DB8166" w:rsidR="00224561" w:rsidRPr="0055589B" w:rsidRDefault="00224561" w:rsidP="00224561">
      <w:pPr>
        <w:numPr>
          <w:ilvl w:val="0"/>
          <w:numId w:val="14"/>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Ocenění: motivační systém, </w:t>
      </w:r>
      <w:r w:rsidR="0019469E" w:rsidRPr="0055589B">
        <w:rPr>
          <w:rFonts w:ascii="Arial" w:hAnsi="Arial" w:cs="Arial"/>
          <w:color w:val="000000" w:themeColor="text1"/>
          <w:lang w:val="cs-CZ" w:eastAsia="de-AT"/>
        </w:rPr>
        <w:t xml:space="preserve">jehož základem je otevřená účast </w:t>
      </w:r>
      <w:r w:rsidRPr="0055589B">
        <w:rPr>
          <w:rFonts w:ascii="Arial" w:hAnsi="Arial" w:cs="Arial"/>
          <w:color w:val="000000" w:themeColor="text1"/>
          <w:lang w:val="cs-CZ" w:eastAsia="de-AT"/>
        </w:rPr>
        <w:t>zaměstnanců (přeshraniční) obchodní lini</w:t>
      </w:r>
      <w:r w:rsidR="0019469E" w:rsidRPr="0055589B">
        <w:rPr>
          <w:rFonts w:ascii="Arial" w:hAnsi="Arial" w:cs="Arial"/>
          <w:color w:val="000000" w:themeColor="text1"/>
          <w:lang w:val="cs-CZ" w:eastAsia="de-AT"/>
        </w:rPr>
        <w:t>e</w:t>
      </w:r>
      <w:r w:rsidRPr="0055589B">
        <w:rPr>
          <w:rFonts w:ascii="Arial" w:hAnsi="Arial" w:cs="Arial"/>
          <w:color w:val="000000" w:themeColor="text1"/>
          <w:lang w:val="cs-CZ" w:eastAsia="de-AT"/>
        </w:rPr>
        <w:t xml:space="preserve"> nebo funkc</w:t>
      </w:r>
      <w:r w:rsidR="0019469E" w:rsidRPr="0055589B">
        <w:rPr>
          <w:rFonts w:ascii="Arial" w:hAnsi="Arial" w:cs="Arial"/>
          <w:color w:val="000000" w:themeColor="text1"/>
          <w:lang w:val="cs-CZ" w:eastAsia="de-AT"/>
        </w:rPr>
        <w:t>e</w:t>
      </w:r>
      <w:r w:rsidRPr="0055589B">
        <w:rPr>
          <w:rFonts w:ascii="Arial" w:hAnsi="Arial" w:cs="Arial"/>
          <w:color w:val="000000" w:themeColor="text1"/>
          <w:lang w:val="cs-CZ" w:eastAsia="de-AT"/>
        </w:rPr>
        <w:t xml:space="preserve">. </w:t>
      </w:r>
      <w:r w:rsidR="00594ADF" w:rsidRPr="0055589B">
        <w:rPr>
          <w:rFonts w:ascii="Arial" w:hAnsi="Arial" w:cs="Arial"/>
          <w:color w:val="000000" w:themeColor="text1"/>
          <w:lang w:val="cs-CZ" w:eastAsia="de-AT"/>
        </w:rPr>
        <w:t>O</w:t>
      </w:r>
      <w:r w:rsidRPr="0055589B">
        <w:rPr>
          <w:rFonts w:ascii="Arial" w:hAnsi="Arial" w:cs="Arial"/>
          <w:color w:val="000000" w:themeColor="text1"/>
          <w:lang w:val="cs-CZ" w:eastAsia="de-AT"/>
        </w:rPr>
        <w:t xml:space="preserve">cenění </w:t>
      </w:r>
      <w:r w:rsidR="00594ADF" w:rsidRPr="0055589B">
        <w:rPr>
          <w:rFonts w:ascii="Arial" w:hAnsi="Arial" w:cs="Arial"/>
          <w:color w:val="000000" w:themeColor="text1"/>
          <w:lang w:val="cs-CZ" w:eastAsia="de-AT"/>
        </w:rPr>
        <w:t xml:space="preserve">se uděluje za činnost vedoucí k podpoře růstu nebo rozvoje podniku a </w:t>
      </w:r>
      <w:r w:rsidRPr="0055589B">
        <w:rPr>
          <w:rFonts w:ascii="Arial" w:hAnsi="Arial" w:cs="Arial"/>
          <w:color w:val="000000" w:themeColor="text1"/>
          <w:lang w:val="cs-CZ" w:eastAsia="de-AT"/>
        </w:rPr>
        <w:t xml:space="preserve">výsledek </w:t>
      </w:r>
      <w:r w:rsidR="00594ADF" w:rsidRPr="0055589B">
        <w:rPr>
          <w:rFonts w:ascii="Arial" w:hAnsi="Arial" w:cs="Arial"/>
          <w:color w:val="000000" w:themeColor="text1"/>
          <w:lang w:val="cs-CZ" w:eastAsia="de-AT"/>
        </w:rPr>
        <w:t xml:space="preserve">se projeví jako příležitost </w:t>
      </w:r>
      <w:r w:rsidRPr="0055589B">
        <w:rPr>
          <w:rFonts w:ascii="Arial" w:hAnsi="Arial" w:cs="Arial"/>
          <w:color w:val="000000" w:themeColor="text1"/>
          <w:lang w:val="cs-CZ" w:eastAsia="de-AT"/>
        </w:rPr>
        <w:t>pro ostatní zaměstnance</w:t>
      </w:r>
      <w:r w:rsidR="00594ADF" w:rsidRPr="0055589B">
        <w:rPr>
          <w:rFonts w:ascii="Arial" w:hAnsi="Arial" w:cs="Arial"/>
          <w:color w:val="000000" w:themeColor="text1"/>
          <w:lang w:val="cs-CZ" w:eastAsia="de-AT"/>
        </w:rPr>
        <w:t xml:space="preserve"> naučit se něco nového</w:t>
      </w:r>
      <w:r w:rsidRPr="0055589B">
        <w:rPr>
          <w:rFonts w:ascii="Arial" w:hAnsi="Arial" w:cs="Arial"/>
          <w:color w:val="000000" w:themeColor="text1"/>
          <w:lang w:val="cs-CZ" w:eastAsia="de-AT"/>
        </w:rPr>
        <w:t>.</w:t>
      </w:r>
    </w:p>
    <w:p w14:paraId="12F5C34E" w14:textId="671841A0"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Zaměstnanec nebo člen </w:t>
      </w:r>
      <w:r w:rsidR="0044728D" w:rsidRPr="0055589B">
        <w:rPr>
          <w:rFonts w:ascii="Arial" w:hAnsi="Arial" w:cs="Arial"/>
          <w:color w:val="000000" w:themeColor="text1"/>
          <w:szCs w:val="24"/>
          <w:lang w:val="cs-CZ" w:eastAsia="de-AT"/>
        </w:rPr>
        <w:t>P</w:t>
      </w:r>
      <w:r w:rsidR="005401C8" w:rsidRPr="0055589B">
        <w:rPr>
          <w:rFonts w:ascii="Arial" w:hAnsi="Arial" w:cs="Arial"/>
          <w:color w:val="000000" w:themeColor="text1"/>
          <w:szCs w:val="24"/>
          <w:lang w:val="cs-CZ" w:eastAsia="de-AT"/>
        </w:rPr>
        <w:t>ředstavenstva</w:t>
      </w:r>
      <w:r w:rsidRPr="0055589B">
        <w:rPr>
          <w:rFonts w:ascii="Arial" w:hAnsi="Arial" w:cs="Arial"/>
          <w:color w:val="000000" w:themeColor="text1"/>
          <w:szCs w:val="24"/>
          <w:lang w:val="cs-CZ" w:eastAsia="de-AT"/>
        </w:rPr>
        <w:t xml:space="preserve"> </w:t>
      </w:r>
      <w:r w:rsidR="0044728D" w:rsidRPr="0055589B">
        <w:rPr>
          <w:rFonts w:ascii="Arial" w:hAnsi="Arial" w:cs="Arial"/>
          <w:color w:val="000000" w:themeColor="text1"/>
          <w:szCs w:val="24"/>
          <w:lang w:val="cs-CZ" w:eastAsia="de-AT"/>
        </w:rPr>
        <w:t xml:space="preserve">se </w:t>
      </w:r>
      <w:r w:rsidRPr="0055589B">
        <w:rPr>
          <w:rFonts w:ascii="Arial" w:hAnsi="Arial" w:cs="Arial"/>
          <w:color w:val="000000" w:themeColor="text1"/>
          <w:szCs w:val="24"/>
          <w:lang w:val="cs-CZ" w:eastAsia="de-AT"/>
        </w:rPr>
        <w:t xml:space="preserve">může </w:t>
      </w:r>
      <w:r w:rsidR="0044728D" w:rsidRPr="0055589B">
        <w:rPr>
          <w:rFonts w:ascii="Arial" w:hAnsi="Arial" w:cs="Arial"/>
          <w:color w:val="000000" w:themeColor="text1"/>
          <w:szCs w:val="24"/>
          <w:lang w:val="cs-CZ" w:eastAsia="de-AT"/>
        </w:rPr>
        <w:t xml:space="preserve">účastnit </w:t>
      </w:r>
      <w:r w:rsidRPr="0055589B">
        <w:rPr>
          <w:rFonts w:ascii="Arial" w:hAnsi="Arial" w:cs="Arial"/>
          <w:color w:val="000000" w:themeColor="text1"/>
          <w:szCs w:val="24"/>
          <w:lang w:val="cs-CZ" w:eastAsia="de-AT"/>
        </w:rPr>
        <w:t>více než jednoho motivačního s</w:t>
      </w:r>
      <w:r w:rsidR="0044728D" w:rsidRPr="0055589B">
        <w:rPr>
          <w:rFonts w:ascii="Arial" w:hAnsi="Arial" w:cs="Arial"/>
          <w:color w:val="000000" w:themeColor="text1"/>
          <w:szCs w:val="24"/>
          <w:lang w:val="cs-CZ" w:eastAsia="de-AT"/>
        </w:rPr>
        <w:t xml:space="preserve">ystému. </w:t>
      </w:r>
      <w:r w:rsidRPr="0055589B">
        <w:rPr>
          <w:rFonts w:ascii="Arial" w:hAnsi="Arial" w:cs="Arial"/>
          <w:color w:val="000000" w:themeColor="text1"/>
          <w:szCs w:val="24"/>
          <w:lang w:val="cs-CZ" w:eastAsia="de-AT"/>
        </w:rPr>
        <w:t>Součet poskytnutých bonus</w:t>
      </w:r>
      <w:r w:rsidR="0044728D" w:rsidRPr="0055589B">
        <w:rPr>
          <w:rFonts w:ascii="Arial" w:hAnsi="Arial" w:cs="Arial"/>
          <w:color w:val="000000" w:themeColor="text1"/>
          <w:szCs w:val="24"/>
          <w:lang w:val="cs-CZ" w:eastAsia="de-AT"/>
        </w:rPr>
        <w:t xml:space="preserve">ů však </w:t>
      </w:r>
      <w:r w:rsidRPr="0055589B">
        <w:rPr>
          <w:rFonts w:ascii="Arial" w:hAnsi="Arial" w:cs="Arial"/>
          <w:color w:val="000000" w:themeColor="text1"/>
          <w:szCs w:val="24"/>
          <w:lang w:val="cs-CZ" w:eastAsia="de-AT"/>
        </w:rPr>
        <w:t>nesmí překročit hranici 100</w:t>
      </w:r>
      <w:r w:rsidR="0044728D" w:rsidRPr="0055589B">
        <w:rPr>
          <w:rFonts w:ascii="Arial" w:hAnsi="Arial" w:cs="Arial"/>
          <w:color w:val="000000" w:themeColor="text1"/>
          <w:szCs w:val="24"/>
          <w:lang w:val="cs-CZ" w:eastAsia="de-AT"/>
        </w:rPr>
        <w:t> </w:t>
      </w:r>
      <w:r w:rsidRPr="0055589B">
        <w:rPr>
          <w:rFonts w:ascii="Arial" w:hAnsi="Arial" w:cs="Arial"/>
          <w:color w:val="000000" w:themeColor="text1"/>
          <w:szCs w:val="24"/>
          <w:lang w:val="cs-CZ" w:eastAsia="de-AT"/>
        </w:rPr>
        <w:t xml:space="preserve">% </w:t>
      </w:r>
      <w:r w:rsidR="0044728D" w:rsidRPr="0055589B">
        <w:rPr>
          <w:rFonts w:ascii="Arial" w:hAnsi="Arial" w:cs="Arial"/>
          <w:color w:val="000000" w:themeColor="text1"/>
          <w:szCs w:val="24"/>
          <w:lang w:val="cs-CZ" w:eastAsia="de-AT"/>
        </w:rPr>
        <w:t xml:space="preserve">pevné </w:t>
      </w:r>
      <w:r w:rsidRPr="0055589B">
        <w:rPr>
          <w:rFonts w:ascii="Arial" w:hAnsi="Arial" w:cs="Arial"/>
          <w:color w:val="000000" w:themeColor="text1"/>
          <w:szCs w:val="24"/>
          <w:lang w:val="cs-CZ" w:eastAsia="de-AT"/>
        </w:rPr>
        <w:t xml:space="preserve">odměny </w:t>
      </w:r>
      <w:r w:rsidR="0044728D" w:rsidRPr="0055589B">
        <w:rPr>
          <w:rFonts w:ascii="Arial" w:hAnsi="Arial" w:cs="Arial"/>
          <w:color w:val="000000" w:themeColor="text1"/>
          <w:szCs w:val="24"/>
          <w:lang w:val="cs-CZ" w:eastAsia="de-AT"/>
        </w:rPr>
        <w:t>zaměstnance/</w:t>
      </w:r>
      <w:r w:rsidRPr="0055589B">
        <w:rPr>
          <w:rFonts w:ascii="Arial" w:hAnsi="Arial" w:cs="Arial"/>
          <w:color w:val="000000" w:themeColor="text1"/>
          <w:szCs w:val="24"/>
          <w:lang w:val="cs-CZ" w:eastAsia="de-AT"/>
        </w:rPr>
        <w:t xml:space="preserve">člena </w:t>
      </w:r>
      <w:r w:rsidR="0044728D" w:rsidRPr="0055589B">
        <w:rPr>
          <w:rFonts w:ascii="Arial" w:hAnsi="Arial" w:cs="Arial"/>
          <w:color w:val="000000" w:themeColor="text1"/>
          <w:szCs w:val="24"/>
          <w:lang w:val="cs-CZ" w:eastAsia="de-AT"/>
        </w:rPr>
        <w:t>P</w:t>
      </w:r>
      <w:r w:rsidR="005401C8" w:rsidRPr="0055589B">
        <w:rPr>
          <w:rFonts w:ascii="Arial" w:hAnsi="Arial" w:cs="Arial"/>
          <w:color w:val="000000" w:themeColor="text1"/>
          <w:szCs w:val="24"/>
          <w:lang w:val="cs-CZ" w:eastAsia="de-AT"/>
        </w:rPr>
        <w:t>ředstavenstva</w:t>
      </w:r>
      <w:r w:rsidR="0044728D" w:rsidRPr="0055589B">
        <w:rPr>
          <w:rFonts w:ascii="Arial" w:hAnsi="Arial" w:cs="Arial"/>
          <w:color w:val="000000" w:themeColor="text1"/>
          <w:szCs w:val="24"/>
          <w:lang w:val="cs-CZ" w:eastAsia="de-AT"/>
        </w:rPr>
        <w:t>.</w:t>
      </w:r>
    </w:p>
    <w:p w14:paraId="7952527C" w14:textId="5A25A83B" w:rsidR="00224561" w:rsidRPr="0055589B" w:rsidRDefault="00224561" w:rsidP="007F006A">
      <w:pPr>
        <w:spacing w:after="120" w:line="276" w:lineRule="auto"/>
        <w:jc w:val="both"/>
        <w:rPr>
          <w:rFonts w:ascii="Arial" w:eastAsia="Times New Roman" w:hAnsi="Arial" w:cs="Arial"/>
          <w:bCs/>
          <w:color w:val="000000" w:themeColor="text1"/>
          <w:szCs w:val="24"/>
          <w:lang w:val="cs-CZ" w:eastAsia="de-AT"/>
        </w:rPr>
      </w:pPr>
      <w:r w:rsidRPr="0055589B">
        <w:rPr>
          <w:rFonts w:ascii="Arial" w:hAnsi="Arial" w:cs="Arial"/>
          <w:bCs/>
          <w:color w:val="000000" w:themeColor="text1"/>
          <w:szCs w:val="24"/>
          <w:lang w:val="cs-CZ" w:eastAsia="de-AT"/>
        </w:rPr>
        <w:t>Bonus</w:t>
      </w:r>
      <w:r w:rsidR="0044728D" w:rsidRPr="0055589B">
        <w:rPr>
          <w:rFonts w:ascii="Arial" w:hAnsi="Arial" w:cs="Arial"/>
          <w:bCs/>
          <w:color w:val="000000" w:themeColor="text1"/>
          <w:szCs w:val="24"/>
          <w:lang w:val="cs-CZ" w:eastAsia="de-AT"/>
        </w:rPr>
        <w:t xml:space="preserve">ový fond – roční systém krátkodobých pobídek </w:t>
      </w:r>
    </w:p>
    <w:p w14:paraId="6633665E" w14:textId="4E0E26C0"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Celkový bonusový </w:t>
      </w:r>
      <w:r w:rsidR="0044728D" w:rsidRPr="0055589B">
        <w:rPr>
          <w:rFonts w:ascii="Arial" w:hAnsi="Arial" w:cs="Arial"/>
          <w:color w:val="000000" w:themeColor="text1"/>
          <w:szCs w:val="24"/>
          <w:lang w:val="cs-CZ" w:eastAsia="de-AT"/>
        </w:rPr>
        <w:t xml:space="preserve">fond </w:t>
      </w:r>
      <w:proofErr w:type="gramStart"/>
      <w:r w:rsidR="0044728D" w:rsidRPr="0055589B">
        <w:rPr>
          <w:rFonts w:ascii="Arial" w:hAnsi="Arial" w:cs="Arial"/>
          <w:color w:val="000000" w:themeColor="text1"/>
          <w:szCs w:val="24"/>
          <w:lang w:val="cs-CZ" w:eastAsia="de-AT"/>
        </w:rPr>
        <w:t>tvoří</w:t>
      </w:r>
      <w:proofErr w:type="gramEnd"/>
      <w:r w:rsidR="0044728D"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bonusov</w:t>
      </w:r>
      <w:r w:rsidR="0044728D" w:rsidRPr="0055589B">
        <w:rPr>
          <w:rFonts w:ascii="Arial" w:hAnsi="Arial" w:cs="Arial"/>
          <w:color w:val="000000" w:themeColor="text1"/>
          <w:szCs w:val="24"/>
          <w:lang w:val="cs-CZ" w:eastAsia="de-AT"/>
        </w:rPr>
        <w:t>é</w:t>
      </w:r>
      <w:r w:rsidRPr="0055589B">
        <w:rPr>
          <w:rFonts w:ascii="Arial" w:hAnsi="Arial" w:cs="Arial"/>
          <w:color w:val="000000" w:themeColor="text1"/>
          <w:szCs w:val="24"/>
          <w:lang w:val="cs-CZ" w:eastAsia="de-AT"/>
        </w:rPr>
        <w:t xml:space="preserve"> fond</w:t>
      </w:r>
      <w:r w:rsidR="0044728D" w:rsidRPr="0055589B">
        <w:rPr>
          <w:rFonts w:ascii="Arial" w:hAnsi="Arial" w:cs="Arial"/>
          <w:color w:val="000000" w:themeColor="text1"/>
          <w:szCs w:val="24"/>
          <w:lang w:val="cs-CZ" w:eastAsia="de-AT"/>
        </w:rPr>
        <w:t>y jednotlivých Divizí. Při s</w:t>
      </w:r>
      <w:r w:rsidRPr="0055589B">
        <w:rPr>
          <w:rFonts w:ascii="Arial" w:hAnsi="Arial" w:cs="Arial"/>
          <w:color w:val="000000" w:themeColor="text1"/>
          <w:szCs w:val="24"/>
          <w:lang w:val="cs-CZ" w:eastAsia="de-AT"/>
        </w:rPr>
        <w:t xml:space="preserve">tanovení celkového objemu prostředků vyčleněných </w:t>
      </w:r>
      <w:r w:rsidR="0044728D" w:rsidRPr="0055589B">
        <w:rPr>
          <w:rFonts w:ascii="Arial" w:hAnsi="Arial" w:cs="Arial"/>
          <w:color w:val="000000" w:themeColor="text1"/>
          <w:szCs w:val="24"/>
          <w:lang w:val="cs-CZ" w:eastAsia="de-AT"/>
        </w:rPr>
        <w:t>na</w:t>
      </w:r>
      <w:r w:rsidRPr="0055589B">
        <w:rPr>
          <w:rFonts w:ascii="Arial" w:hAnsi="Arial" w:cs="Arial"/>
          <w:color w:val="000000" w:themeColor="text1"/>
          <w:szCs w:val="24"/>
          <w:lang w:val="cs-CZ" w:eastAsia="de-AT"/>
        </w:rPr>
        <w:t xml:space="preserve"> variabilní odměny (bonusový fond) </w:t>
      </w:r>
      <w:r w:rsidR="0044728D" w:rsidRPr="0055589B">
        <w:rPr>
          <w:rFonts w:ascii="Arial" w:hAnsi="Arial" w:cs="Arial"/>
          <w:color w:val="000000" w:themeColor="text1"/>
          <w:szCs w:val="24"/>
          <w:lang w:val="cs-CZ" w:eastAsia="de-AT"/>
        </w:rPr>
        <w:t xml:space="preserve">se kromě procentního nároku každého zaměstnance, </w:t>
      </w:r>
      <w:r w:rsidRPr="0055589B">
        <w:rPr>
          <w:rFonts w:ascii="Arial" w:hAnsi="Arial" w:cs="Arial"/>
          <w:color w:val="000000" w:themeColor="text1"/>
          <w:szCs w:val="24"/>
          <w:lang w:val="cs-CZ" w:eastAsia="de-AT"/>
        </w:rPr>
        <w:t>zohledňuje také celkov</w:t>
      </w:r>
      <w:r w:rsidR="0044728D" w:rsidRPr="0055589B">
        <w:rPr>
          <w:rFonts w:ascii="Arial" w:hAnsi="Arial" w:cs="Arial"/>
          <w:color w:val="000000" w:themeColor="text1"/>
          <w:szCs w:val="24"/>
          <w:lang w:val="cs-CZ" w:eastAsia="de-AT"/>
        </w:rPr>
        <w:t>á</w:t>
      </w:r>
      <w:r w:rsidRPr="0055589B">
        <w:rPr>
          <w:rFonts w:ascii="Arial" w:hAnsi="Arial" w:cs="Arial"/>
          <w:color w:val="000000" w:themeColor="text1"/>
          <w:szCs w:val="24"/>
          <w:lang w:val="cs-CZ" w:eastAsia="de-AT"/>
        </w:rPr>
        <w:t xml:space="preserve"> výkonnost </w:t>
      </w:r>
      <w:r w:rsidR="0044728D"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 xml:space="preserve">polečnosti a příslušná rizika, </w:t>
      </w:r>
      <w:r w:rsidR="0044728D" w:rsidRPr="0055589B">
        <w:rPr>
          <w:rFonts w:ascii="Arial" w:hAnsi="Arial" w:cs="Arial"/>
          <w:color w:val="000000" w:themeColor="text1"/>
          <w:szCs w:val="24"/>
          <w:lang w:val="cs-CZ" w:eastAsia="de-AT"/>
        </w:rPr>
        <w:t>jimž je S</w:t>
      </w:r>
      <w:r w:rsidRPr="0055589B">
        <w:rPr>
          <w:rFonts w:ascii="Arial" w:hAnsi="Arial" w:cs="Arial"/>
          <w:color w:val="000000" w:themeColor="text1"/>
          <w:szCs w:val="24"/>
          <w:lang w:val="cs-CZ" w:eastAsia="de-AT"/>
        </w:rPr>
        <w:t>polečnost vystaven</w:t>
      </w:r>
      <w:r w:rsidR="0044728D" w:rsidRPr="0055589B">
        <w:rPr>
          <w:rFonts w:ascii="Arial" w:hAnsi="Arial" w:cs="Arial"/>
          <w:color w:val="000000" w:themeColor="text1"/>
          <w:szCs w:val="24"/>
          <w:lang w:val="cs-CZ" w:eastAsia="de-AT"/>
        </w:rPr>
        <w:t>a</w:t>
      </w:r>
      <w:r w:rsidRPr="0055589B">
        <w:rPr>
          <w:rFonts w:ascii="Arial" w:hAnsi="Arial" w:cs="Arial"/>
          <w:color w:val="000000" w:themeColor="text1"/>
          <w:szCs w:val="24"/>
          <w:lang w:val="cs-CZ" w:eastAsia="de-AT"/>
        </w:rPr>
        <w:t xml:space="preserve">. </w:t>
      </w:r>
      <w:r w:rsidR="0044728D" w:rsidRPr="0055589B">
        <w:rPr>
          <w:rFonts w:ascii="Arial" w:hAnsi="Arial" w:cs="Arial"/>
          <w:color w:val="000000" w:themeColor="text1"/>
          <w:szCs w:val="24"/>
          <w:lang w:val="cs-CZ" w:eastAsia="de-AT"/>
        </w:rPr>
        <w:t xml:space="preserve">Stanovení </w:t>
      </w:r>
      <w:r w:rsidRPr="0055589B">
        <w:rPr>
          <w:rFonts w:ascii="Arial" w:hAnsi="Arial" w:cs="Arial"/>
          <w:color w:val="000000" w:themeColor="text1"/>
          <w:szCs w:val="24"/>
          <w:lang w:val="cs-CZ" w:eastAsia="de-AT"/>
        </w:rPr>
        <w:t xml:space="preserve">bonusového </w:t>
      </w:r>
      <w:r w:rsidR="0044728D" w:rsidRPr="0055589B">
        <w:rPr>
          <w:rFonts w:ascii="Arial" w:hAnsi="Arial" w:cs="Arial"/>
          <w:color w:val="000000" w:themeColor="text1"/>
          <w:szCs w:val="24"/>
          <w:lang w:val="cs-CZ" w:eastAsia="de-AT"/>
        </w:rPr>
        <w:t xml:space="preserve">fondu a výplat z něj závisí na </w:t>
      </w:r>
      <w:r w:rsidRPr="0055589B">
        <w:rPr>
          <w:rFonts w:ascii="Arial" w:hAnsi="Arial" w:cs="Arial"/>
          <w:color w:val="000000" w:themeColor="text1"/>
          <w:szCs w:val="24"/>
          <w:lang w:val="cs-CZ" w:eastAsia="de-AT"/>
        </w:rPr>
        <w:t xml:space="preserve">posouzení kritérií stanovených v těchto zásadách. Bonusový fond je vytvořen ve fázi </w:t>
      </w:r>
      <w:r w:rsidR="005A31FB" w:rsidRPr="0055589B">
        <w:rPr>
          <w:rFonts w:ascii="Arial" w:hAnsi="Arial" w:cs="Arial"/>
          <w:color w:val="000000" w:themeColor="text1"/>
          <w:szCs w:val="24"/>
          <w:lang w:val="cs-CZ" w:eastAsia="de-AT"/>
        </w:rPr>
        <w:t xml:space="preserve">přípravy </w:t>
      </w:r>
      <w:r w:rsidRPr="0055589B">
        <w:rPr>
          <w:rFonts w:ascii="Arial" w:hAnsi="Arial" w:cs="Arial"/>
          <w:color w:val="000000" w:themeColor="text1"/>
          <w:szCs w:val="24"/>
          <w:lang w:val="cs-CZ" w:eastAsia="de-AT"/>
        </w:rPr>
        <w:t>rozpočt</w:t>
      </w:r>
      <w:r w:rsidR="005A31FB" w:rsidRPr="0055589B">
        <w:rPr>
          <w:rFonts w:ascii="Arial" w:hAnsi="Arial" w:cs="Arial"/>
          <w:color w:val="000000" w:themeColor="text1"/>
          <w:szCs w:val="24"/>
          <w:lang w:val="cs-CZ" w:eastAsia="de-AT"/>
        </w:rPr>
        <w:t>u</w:t>
      </w:r>
      <w:r w:rsidRPr="0055589B">
        <w:rPr>
          <w:rFonts w:ascii="Arial" w:hAnsi="Arial" w:cs="Arial"/>
          <w:color w:val="000000" w:themeColor="text1"/>
          <w:szCs w:val="24"/>
          <w:lang w:val="cs-CZ" w:eastAsia="de-AT"/>
        </w:rPr>
        <w:t xml:space="preserve"> </w:t>
      </w:r>
      <w:r w:rsidR="005A31FB" w:rsidRPr="0055589B">
        <w:rPr>
          <w:rFonts w:ascii="Arial" w:hAnsi="Arial" w:cs="Arial"/>
          <w:color w:val="000000" w:themeColor="text1"/>
          <w:szCs w:val="24"/>
          <w:lang w:val="cs-CZ" w:eastAsia="de-AT"/>
        </w:rPr>
        <w:t>na hodnocené období a vyhodnocuje se po skončení tohoto období s</w:t>
      </w:r>
      <w:r w:rsidRPr="0055589B">
        <w:rPr>
          <w:rFonts w:ascii="Arial" w:hAnsi="Arial" w:cs="Arial"/>
          <w:color w:val="000000" w:themeColor="text1"/>
          <w:szCs w:val="24"/>
          <w:lang w:val="cs-CZ" w:eastAsia="de-AT"/>
        </w:rPr>
        <w:t xml:space="preserve"> ohledem na kombinaci všech kritérií.</w:t>
      </w:r>
    </w:p>
    <w:p w14:paraId="5CEAFFC9" w14:textId="77777777"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p>
    <w:p w14:paraId="3E63A17B" w14:textId="77777777"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noProof/>
          <w:color w:val="000000" w:themeColor="text1"/>
          <w:szCs w:val="24"/>
          <w:lang w:val="cs-CZ" w:eastAsia="cs-CZ"/>
        </w:rPr>
        <w:lastRenderedPageBreak/>
        <w:drawing>
          <wp:inline distT="0" distB="0" distL="0" distR="0" wp14:anchorId="0FEAF9F7" wp14:editId="448430C7">
            <wp:extent cx="5752465" cy="101028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2465" cy="1010285"/>
                    </a:xfrm>
                    <a:prstGeom prst="rect">
                      <a:avLst/>
                    </a:prstGeom>
                    <a:noFill/>
                    <a:ln>
                      <a:noFill/>
                    </a:ln>
                  </pic:spPr>
                </pic:pic>
              </a:graphicData>
            </a:graphic>
          </wp:inline>
        </w:drawing>
      </w:r>
    </w:p>
    <w:p w14:paraId="0F36AEE6" w14:textId="77777777"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p>
    <w:p w14:paraId="3E535104" w14:textId="27F0EDC6" w:rsidR="005A31FB" w:rsidRPr="0055589B" w:rsidRDefault="005A31FB" w:rsidP="007F006A">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Obr.:</w:t>
      </w:r>
    </w:p>
    <w:p w14:paraId="2C14FA88" w14:textId="062E5AA9" w:rsidR="005A31FB" w:rsidRPr="0055589B" w:rsidRDefault="005A31FB" w:rsidP="00136253">
      <w:pPr>
        <w:spacing w:after="120" w:line="276" w:lineRule="auto"/>
        <w:ind w:left="5040" w:hanging="5040"/>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Vytvoření bonusového fondu na bonusy v R</w:t>
      </w:r>
      <w:r w:rsidR="00EA0A22">
        <w:rPr>
          <w:rFonts w:ascii="Arial" w:hAnsi="Arial" w:cs="Arial"/>
          <w:color w:val="000000" w:themeColor="text1"/>
          <w:szCs w:val="24"/>
          <w:lang w:val="cs-CZ" w:eastAsia="de-AT"/>
        </w:rPr>
        <w:t>oce</w:t>
      </w:r>
      <w:r w:rsidRPr="0055589B">
        <w:rPr>
          <w:rFonts w:ascii="Arial" w:hAnsi="Arial" w:cs="Arial"/>
          <w:color w:val="000000" w:themeColor="text1"/>
          <w:szCs w:val="24"/>
          <w:lang w:val="cs-CZ" w:eastAsia="de-AT"/>
        </w:rPr>
        <w:t>1</w:t>
      </w:r>
      <w:r w:rsidRPr="0055589B">
        <w:rPr>
          <w:rFonts w:ascii="Arial" w:hAnsi="Arial" w:cs="Arial"/>
          <w:color w:val="000000" w:themeColor="text1"/>
          <w:szCs w:val="24"/>
          <w:lang w:val="cs-CZ" w:eastAsia="de-AT"/>
        </w:rPr>
        <w:tab/>
        <w:t xml:space="preserve">Úprava bonusového fondu na základě posouzení </w:t>
      </w:r>
      <w:r w:rsidR="00EA0A22">
        <w:rPr>
          <w:rFonts w:ascii="Arial" w:hAnsi="Arial" w:cs="Arial"/>
          <w:color w:val="000000" w:themeColor="text1"/>
          <w:szCs w:val="24"/>
          <w:lang w:val="cs-CZ" w:eastAsia="de-AT"/>
        </w:rPr>
        <w:t>klíčových ukazatelů výkonnosti („KPI“)</w:t>
      </w:r>
    </w:p>
    <w:p w14:paraId="3E6E6769" w14:textId="4E023D2F" w:rsidR="005A31FB" w:rsidRPr="0055589B" w:rsidRDefault="005A31FB" w:rsidP="007F006A">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R</w:t>
      </w:r>
      <w:r w:rsidR="00EA0A22">
        <w:rPr>
          <w:rFonts w:ascii="Arial" w:hAnsi="Arial" w:cs="Arial"/>
          <w:color w:val="000000" w:themeColor="text1"/>
          <w:szCs w:val="24"/>
          <w:lang w:val="cs-CZ" w:eastAsia="de-AT"/>
        </w:rPr>
        <w:t xml:space="preserve">ok </w:t>
      </w:r>
      <w:r w:rsidRPr="0055589B">
        <w:rPr>
          <w:rFonts w:ascii="Arial" w:hAnsi="Arial" w:cs="Arial"/>
          <w:color w:val="000000" w:themeColor="text1"/>
          <w:szCs w:val="24"/>
          <w:lang w:val="cs-CZ" w:eastAsia="de-AT"/>
        </w:rPr>
        <w:t>0</w:t>
      </w:r>
      <w:r w:rsidRPr="0055589B">
        <w:rPr>
          <w:rFonts w:ascii="Arial" w:hAnsi="Arial" w:cs="Arial"/>
          <w:color w:val="000000" w:themeColor="text1"/>
          <w:szCs w:val="24"/>
          <w:lang w:val="cs-CZ" w:eastAsia="de-AT"/>
        </w:rPr>
        <w:tab/>
      </w:r>
      <w:r w:rsidRPr="0055589B">
        <w:rPr>
          <w:rFonts w:ascii="Arial" w:hAnsi="Arial" w:cs="Arial"/>
          <w:color w:val="000000" w:themeColor="text1"/>
          <w:szCs w:val="24"/>
          <w:lang w:val="cs-CZ" w:eastAsia="de-AT"/>
        </w:rPr>
        <w:tab/>
        <w:t>R</w:t>
      </w:r>
      <w:r w:rsidR="00EA0A22">
        <w:rPr>
          <w:rFonts w:ascii="Arial" w:hAnsi="Arial" w:cs="Arial"/>
          <w:color w:val="000000" w:themeColor="text1"/>
          <w:szCs w:val="24"/>
          <w:lang w:val="cs-CZ" w:eastAsia="de-AT"/>
        </w:rPr>
        <w:t xml:space="preserve">ok </w:t>
      </w:r>
      <w:r w:rsidRPr="0055589B">
        <w:rPr>
          <w:rFonts w:ascii="Arial" w:hAnsi="Arial" w:cs="Arial"/>
          <w:color w:val="000000" w:themeColor="text1"/>
          <w:szCs w:val="24"/>
          <w:lang w:val="cs-CZ" w:eastAsia="de-AT"/>
        </w:rPr>
        <w:t>1 – posuzované období</w:t>
      </w:r>
      <w:r w:rsidRPr="0055589B">
        <w:rPr>
          <w:rFonts w:ascii="Arial" w:hAnsi="Arial" w:cs="Arial"/>
          <w:color w:val="000000" w:themeColor="text1"/>
          <w:szCs w:val="24"/>
          <w:lang w:val="cs-CZ" w:eastAsia="de-AT"/>
        </w:rPr>
        <w:tab/>
      </w:r>
      <w:r w:rsidR="00776B5D">
        <w:rPr>
          <w:rFonts w:ascii="Arial" w:hAnsi="Arial" w:cs="Arial"/>
          <w:color w:val="000000" w:themeColor="text1"/>
          <w:szCs w:val="24"/>
          <w:lang w:val="cs-CZ" w:eastAsia="de-AT"/>
        </w:rPr>
        <w:tab/>
      </w:r>
      <w:r w:rsidRPr="0055589B">
        <w:rPr>
          <w:rFonts w:ascii="Arial" w:hAnsi="Arial" w:cs="Arial"/>
          <w:color w:val="000000" w:themeColor="text1"/>
          <w:szCs w:val="24"/>
          <w:lang w:val="cs-CZ" w:eastAsia="de-AT"/>
        </w:rPr>
        <w:t>R</w:t>
      </w:r>
      <w:r w:rsidR="00EA0A22">
        <w:rPr>
          <w:rFonts w:ascii="Arial" w:hAnsi="Arial" w:cs="Arial"/>
          <w:color w:val="000000" w:themeColor="text1"/>
          <w:szCs w:val="24"/>
          <w:lang w:val="cs-CZ" w:eastAsia="de-AT"/>
        </w:rPr>
        <w:t xml:space="preserve">ok </w:t>
      </w:r>
      <w:r w:rsidRPr="0055589B">
        <w:rPr>
          <w:rFonts w:ascii="Arial" w:hAnsi="Arial" w:cs="Arial"/>
          <w:color w:val="000000" w:themeColor="text1"/>
          <w:szCs w:val="24"/>
          <w:lang w:val="cs-CZ" w:eastAsia="de-AT"/>
        </w:rPr>
        <w:t>2</w:t>
      </w:r>
    </w:p>
    <w:p w14:paraId="0F619845" w14:textId="3B58B7AC" w:rsidR="005A31FB" w:rsidRPr="0055589B" w:rsidRDefault="005A31FB" w:rsidP="007F006A">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Nastavení KPI subjektu / divize na R</w:t>
      </w:r>
      <w:r w:rsidR="00EA0A22">
        <w:rPr>
          <w:rFonts w:ascii="Arial" w:hAnsi="Arial" w:cs="Arial"/>
          <w:color w:val="000000" w:themeColor="text1"/>
          <w:szCs w:val="24"/>
          <w:lang w:val="cs-CZ" w:eastAsia="de-AT"/>
        </w:rPr>
        <w:t>ok</w:t>
      </w:r>
      <w:r w:rsidRPr="0055589B">
        <w:rPr>
          <w:rFonts w:ascii="Arial" w:hAnsi="Arial" w:cs="Arial"/>
          <w:color w:val="000000" w:themeColor="text1"/>
          <w:szCs w:val="24"/>
          <w:lang w:val="cs-CZ" w:eastAsia="de-AT"/>
        </w:rPr>
        <w:t>1</w:t>
      </w:r>
      <w:r w:rsidRPr="0055589B">
        <w:rPr>
          <w:rFonts w:ascii="Arial" w:hAnsi="Arial" w:cs="Arial"/>
          <w:color w:val="000000" w:themeColor="text1"/>
          <w:szCs w:val="24"/>
          <w:lang w:val="cs-CZ" w:eastAsia="de-AT"/>
        </w:rPr>
        <w:tab/>
      </w:r>
      <w:r w:rsidRPr="0055589B">
        <w:rPr>
          <w:rFonts w:ascii="Arial" w:hAnsi="Arial" w:cs="Arial"/>
          <w:color w:val="000000" w:themeColor="text1"/>
          <w:szCs w:val="24"/>
          <w:lang w:val="cs-CZ" w:eastAsia="de-AT"/>
        </w:rPr>
        <w:tab/>
        <w:t>Zhodnocení KPI subjektu / divize v R</w:t>
      </w:r>
      <w:r w:rsidR="00EA0A22">
        <w:rPr>
          <w:rFonts w:ascii="Arial" w:hAnsi="Arial" w:cs="Arial"/>
          <w:color w:val="000000" w:themeColor="text1"/>
          <w:szCs w:val="24"/>
          <w:lang w:val="cs-CZ" w:eastAsia="de-AT"/>
        </w:rPr>
        <w:t>oce</w:t>
      </w:r>
      <w:r w:rsidRPr="0055589B">
        <w:rPr>
          <w:rFonts w:ascii="Arial" w:hAnsi="Arial" w:cs="Arial"/>
          <w:color w:val="000000" w:themeColor="text1"/>
          <w:szCs w:val="24"/>
          <w:lang w:val="cs-CZ" w:eastAsia="de-AT"/>
        </w:rPr>
        <w:t>1</w:t>
      </w:r>
    </w:p>
    <w:p w14:paraId="52A1153C" w14:textId="41CE1DFD" w:rsidR="005A31FB" w:rsidRPr="0055589B" w:rsidRDefault="00693441" w:rsidP="007F006A">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___________________ </w:t>
      </w:r>
    </w:p>
    <w:p w14:paraId="3FE05E69" w14:textId="1BCC3BD7"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Bonusový fond lze rozdělit na</w:t>
      </w:r>
      <w:r w:rsidR="005A31FB" w:rsidRPr="0055589B">
        <w:rPr>
          <w:rFonts w:ascii="Arial" w:hAnsi="Arial" w:cs="Arial"/>
          <w:color w:val="000000" w:themeColor="text1"/>
          <w:szCs w:val="24"/>
          <w:lang w:val="cs-CZ" w:eastAsia="de-AT"/>
        </w:rPr>
        <w:t xml:space="preserve"> jednotlivé</w:t>
      </w:r>
      <w:r w:rsidRPr="0055589B">
        <w:rPr>
          <w:rFonts w:ascii="Arial" w:hAnsi="Arial" w:cs="Arial"/>
          <w:color w:val="000000" w:themeColor="text1"/>
          <w:szCs w:val="24"/>
          <w:lang w:val="cs-CZ" w:eastAsia="de-AT"/>
        </w:rPr>
        <w:t xml:space="preserve"> segmenty (např. bonusový </w:t>
      </w:r>
      <w:r w:rsidR="005A31FB" w:rsidRPr="0055589B">
        <w:rPr>
          <w:rFonts w:ascii="Arial" w:hAnsi="Arial" w:cs="Arial"/>
          <w:color w:val="000000" w:themeColor="text1"/>
          <w:szCs w:val="24"/>
          <w:lang w:val="cs-CZ" w:eastAsia="de-AT"/>
        </w:rPr>
        <w:t>fond</w:t>
      </w:r>
      <w:r w:rsidRPr="0055589B">
        <w:rPr>
          <w:rFonts w:ascii="Arial" w:hAnsi="Arial" w:cs="Arial"/>
          <w:color w:val="000000" w:themeColor="text1"/>
          <w:szCs w:val="24"/>
          <w:lang w:val="cs-CZ" w:eastAsia="de-AT"/>
        </w:rPr>
        <w:t xml:space="preserve"> pro členy </w:t>
      </w:r>
      <w:r w:rsidR="007E4DE3" w:rsidRPr="0055589B">
        <w:rPr>
          <w:rFonts w:ascii="Arial" w:hAnsi="Arial" w:cs="Arial"/>
          <w:color w:val="000000" w:themeColor="text1"/>
          <w:szCs w:val="24"/>
          <w:lang w:val="cs-CZ" w:eastAsia="de-AT"/>
        </w:rPr>
        <w:t>Představenst</w:t>
      </w:r>
      <w:r w:rsidRPr="0055589B">
        <w:rPr>
          <w:rFonts w:ascii="Arial" w:hAnsi="Arial" w:cs="Arial"/>
          <w:color w:val="000000" w:themeColor="text1"/>
          <w:szCs w:val="24"/>
          <w:lang w:val="cs-CZ" w:eastAsia="de-AT"/>
        </w:rPr>
        <w:t xml:space="preserve">va, </w:t>
      </w:r>
      <w:r w:rsidR="007E4DE3" w:rsidRPr="0055589B">
        <w:rPr>
          <w:rFonts w:ascii="Arial" w:hAnsi="Arial" w:cs="Arial"/>
          <w:color w:val="000000" w:themeColor="text1"/>
          <w:szCs w:val="24"/>
          <w:lang w:val="cs-CZ" w:eastAsia="de-AT"/>
        </w:rPr>
        <w:t>Představenst</w:t>
      </w:r>
      <w:r w:rsidR="005A31FB" w:rsidRPr="0055589B">
        <w:rPr>
          <w:rFonts w:ascii="Arial" w:hAnsi="Arial" w:cs="Arial"/>
          <w:color w:val="000000" w:themeColor="text1"/>
          <w:szCs w:val="24"/>
          <w:lang w:val="cs-CZ" w:eastAsia="de-AT"/>
        </w:rPr>
        <w:t>vo -</w:t>
      </w:r>
      <w:r w:rsidRPr="0055589B">
        <w:rPr>
          <w:rFonts w:ascii="Arial" w:hAnsi="Arial" w:cs="Arial"/>
          <w:color w:val="000000" w:themeColor="text1"/>
          <w:szCs w:val="24"/>
          <w:lang w:val="cs-CZ" w:eastAsia="de-AT"/>
        </w:rPr>
        <w:t>1, investiční diviz</w:t>
      </w:r>
      <w:r w:rsidR="005A31FB" w:rsidRPr="0055589B">
        <w:rPr>
          <w:rFonts w:ascii="Arial" w:hAnsi="Arial" w:cs="Arial"/>
          <w:color w:val="000000" w:themeColor="text1"/>
          <w:szCs w:val="24"/>
          <w:lang w:val="cs-CZ" w:eastAsia="de-AT"/>
        </w:rPr>
        <w:t>i</w:t>
      </w:r>
      <w:r w:rsidRPr="0055589B">
        <w:rPr>
          <w:rFonts w:ascii="Arial" w:hAnsi="Arial" w:cs="Arial"/>
          <w:color w:val="000000" w:themeColor="text1"/>
          <w:szCs w:val="24"/>
          <w:lang w:val="cs-CZ" w:eastAsia="de-AT"/>
        </w:rPr>
        <w:t>, prodej, ostatní zaměstnanc</w:t>
      </w:r>
      <w:r w:rsidR="005A31FB" w:rsidRPr="0055589B">
        <w:rPr>
          <w:rFonts w:ascii="Arial" w:hAnsi="Arial" w:cs="Arial"/>
          <w:color w:val="000000" w:themeColor="text1"/>
          <w:szCs w:val="24"/>
          <w:lang w:val="cs-CZ" w:eastAsia="de-AT"/>
        </w:rPr>
        <w:t>e</w:t>
      </w:r>
      <w:r w:rsidRPr="0055589B">
        <w:rPr>
          <w:rFonts w:ascii="Arial" w:hAnsi="Arial" w:cs="Arial"/>
          <w:color w:val="000000" w:themeColor="text1"/>
          <w:szCs w:val="24"/>
          <w:lang w:val="cs-CZ" w:eastAsia="de-AT"/>
        </w:rPr>
        <w:t xml:space="preserve">). Na tyto segmenty se mohou vztahovat různá kritéria/ukazatele, ačkoliv je </w:t>
      </w:r>
      <w:r w:rsidR="005A31FB" w:rsidRPr="0055589B">
        <w:rPr>
          <w:rFonts w:ascii="Arial" w:hAnsi="Arial" w:cs="Arial"/>
          <w:color w:val="000000" w:themeColor="text1"/>
          <w:szCs w:val="24"/>
          <w:lang w:val="cs-CZ" w:eastAsia="de-AT"/>
        </w:rPr>
        <w:t xml:space="preserve">nutné aplikovat nejméně </w:t>
      </w:r>
      <w:r w:rsidRPr="0055589B">
        <w:rPr>
          <w:rFonts w:ascii="Arial" w:hAnsi="Arial" w:cs="Arial"/>
          <w:color w:val="000000" w:themeColor="text1"/>
          <w:szCs w:val="24"/>
          <w:lang w:val="cs-CZ" w:eastAsia="de-AT"/>
        </w:rPr>
        <w:t xml:space="preserve">níže uvedená kritéria. </w:t>
      </w:r>
    </w:p>
    <w:p w14:paraId="1D92A61B" w14:textId="1903B9A4"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Bonusový fond se </w:t>
      </w:r>
      <w:r w:rsidR="005A31FB" w:rsidRPr="0055589B">
        <w:rPr>
          <w:rFonts w:ascii="Arial" w:hAnsi="Arial" w:cs="Arial"/>
          <w:color w:val="000000" w:themeColor="text1"/>
          <w:szCs w:val="24"/>
          <w:lang w:val="cs-CZ" w:eastAsia="de-AT"/>
        </w:rPr>
        <w:t xml:space="preserve">posuzuje nejméně </w:t>
      </w:r>
      <w:r w:rsidRPr="0055589B">
        <w:rPr>
          <w:rFonts w:ascii="Arial" w:hAnsi="Arial" w:cs="Arial"/>
          <w:color w:val="000000" w:themeColor="text1"/>
          <w:szCs w:val="24"/>
          <w:lang w:val="cs-CZ" w:eastAsia="de-AT"/>
        </w:rPr>
        <w:t>podle následujících kritérií/ukazatelů:</w:t>
      </w:r>
    </w:p>
    <w:p w14:paraId="1DFB29FC" w14:textId="018F447C" w:rsidR="00224561" w:rsidRPr="0055589B" w:rsidRDefault="00224561" w:rsidP="00224561">
      <w:pPr>
        <w:numPr>
          <w:ilvl w:val="0"/>
          <w:numId w:val="15"/>
        </w:numPr>
        <w:spacing w:after="200" w:line="240"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Finanční výsledky společnosti Erste Asset Management GmbH (0</w:t>
      </w:r>
      <w:r w:rsidR="003C2422"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w:t>
      </w:r>
      <w:r w:rsidR="003C2422"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w:t>
      </w:r>
      <w:r w:rsidR="003C2422"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120</w:t>
      </w:r>
      <w:r w:rsidR="003C2422"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w:t>
      </w:r>
    </w:p>
    <w:p w14:paraId="478669A9" w14:textId="1EAEA8F8" w:rsidR="00224561" w:rsidRPr="0055589B" w:rsidRDefault="00850ACA" w:rsidP="00224561">
      <w:pPr>
        <w:numPr>
          <w:ilvl w:val="0"/>
          <w:numId w:val="15"/>
        </w:numPr>
        <w:spacing w:after="20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KPI d</w:t>
      </w:r>
      <w:r w:rsidR="00224561" w:rsidRPr="0055589B">
        <w:rPr>
          <w:rFonts w:ascii="Arial" w:hAnsi="Arial" w:cs="Arial"/>
          <w:color w:val="000000" w:themeColor="text1"/>
          <w:szCs w:val="24"/>
          <w:lang w:val="cs-CZ" w:eastAsia="de-AT"/>
        </w:rPr>
        <w:t>ivize/společnost</w:t>
      </w:r>
      <w:r w:rsidRPr="0055589B">
        <w:rPr>
          <w:rFonts w:ascii="Arial" w:hAnsi="Arial" w:cs="Arial"/>
          <w:color w:val="000000" w:themeColor="text1"/>
          <w:szCs w:val="24"/>
          <w:lang w:val="cs-CZ" w:eastAsia="de-AT"/>
        </w:rPr>
        <w:t xml:space="preserve">i, jsou-li nastaveny </w:t>
      </w:r>
      <w:r w:rsidR="00224561" w:rsidRPr="0055589B">
        <w:rPr>
          <w:rFonts w:ascii="Arial" w:hAnsi="Arial" w:cs="Arial"/>
          <w:color w:val="000000" w:themeColor="text1"/>
          <w:szCs w:val="24"/>
          <w:lang w:val="cs-CZ" w:eastAsia="de-AT"/>
        </w:rPr>
        <w:t>(0</w:t>
      </w:r>
      <w:r w:rsidR="003C2422" w:rsidRPr="0055589B">
        <w:rPr>
          <w:rFonts w:ascii="Arial" w:hAnsi="Arial" w:cs="Arial"/>
          <w:color w:val="000000" w:themeColor="text1"/>
          <w:szCs w:val="24"/>
          <w:lang w:val="cs-CZ" w:eastAsia="de-AT"/>
        </w:rPr>
        <w:t xml:space="preserve"> </w:t>
      </w:r>
      <w:r w:rsidR="00224561" w:rsidRPr="0055589B">
        <w:rPr>
          <w:rFonts w:ascii="Arial" w:hAnsi="Arial" w:cs="Arial"/>
          <w:color w:val="000000" w:themeColor="text1"/>
          <w:szCs w:val="24"/>
          <w:lang w:val="cs-CZ" w:eastAsia="de-AT"/>
        </w:rPr>
        <w:t>%</w:t>
      </w:r>
      <w:r w:rsidR="003C2422" w:rsidRPr="0055589B">
        <w:rPr>
          <w:rFonts w:ascii="Arial" w:hAnsi="Arial" w:cs="Arial"/>
          <w:color w:val="000000" w:themeColor="text1"/>
          <w:szCs w:val="24"/>
          <w:lang w:val="cs-CZ" w:eastAsia="de-AT"/>
        </w:rPr>
        <w:t xml:space="preserve"> </w:t>
      </w:r>
      <w:r w:rsidR="00224561" w:rsidRPr="0055589B">
        <w:rPr>
          <w:rFonts w:ascii="Arial" w:hAnsi="Arial" w:cs="Arial"/>
          <w:color w:val="000000" w:themeColor="text1"/>
          <w:szCs w:val="24"/>
          <w:lang w:val="cs-CZ" w:eastAsia="de-AT"/>
        </w:rPr>
        <w:t>-</w:t>
      </w:r>
      <w:r w:rsidR="003C2422" w:rsidRPr="0055589B">
        <w:rPr>
          <w:rFonts w:ascii="Arial" w:hAnsi="Arial" w:cs="Arial"/>
          <w:color w:val="000000" w:themeColor="text1"/>
          <w:szCs w:val="24"/>
          <w:lang w:val="cs-CZ" w:eastAsia="de-AT"/>
        </w:rPr>
        <w:t xml:space="preserve"> </w:t>
      </w:r>
      <w:r w:rsidR="00224561" w:rsidRPr="0055589B">
        <w:rPr>
          <w:rFonts w:ascii="Arial" w:hAnsi="Arial" w:cs="Arial"/>
          <w:color w:val="000000" w:themeColor="text1"/>
          <w:szCs w:val="24"/>
          <w:lang w:val="cs-CZ" w:eastAsia="de-AT"/>
        </w:rPr>
        <w:t>120</w:t>
      </w:r>
      <w:r w:rsidR="003C2422" w:rsidRPr="0055589B">
        <w:rPr>
          <w:rFonts w:ascii="Arial" w:hAnsi="Arial" w:cs="Arial"/>
          <w:color w:val="000000" w:themeColor="text1"/>
          <w:szCs w:val="24"/>
          <w:lang w:val="cs-CZ" w:eastAsia="de-AT"/>
        </w:rPr>
        <w:t xml:space="preserve"> </w:t>
      </w:r>
      <w:r w:rsidR="00224561" w:rsidRPr="0055589B">
        <w:rPr>
          <w:rFonts w:ascii="Arial" w:hAnsi="Arial" w:cs="Arial"/>
          <w:color w:val="000000" w:themeColor="text1"/>
          <w:szCs w:val="24"/>
          <w:lang w:val="cs-CZ" w:eastAsia="de-AT"/>
        </w:rPr>
        <w:t>%).</w:t>
      </w:r>
    </w:p>
    <w:p w14:paraId="0A8BA2C5" w14:textId="29EC97B9" w:rsidR="00224561" w:rsidRPr="00136253" w:rsidRDefault="003C175E" w:rsidP="00136253">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Bonusový fond se upravuje na základě zh</w:t>
      </w:r>
      <w:r w:rsidR="00224561" w:rsidRPr="0055589B">
        <w:rPr>
          <w:rFonts w:ascii="Arial" w:hAnsi="Arial" w:cs="Arial"/>
          <w:color w:val="000000" w:themeColor="text1"/>
          <w:szCs w:val="24"/>
          <w:lang w:val="cs-CZ" w:eastAsia="de-AT"/>
        </w:rPr>
        <w:t>odnocení těchto kritérií</w:t>
      </w:r>
      <w:r w:rsidRPr="0055589B">
        <w:rPr>
          <w:rFonts w:ascii="Arial" w:hAnsi="Arial" w:cs="Arial"/>
          <w:color w:val="000000" w:themeColor="text1"/>
          <w:szCs w:val="24"/>
          <w:lang w:val="cs-CZ" w:eastAsia="de-AT"/>
        </w:rPr>
        <w:t xml:space="preserve">. </w:t>
      </w:r>
      <w:r w:rsidR="00224561" w:rsidRPr="0055589B">
        <w:rPr>
          <w:rFonts w:ascii="Arial" w:hAnsi="Arial" w:cs="Arial"/>
          <w:color w:val="000000" w:themeColor="text1"/>
          <w:szCs w:val="24"/>
          <w:lang w:val="cs-CZ" w:eastAsia="de-AT"/>
        </w:rPr>
        <w:t xml:space="preserve">Bonusový fond ex-ante </w:t>
      </w:r>
      <w:r w:rsidRPr="0055589B">
        <w:rPr>
          <w:rFonts w:ascii="Arial" w:hAnsi="Arial" w:cs="Arial"/>
          <w:color w:val="000000" w:themeColor="text1"/>
          <w:szCs w:val="24"/>
          <w:lang w:val="cs-CZ" w:eastAsia="de-AT"/>
        </w:rPr>
        <w:t>se</w:t>
      </w:r>
      <w:r w:rsidR="00224561" w:rsidRPr="0055589B">
        <w:rPr>
          <w:rFonts w:ascii="Arial" w:hAnsi="Arial" w:cs="Arial"/>
          <w:color w:val="000000" w:themeColor="text1"/>
          <w:szCs w:val="24"/>
          <w:lang w:val="cs-CZ" w:eastAsia="de-AT"/>
        </w:rPr>
        <w:t xml:space="preserve"> uprav</w:t>
      </w:r>
      <w:r w:rsidRPr="0055589B">
        <w:rPr>
          <w:rFonts w:ascii="Arial" w:hAnsi="Arial" w:cs="Arial"/>
          <w:color w:val="000000" w:themeColor="text1"/>
          <w:szCs w:val="24"/>
          <w:lang w:val="cs-CZ" w:eastAsia="de-AT"/>
        </w:rPr>
        <w:t xml:space="preserve">uje o činitele </w:t>
      </w:r>
      <w:r w:rsidR="00224561" w:rsidRPr="0055589B">
        <w:rPr>
          <w:rFonts w:ascii="Arial" w:hAnsi="Arial" w:cs="Arial"/>
          <w:color w:val="000000" w:themeColor="text1"/>
          <w:szCs w:val="24"/>
          <w:lang w:val="cs-CZ" w:eastAsia="de-AT"/>
        </w:rPr>
        <w:t xml:space="preserve">bonusového </w:t>
      </w:r>
      <w:r w:rsidRPr="0055589B">
        <w:rPr>
          <w:rFonts w:ascii="Arial" w:hAnsi="Arial" w:cs="Arial"/>
          <w:color w:val="000000" w:themeColor="text1"/>
          <w:szCs w:val="24"/>
          <w:lang w:val="cs-CZ" w:eastAsia="de-AT"/>
        </w:rPr>
        <w:t xml:space="preserve">fondu, </w:t>
      </w:r>
      <w:r w:rsidR="00224561" w:rsidRPr="0055589B">
        <w:rPr>
          <w:rFonts w:ascii="Arial" w:hAnsi="Arial" w:cs="Arial"/>
          <w:color w:val="000000" w:themeColor="text1"/>
          <w:szCs w:val="24"/>
          <w:lang w:val="cs-CZ" w:eastAsia="de-AT"/>
        </w:rPr>
        <w:t>který se může pohybovat mezi 0</w:t>
      </w:r>
      <w:r w:rsidRPr="0055589B">
        <w:rPr>
          <w:rFonts w:ascii="Arial" w:hAnsi="Arial" w:cs="Arial"/>
          <w:color w:val="000000" w:themeColor="text1"/>
          <w:szCs w:val="24"/>
          <w:lang w:val="cs-CZ" w:eastAsia="de-AT"/>
        </w:rPr>
        <w:t> </w:t>
      </w:r>
      <w:r w:rsidR="00224561" w:rsidRPr="0055589B">
        <w:rPr>
          <w:rFonts w:ascii="Arial" w:hAnsi="Arial" w:cs="Arial"/>
          <w:color w:val="000000" w:themeColor="text1"/>
          <w:szCs w:val="24"/>
          <w:lang w:val="cs-CZ" w:eastAsia="de-AT"/>
        </w:rPr>
        <w:t>% a</w:t>
      </w:r>
      <w:r w:rsidRPr="0055589B">
        <w:rPr>
          <w:rFonts w:ascii="Arial" w:hAnsi="Arial" w:cs="Arial"/>
          <w:color w:val="000000" w:themeColor="text1"/>
          <w:szCs w:val="24"/>
          <w:lang w:val="cs-CZ" w:eastAsia="de-AT"/>
        </w:rPr>
        <w:t>ž</w:t>
      </w:r>
      <w:r w:rsidR="00224561" w:rsidRPr="0055589B">
        <w:rPr>
          <w:rFonts w:ascii="Arial" w:hAnsi="Arial" w:cs="Arial"/>
          <w:color w:val="000000" w:themeColor="text1"/>
          <w:szCs w:val="24"/>
          <w:lang w:val="cs-CZ" w:eastAsia="de-AT"/>
        </w:rPr>
        <w:t xml:space="preserve"> 120</w:t>
      </w:r>
      <w:r w:rsidRPr="0055589B">
        <w:rPr>
          <w:rFonts w:ascii="Arial" w:hAnsi="Arial" w:cs="Arial"/>
          <w:color w:val="000000" w:themeColor="text1"/>
          <w:szCs w:val="24"/>
          <w:lang w:val="cs-CZ" w:eastAsia="de-AT"/>
        </w:rPr>
        <w:t> </w:t>
      </w:r>
      <w:r w:rsidR="00224561"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 xml:space="preserve">Činitel </w:t>
      </w:r>
      <w:r w:rsidR="00224561" w:rsidRPr="0055589B">
        <w:rPr>
          <w:rFonts w:ascii="Arial" w:hAnsi="Arial" w:cs="Arial"/>
          <w:color w:val="000000" w:themeColor="text1"/>
          <w:szCs w:val="24"/>
          <w:lang w:val="cs-CZ" w:eastAsia="de-AT"/>
        </w:rPr>
        <w:t>bonusového fondu pod 100</w:t>
      </w:r>
      <w:r w:rsidR="00215E3B" w:rsidRPr="0055589B">
        <w:rPr>
          <w:rFonts w:ascii="Arial" w:hAnsi="Arial" w:cs="Arial"/>
          <w:color w:val="000000" w:themeColor="text1"/>
          <w:szCs w:val="24"/>
          <w:lang w:val="cs-CZ" w:eastAsia="de-AT"/>
        </w:rPr>
        <w:t xml:space="preserve"> </w:t>
      </w:r>
      <w:r w:rsidR="00224561" w:rsidRPr="0055589B">
        <w:rPr>
          <w:rFonts w:ascii="Arial" w:hAnsi="Arial" w:cs="Arial"/>
          <w:color w:val="000000" w:themeColor="text1"/>
          <w:szCs w:val="24"/>
          <w:lang w:val="cs-CZ" w:eastAsia="de-AT"/>
        </w:rPr>
        <w:t xml:space="preserve">% se považuje za </w:t>
      </w:r>
      <w:r w:rsidRPr="0055589B">
        <w:rPr>
          <w:rFonts w:ascii="Arial" w:hAnsi="Arial" w:cs="Arial"/>
          <w:color w:val="000000" w:themeColor="text1"/>
          <w:szCs w:val="24"/>
          <w:lang w:val="cs-CZ" w:eastAsia="de-AT"/>
        </w:rPr>
        <w:t>„m</w:t>
      </w:r>
      <w:r w:rsidR="00224561" w:rsidRPr="0055589B">
        <w:rPr>
          <w:rFonts w:ascii="Arial" w:hAnsi="Arial" w:cs="Arial"/>
          <w:color w:val="000000" w:themeColor="text1"/>
          <w:szCs w:val="24"/>
          <w:lang w:val="cs-CZ" w:eastAsia="de-AT"/>
        </w:rPr>
        <w:t xml:space="preserve">alus" vzhledem k hodnocení výkonnosti </w:t>
      </w:r>
      <w:r w:rsidRPr="0055589B">
        <w:rPr>
          <w:rFonts w:ascii="Arial" w:hAnsi="Arial" w:cs="Arial"/>
          <w:color w:val="000000" w:themeColor="text1"/>
          <w:szCs w:val="24"/>
          <w:lang w:val="cs-CZ" w:eastAsia="de-AT"/>
        </w:rPr>
        <w:t>u</w:t>
      </w:r>
      <w:r w:rsidR="00224561" w:rsidRPr="0055589B">
        <w:rPr>
          <w:rFonts w:ascii="Arial" w:hAnsi="Arial" w:cs="Arial"/>
          <w:color w:val="000000" w:themeColor="text1"/>
          <w:szCs w:val="24"/>
          <w:lang w:val="cs-CZ" w:eastAsia="de-AT"/>
        </w:rPr>
        <w:t xml:space="preserve"> výše uvedených kritériích. </w:t>
      </w:r>
      <w:r w:rsidRPr="0055589B">
        <w:rPr>
          <w:rFonts w:ascii="Arial" w:hAnsi="Arial" w:cs="Arial"/>
          <w:color w:val="000000" w:themeColor="text1"/>
          <w:szCs w:val="24"/>
          <w:lang w:val="cs-CZ" w:eastAsia="de-AT"/>
        </w:rPr>
        <w:t xml:space="preserve">Pro různé kategorie zaměstnanců lze použít </w:t>
      </w:r>
      <w:r w:rsidR="00224561" w:rsidRPr="0055589B">
        <w:rPr>
          <w:rFonts w:ascii="Arial" w:hAnsi="Arial" w:cs="Arial"/>
          <w:color w:val="000000" w:themeColor="text1"/>
          <w:szCs w:val="24"/>
          <w:lang w:val="cs-CZ" w:eastAsia="de-AT"/>
        </w:rPr>
        <w:t xml:space="preserve">různé </w:t>
      </w:r>
      <w:r w:rsidRPr="0055589B">
        <w:rPr>
          <w:rFonts w:ascii="Arial" w:hAnsi="Arial" w:cs="Arial"/>
          <w:color w:val="000000" w:themeColor="text1"/>
          <w:szCs w:val="24"/>
          <w:lang w:val="cs-CZ" w:eastAsia="de-AT"/>
        </w:rPr>
        <w:t xml:space="preserve">činitele </w:t>
      </w:r>
      <w:r w:rsidR="00224561" w:rsidRPr="0055589B">
        <w:rPr>
          <w:rFonts w:ascii="Arial" w:hAnsi="Arial" w:cs="Arial"/>
          <w:color w:val="000000" w:themeColor="text1"/>
          <w:szCs w:val="24"/>
          <w:lang w:val="cs-CZ" w:eastAsia="de-AT"/>
        </w:rPr>
        <w:t xml:space="preserve">bonusového </w:t>
      </w:r>
      <w:r w:rsidRPr="0055589B">
        <w:rPr>
          <w:rFonts w:ascii="Arial" w:hAnsi="Arial" w:cs="Arial"/>
          <w:color w:val="000000" w:themeColor="text1"/>
          <w:szCs w:val="24"/>
          <w:lang w:val="cs-CZ" w:eastAsia="de-AT"/>
        </w:rPr>
        <w:t xml:space="preserve">fondu. </w:t>
      </w:r>
      <w:r w:rsidR="008C4408" w:rsidRPr="0055589B">
        <w:rPr>
          <w:rFonts w:ascii="Arial" w:hAnsi="Arial" w:cs="Arial"/>
          <w:color w:val="000000" w:themeColor="text1"/>
          <w:szCs w:val="24"/>
          <w:lang w:val="cs-CZ" w:eastAsia="de-AT"/>
        </w:rPr>
        <w:t>Představenstvo</w:t>
      </w:r>
      <w:r w:rsidR="00224561" w:rsidRPr="0055589B">
        <w:rPr>
          <w:rFonts w:ascii="Arial" w:hAnsi="Arial" w:cs="Arial"/>
          <w:color w:val="000000" w:themeColor="text1"/>
          <w:szCs w:val="24"/>
          <w:lang w:val="cs-CZ" w:eastAsia="de-AT"/>
        </w:rPr>
        <w:t xml:space="preserve"> společnosti rozhoduje o výši bonusového fondu pro dané </w:t>
      </w:r>
      <w:r w:rsidRPr="0055589B">
        <w:rPr>
          <w:rFonts w:ascii="Arial" w:hAnsi="Arial" w:cs="Arial"/>
          <w:color w:val="000000" w:themeColor="text1"/>
          <w:szCs w:val="24"/>
          <w:lang w:val="cs-CZ" w:eastAsia="de-AT"/>
        </w:rPr>
        <w:t xml:space="preserve">hodnocené </w:t>
      </w:r>
      <w:r w:rsidR="00224561" w:rsidRPr="0055589B">
        <w:rPr>
          <w:rFonts w:ascii="Arial" w:hAnsi="Arial" w:cs="Arial"/>
          <w:color w:val="000000" w:themeColor="text1"/>
          <w:szCs w:val="24"/>
          <w:lang w:val="cs-CZ" w:eastAsia="de-AT"/>
        </w:rPr>
        <w:t>období. Výbor pro odměňování tyto rozhodnutí pře</w:t>
      </w:r>
      <w:r w:rsidRPr="0055589B">
        <w:rPr>
          <w:rFonts w:ascii="Arial" w:hAnsi="Arial" w:cs="Arial"/>
          <w:color w:val="000000" w:themeColor="text1"/>
          <w:szCs w:val="24"/>
          <w:lang w:val="cs-CZ" w:eastAsia="de-AT"/>
        </w:rPr>
        <w:t xml:space="preserve">zkoumá a schvaluje </w:t>
      </w:r>
      <w:r w:rsidR="00224561" w:rsidRPr="0055589B">
        <w:rPr>
          <w:rFonts w:ascii="Arial" w:hAnsi="Arial" w:cs="Arial"/>
          <w:color w:val="000000" w:themeColor="text1"/>
          <w:szCs w:val="24"/>
          <w:lang w:val="cs-CZ" w:eastAsia="de-AT"/>
        </w:rPr>
        <w:t>pokyny a podmínky týkající se bonusového fondu.</w:t>
      </w:r>
    </w:p>
    <w:p w14:paraId="48EA5A6E" w14:textId="77777777" w:rsidR="003D3E30" w:rsidRPr="00136253" w:rsidRDefault="003D3E30" w:rsidP="00136253">
      <w:pPr>
        <w:keepNext/>
        <w:spacing w:before="240" w:after="120" w:line="276" w:lineRule="auto"/>
        <w:jc w:val="both"/>
        <w:outlineLvl w:val="3"/>
        <w:rPr>
          <w:rFonts w:ascii="Arial" w:hAnsi="Arial" w:cs="Arial"/>
          <w:b/>
          <w:bCs/>
          <w:noProof/>
          <w:color w:val="000000" w:themeColor="text1"/>
          <w:szCs w:val="28"/>
          <w:lang w:eastAsia="de-AT"/>
        </w:rPr>
      </w:pPr>
      <w:r w:rsidRPr="00136253">
        <w:rPr>
          <w:rFonts w:ascii="Arial" w:hAnsi="Arial" w:cs="Arial"/>
          <w:b/>
          <w:bCs/>
          <w:noProof/>
          <w:color w:val="000000" w:themeColor="text1"/>
          <w:szCs w:val="28"/>
          <w:lang w:val="cs-CZ" w:eastAsia="de-AT"/>
        </w:rPr>
        <w:t xml:space="preserve">Výplata bonusu a odejmutí již vyplacené variabilní složky odměny </w:t>
      </w:r>
    </w:p>
    <w:p w14:paraId="619C0121" w14:textId="77777777" w:rsidR="003D3E30" w:rsidRPr="00136253" w:rsidRDefault="003D3E30" w:rsidP="00136253">
      <w:pPr>
        <w:keepNext/>
        <w:spacing w:before="240" w:after="120" w:line="276" w:lineRule="auto"/>
        <w:jc w:val="both"/>
        <w:outlineLvl w:val="3"/>
        <w:rPr>
          <w:rFonts w:ascii="Arial" w:hAnsi="Arial" w:cs="Arial"/>
          <w:b/>
          <w:bCs/>
          <w:noProof/>
          <w:color w:val="000000" w:themeColor="text1"/>
          <w:szCs w:val="28"/>
          <w:lang w:eastAsia="de-AT"/>
        </w:rPr>
      </w:pPr>
      <w:r w:rsidRPr="00136253">
        <w:rPr>
          <w:rFonts w:ascii="Arial" w:hAnsi="Arial" w:cs="Arial"/>
          <w:b/>
          <w:bCs/>
          <w:noProof/>
          <w:color w:val="000000" w:themeColor="text1"/>
          <w:szCs w:val="28"/>
          <w:lang w:val="cs-CZ" w:eastAsia="de-AT"/>
        </w:rPr>
        <w:t>Malus a odejmutí bonusu</w:t>
      </w:r>
    </w:p>
    <w:p w14:paraId="38E440A8" w14:textId="77777777" w:rsidR="003D3E30" w:rsidRPr="00136253" w:rsidRDefault="003D3E30" w:rsidP="00136253">
      <w:pPr>
        <w:spacing w:after="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Ujednání o malusu nebo odejmutí bonusu představují explicitní mechanismy pro následnou úpravu rizik, kdy Společnost na základě tohoto mechanismu sama upraví odměnu konkrétního pracovníka (např. snížením přiznané peněžité odměny nebo snížením počtu či hodnoty přiznaných instrumentů). </w:t>
      </w:r>
    </w:p>
    <w:p w14:paraId="08C0A890" w14:textId="5101FA65" w:rsidR="003D3E30" w:rsidRPr="00136253" w:rsidRDefault="003D3E30" w:rsidP="00136253">
      <w:pPr>
        <w:spacing w:after="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V souladu s článkem 94 odst. 1 písm. n) směrnice 2013/36/</w:t>
      </w:r>
      <w:proofErr w:type="gramStart"/>
      <w:r w:rsidRPr="00136253">
        <w:rPr>
          <w:rFonts w:ascii="Arial" w:hAnsi="Arial" w:cs="Arial"/>
          <w:color w:val="000000" w:themeColor="text1"/>
          <w:szCs w:val="24"/>
          <w:lang w:val="cs-CZ" w:eastAsia="de-AT"/>
        </w:rPr>
        <w:t>EU</w:t>
      </w:r>
      <w:proofErr w:type="gramEnd"/>
      <w:r w:rsidRPr="00136253">
        <w:rPr>
          <w:rFonts w:ascii="Arial" w:hAnsi="Arial" w:cs="Arial"/>
          <w:color w:val="000000" w:themeColor="text1"/>
          <w:szCs w:val="24"/>
          <w:lang w:val="cs-CZ" w:eastAsia="de-AT"/>
        </w:rPr>
        <w:t xml:space="preserve"> a aniž by byly dotčeny všeobecné zásady vnitrostátního smluvního a pracovního práva se variabilní odměna přizná v plné výši – se zohledněním jak stávající odměny, tak redukce výplaty částek získaných již v minulosti – pouze v případě, že je udržitelná s ohledem na celkovou finanční situaci Společnosti a že je oprávněná </w:t>
      </w:r>
      <w:r w:rsidRPr="00136253">
        <w:rPr>
          <w:rFonts w:ascii="Arial" w:hAnsi="Arial" w:cs="Arial"/>
          <w:color w:val="000000" w:themeColor="text1"/>
          <w:szCs w:val="24"/>
          <w:lang w:val="cs-CZ" w:eastAsia="de-AT"/>
        </w:rPr>
        <w:lastRenderedPageBreak/>
        <w:t xml:space="preserve">na základě výsledků celé Společnosti, příslušné obchodní jednotky a příslušného pracovníka. Pokud některé z těchto kritérií neumožňuje přiznání bonusu v plné výši, uplatní se ustanovení o malusu nebo </w:t>
      </w:r>
      <w:r w:rsidR="00846797">
        <w:rPr>
          <w:rFonts w:ascii="Arial" w:hAnsi="Arial" w:cs="Arial"/>
          <w:color w:val="000000" w:themeColor="text1"/>
          <w:szCs w:val="24"/>
          <w:lang w:val="cs-CZ" w:eastAsia="de-AT"/>
        </w:rPr>
        <w:t>odejmutí bonusu</w:t>
      </w:r>
      <w:r w:rsidRPr="00136253">
        <w:rPr>
          <w:rFonts w:ascii="Arial" w:hAnsi="Arial" w:cs="Arial"/>
          <w:color w:val="000000" w:themeColor="text1"/>
          <w:szCs w:val="24"/>
          <w:lang w:val="cs-CZ" w:eastAsia="de-AT"/>
        </w:rPr>
        <w:t xml:space="preserve"> až na 100 % celkové variabilní složky odměny. </w:t>
      </w:r>
    </w:p>
    <w:p w14:paraId="620F4838" w14:textId="77777777" w:rsidR="003D3E30" w:rsidRPr="00136253" w:rsidRDefault="003D3E30" w:rsidP="00136253">
      <w:pPr>
        <w:keepNext/>
        <w:spacing w:before="240" w:after="120" w:line="276" w:lineRule="auto"/>
        <w:jc w:val="both"/>
        <w:outlineLvl w:val="3"/>
        <w:rPr>
          <w:rFonts w:ascii="Arial" w:hAnsi="Arial" w:cs="Arial"/>
          <w:b/>
          <w:bCs/>
          <w:noProof/>
          <w:color w:val="000000" w:themeColor="text1"/>
          <w:szCs w:val="28"/>
          <w:lang w:eastAsia="de-AT"/>
        </w:rPr>
      </w:pPr>
      <w:r w:rsidRPr="00136253">
        <w:rPr>
          <w:rFonts w:ascii="Arial" w:hAnsi="Arial" w:cs="Arial"/>
          <w:b/>
          <w:bCs/>
          <w:noProof/>
          <w:color w:val="000000" w:themeColor="text1"/>
          <w:szCs w:val="28"/>
          <w:lang w:val="cs-CZ" w:eastAsia="de-AT"/>
        </w:rPr>
        <w:t>Ustanovení upravující mechanismus malusu a odejmutí bonusu</w:t>
      </w:r>
    </w:p>
    <w:p w14:paraId="7F52771D" w14:textId="77777777" w:rsidR="003D3E30" w:rsidRPr="00136253" w:rsidRDefault="003D3E30" w:rsidP="00136253">
      <w:p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Společnost si vyhrazuje právo odejmout až 100 % variabilní složky odměny v případě, že pracovník: </w:t>
      </w:r>
    </w:p>
    <w:p w14:paraId="19B08D85" w14:textId="77777777" w:rsidR="003D3E30" w:rsidRPr="00136253" w:rsidRDefault="003D3E30" w:rsidP="00136253">
      <w:pPr>
        <w:spacing w:after="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(i) se podílel nebo odpovídal za úmyslné jednání nebo hrubou nedbalost anebo v případě podvodu, který instituci způsobil značnou ztrátu;</w:t>
      </w:r>
    </w:p>
    <w:p w14:paraId="2531F611" w14:textId="77777777" w:rsidR="003D3E30" w:rsidRPr="00136253" w:rsidRDefault="003D3E30" w:rsidP="00136253">
      <w:pPr>
        <w:spacing w:after="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(ii) nesplnil příslušné standardy vhodnosti a slušnosti; </w:t>
      </w:r>
    </w:p>
    <w:p w14:paraId="08B9C059" w14:textId="77777777" w:rsidR="003D3E30" w:rsidRPr="00136253" w:rsidRDefault="003D3E30" w:rsidP="00136253">
      <w:pPr>
        <w:spacing w:after="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(iii) poskytl nepravdivé informace, pokud tyto informace měly nebo mohly přiměřeně mít vliv na hodnocení výkonnosti; </w:t>
      </w:r>
    </w:p>
    <w:p w14:paraId="5914C576" w14:textId="77777777" w:rsidR="003D3E30" w:rsidRDefault="003D3E30" w:rsidP="00136253">
      <w:pPr>
        <w:spacing w:after="0" w:line="276" w:lineRule="auto"/>
        <w:jc w:val="both"/>
        <w:rPr>
          <w:color w:val="000000" w:themeColor="text1"/>
          <w:lang w:eastAsia="de-AT"/>
        </w:rPr>
      </w:pPr>
      <w:r w:rsidRPr="00136253">
        <w:rPr>
          <w:rFonts w:ascii="Arial" w:hAnsi="Arial" w:cs="Arial"/>
          <w:color w:val="000000" w:themeColor="text1"/>
          <w:szCs w:val="24"/>
          <w:lang w:val="cs-CZ" w:eastAsia="de-AT"/>
        </w:rPr>
        <w:t xml:space="preserve">(iv) jeho pracovní poměr je ukončen výpovědí s okamžitou platností v souladu s příslušnými právními předpisy. </w:t>
      </w:r>
    </w:p>
    <w:p w14:paraId="6976E84E" w14:textId="77777777" w:rsidR="003D3E30" w:rsidRPr="00136253" w:rsidRDefault="003D3E30" w:rsidP="00136253">
      <w:pPr>
        <w:spacing w:after="0" w:line="276" w:lineRule="auto"/>
        <w:jc w:val="both"/>
        <w:rPr>
          <w:rFonts w:ascii="Arial" w:hAnsi="Arial" w:cs="Arial"/>
          <w:color w:val="000000" w:themeColor="text1"/>
          <w:szCs w:val="24"/>
          <w:lang w:eastAsia="de-AT"/>
        </w:rPr>
      </w:pPr>
    </w:p>
    <w:p w14:paraId="0CE82360" w14:textId="77777777" w:rsidR="003D3E30" w:rsidRPr="00136253" w:rsidRDefault="003D3E30" w:rsidP="00136253">
      <w:p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Zejména v případech uvedených v bodech (i) a (iv) se dotčeným zaměstnancům nepřiděluje ani nevyplácí variabilní složka odměny, včetně odložené a zadržené části celkové variabilní složky odměny. Mechanismus odnětí variabilní složky odměny se použije na již vyplacené části celkové variabilní složky odměny.   </w:t>
      </w:r>
    </w:p>
    <w:p w14:paraId="40A1D5BE" w14:textId="77777777" w:rsidR="003D3E30" w:rsidRPr="00136253" w:rsidRDefault="003D3E30" w:rsidP="00136253">
      <w:p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Následné úpravy celkové variabilní složky odměny by vždy měly souviset s výsledky nebo podstupovanými riziky. Měly by být prováděny v reakci na skutečné výsledky v oblasti rizik nebo na změny stálých rizik, která souvisejí s činností instituce, pracovní linie či pracovníka. </w:t>
      </w:r>
    </w:p>
    <w:p w14:paraId="1B91B8E3" w14:textId="77777777" w:rsidR="003D3E30" w:rsidRPr="00136253" w:rsidRDefault="003D3E30" w:rsidP="00136253">
      <w:p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Společnost je oprávněna odejmout jakoukoliv variabilní část odměny vyplacené v posledních pěti letech. </w:t>
      </w:r>
    </w:p>
    <w:p w14:paraId="406E8E4B" w14:textId="77777777" w:rsidR="003D3E30" w:rsidRPr="00136253" w:rsidRDefault="003D3E30" w:rsidP="00136253">
      <w:p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V takovém případě Společnost aplikuje nejméně původně použitá kritéria výkonnosti a rizik, aby byla zajištěna souvislost s původním měřením výkonnosti. Kromě výše uvedených kritérií bude Společnost používat specifická kritéria, mimo jiné: </w:t>
      </w:r>
    </w:p>
    <w:p w14:paraId="6C55A511" w14:textId="77777777" w:rsidR="003D3E30" w:rsidRPr="00136253" w:rsidRDefault="003D3E30" w:rsidP="00136253">
      <w:pPr>
        <w:spacing w:after="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a. důkazy o nedovoleném jednání nebo závažném pochybení pracovníka (např. porušení kodexu chování či jiných interních pravidel, zejména ve vztahu k rizikům); </w:t>
      </w:r>
    </w:p>
    <w:p w14:paraId="2CAA6481" w14:textId="77777777" w:rsidR="003D3E30" w:rsidRPr="00136253" w:rsidRDefault="003D3E30" w:rsidP="00136253">
      <w:pPr>
        <w:spacing w:after="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b. zda u instituce a/nebo obchodní jednotky následně dojde k podstatnému poklesu finanční výkonnosti (např. konkrétní obchodní ukazatele);  </w:t>
      </w:r>
    </w:p>
    <w:p w14:paraId="1FDE6EEC" w14:textId="77777777" w:rsidR="003D3E30" w:rsidRPr="00136253" w:rsidRDefault="003D3E30" w:rsidP="00136253">
      <w:pPr>
        <w:spacing w:after="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c. zda v instituci a/nebo obchodní jednotce, v níž dotčený pracovník působí, dojde k podstatnému selhání v oblasti řízení rizik;  </w:t>
      </w:r>
    </w:p>
    <w:p w14:paraId="33522735" w14:textId="77777777" w:rsidR="003D3E30" w:rsidRPr="00136253" w:rsidRDefault="003D3E30" w:rsidP="00136253">
      <w:pPr>
        <w:spacing w:after="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d. podstatné zvýšení hospodářské nebo regulatorní kapitálové základy instituce nebo obchodní jednotky; </w:t>
      </w:r>
    </w:p>
    <w:p w14:paraId="0F4BB397" w14:textId="3FC0B2B8" w:rsidR="003D3E30" w:rsidRPr="00136253" w:rsidRDefault="003D3E30" w:rsidP="00136253">
      <w:pPr>
        <w:spacing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e. jakékoliv regulatorní sankce, kdy jednání dotčeného pracovníka k uložení sankce přispělo.  </w:t>
      </w:r>
    </w:p>
    <w:p w14:paraId="6635563C" w14:textId="3FC0B2B8" w:rsidR="003D3E30" w:rsidRPr="00136253" w:rsidRDefault="003D3E30" w:rsidP="00136253">
      <w:p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O tom, zda k</w:t>
      </w:r>
      <w:r>
        <w:rPr>
          <w:rFonts w:ascii="Arial" w:hAnsi="Arial" w:cs="Arial"/>
          <w:color w:val="000000" w:themeColor="text1"/>
          <w:szCs w:val="24"/>
          <w:lang w:val="cs-CZ" w:eastAsia="de-AT"/>
        </w:rPr>
        <w:t> </w:t>
      </w:r>
      <w:r w:rsidRPr="00136253">
        <w:rPr>
          <w:rFonts w:ascii="Arial" w:hAnsi="Arial" w:cs="Arial"/>
          <w:color w:val="000000" w:themeColor="text1"/>
          <w:szCs w:val="24"/>
          <w:lang w:val="cs-CZ" w:eastAsia="de-AT"/>
        </w:rPr>
        <w:t>takové události došlo, a o aplikaci ustanovení o malusu či odejmutí bonusu a o omezení výplaty rozhoduje představenstvo nebo výbor společnosti pro odměňování.</w:t>
      </w:r>
    </w:p>
    <w:p w14:paraId="7CDDE30B" w14:textId="6CECBC55" w:rsidR="003D3E30" w:rsidRPr="00136253" w:rsidRDefault="003D3E30" w:rsidP="00136253">
      <w:p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V případech, kde je to vhodné, by ustanovení o malusu nebo odejmutí bonusu měla vést ke snížení variabilní složky odměny. Za žádných okolností nesmí explicitní následná úprava rizik vést ke zvýšení původně přiznané variabilní složky odměny anebo, v případě, že již byl uplatněn </w:t>
      </w:r>
      <w:r w:rsidRPr="00136253">
        <w:rPr>
          <w:rFonts w:ascii="Arial" w:hAnsi="Arial" w:cs="Arial"/>
          <w:color w:val="000000" w:themeColor="text1"/>
          <w:szCs w:val="24"/>
          <w:lang w:val="cs-CZ" w:eastAsia="de-AT"/>
        </w:rPr>
        <w:lastRenderedPageBreak/>
        <w:t>malus nebo odejmutí bonusu v minulosti, k opětovnému navýšení snížené variabilní složky odměny.</w:t>
      </w:r>
    </w:p>
    <w:p w14:paraId="675C1E78" w14:textId="77777777" w:rsidR="003D3E30" w:rsidRPr="00136253" w:rsidRDefault="003D3E30" w:rsidP="00136253">
      <w:pPr>
        <w:keepNext/>
        <w:spacing w:before="240" w:after="120" w:line="276" w:lineRule="auto"/>
        <w:jc w:val="both"/>
        <w:outlineLvl w:val="3"/>
        <w:rPr>
          <w:rFonts w:ascii="Arial" w:hAnsi="Arial" w:cs="Arial"/>
          <w:b/>
          <w:bCs/>
          <w:noProof/>
          <w:color w:val="000000" w:themeColor="text1"/>
          <w:szCs w:val="28"/>
          <w:lang w:eastAsia="de-AT"/>
        </w:rPr>
      </w:pPr>
      <w:r w:rsidRPr="00136253">
        <w:rPr>
          <w:rFonts w:ascii="Arial" w:hAnsi="Arial" w:cs="Arial"/>
          <w:b/>
          <w:bCs/>
          <w:noProof/>
          <w:color w:val="000000" w:themeColor="text1"/>
          <w:szCs w:val="28"/>
          <w:lang w:val="cs-CZ" w:eastAsia="de-AT"/>
        </w:rPr>
        <w:t xml:space="preserve">Výplata bonusu ve finančních instrumentech </w:t>
      </w:r>
    </w:p>
    <w:p w14:paraId="5409DD00" w14:textId="7413DE79" w:rsidR="003D3E30" w:rsidRPr="00136253" w:rsidRDefault="003D3E30" w:rsidP="00136253">
      <w:p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Pokud se variabilní složka odměny vyplácí v instrumentech, například ve </w:t>
      </w:r>
      <w:r w:rsidR="00E55B8C">
        <w:rPr>
          <w:rFonts w:ascii="Arial" w:hAnsi="Arial" w:cs="Arial"/>
          <w:color w:val="000000" w:themeColor="text1"/>
          <w:szCs w:val="24"/>
          <w:lang w:val="cs-CZ" w:eastAsia="de-AT"/>
        </w:rPr>
        <w:t xml:space="preserve">tzv. </w:t>
      </w:r>
      <w:r w:rsidRPr="00136253">
        <w:rPr>
          <w:rFonts w:ascii="Arial" w:hAnsi="Arial" w:cs="Arial"/>
          <w:color w:val="000000" w:themeColor="text1"/>
          <w:szCs w:val="24"/>
          <w:lang w:val="cs-CZ" w:eastAsia="de-AT"/>
        </w:rPr>
        <w:t>formě fantomových akcií, certifikátů</w:t>
      </w:r>
      <w:r w:rsidR="006C0B1A">
        <w:rPr>
          <w:rFonts w:ascii="Arial" w:hAnsi="Arial" w:cs="Arial"/>
          <w:color w:val="000000" w:themeColor="text1"/>
          <w:szCs w:val="24"/>
          <w:lang w:val="cs-CZ" w:eastAsia="de-AT"/>
        </w:rPr>
        <w:t>. PSUs (</w:t>
      </w:r>
      <w:r w:rsidR="006C0B1A" w:rsidRPr="006C0B1A">
        <w:rPr>
          <w:rFonts w:ascii="Arial" w:hAnsi="Arial" w:cs="Arial"/>
          <w:color w:val="000000" w:themeColor="text1"/>
          <w:szCs w:val="24"/>
          <w:lang w:val="cs-CZ" w:eastAsia="de-AT"/>
        </w:rPr>
        <w:t>Performance Share Units</w:t>
      </w:r>
      <w:r w:rsidR="006C0B1A">
        <w:rPr>
          <w:rFonts w:ascii="Arial" w:hAnsi="Arial" w:cs="Arial"/>
          <w:color w:val="000000" w:themeColor="text1"/>
          <w:szCs w:val="24"/>
          <w:lang w:val="cs-CZ" w:eastAsia="de-AT"/>
        </w:rPr>
        <w:t>)</w:t>
      </w:r>
      <w:r w:rsidRPr="00136253">
        <w:rPr>
          <w:rFonts w:ascii="Arial" w:hAnsi="Arial" w:cs="Arial"/>
          <w:color w:val="000000" w:themeColor="text1"/>
          <w:szCs w:val="24"/>
          <w:lang w:val="cs-CZ" w:eastAsia="de-AT"/>
        </w:rPr>
        <w:t xml:space="preserve"> nebo jiných instrumentů, pak tyto instrumenty zůstávají Společnosti. Variabilní složka odměny se nevyplácí prostřednictvím nástrojů nebo metod, které umožňují vyhýbat se platným zákonným požadavkům.</w:t>
      </w:r>
    </w:p>
    <w:p w14:paraId="66B8B0AD" w14:textId="020BCB49" w:rsidR="003D3E30" w:rsidRPr="00136253" w:rsidRDefault="003D3E30" w:rsidP="00136253">
      <w:pPr>
        <w:spacing w:after="120" w:line="276" w:lineRule="auto"/>
        <w:jc w:val="both"/>
        <w:rPr>
          <w:rFonts w:ascii="Arial" w:hAnsi="Arial" w:cs="Arial"/>
          <w:color w:val="000000" w:themeColor="text1"/>
          <w:szCs w:val="24"/>
          <w:lang w:val="cs-CZ" w:eastAsia="de-AT"/>
        </w:rPr>
      </w:pPr>
      <w:r w:rsidRPr="00136253">
        <w:rPr>
          <w:rFonts w:ascii="Arial" w:hAnsi="Arial" w:cs="Arial"/>
          <w:color w:val="000000" w:themeColor="text1"/>
          <w:szCs w:val="24"/>
          <w:lang w:val="cs-CZ" w:eastAsia="de-AT"/>
        </w:rPr>
        <w:t>Právo na vypořádání instrumentu zůstává Společnosti i po jeho převodu na zaměstnance. Obecně platí, že po převedení instrumentů na zaměstnance lze uplatnit pravidla upravující právní nároky. Společnost se v příslušných případech ve svých rozhodovacích procesech řídí regulačními pokyny upravujícími variabilní platby.</w:t>
      </w:r>
    </w:p>
    <w:p w14:paraId="29F022A1" w14:textId="77777777" w:rsidR="00224561" w:rsidRPr="0055589B" w:rsidRDefault="00224561" w:rsidP="007F006A">
      <w:pPr>
        <w:keepNext/>
        <w:spacing w:before="240" w:after="120" w:line="276" w:lineRule="auto"/>
        <w:jc w:val="both"/>
        <w:outlineLvl w:val="3"/>
        <w:rPr>
          <w:rFonts w:ascii="Arial" w:eastAsia="Times New Roman" w:hAnsi="Arial" w:cs="Arial"/>
          <w:b/>
          <w:bCs/>
          <w:noProof/>
          <w:color w:val="000000" w:themeColor="text1"/>
          <w:szCs w:val="28"/>
          <w:lang w:val="cs-CZ" w:eastAsia="de-AT"/>
        </w:rPr>
      </w:pPr>
      <w:r w:rsidRPr="0055589B">
        <w:rPr>
          <w:rFonts w:ascii="Arial" w:hAnsi="Arial" w:cs="Arial"/>
          <w:b/>
          <w:bCs/>
          <w:noProof/>
          <w:color w:val="000000" w:themeColor="text1"/>
          <w:szCs w:val="28"/>
          <w:lang w:val="cs-CZ" w:eastAsia="de-AT"/>
        </w:rPr>
        <w:t>Nepeněžitý bonus</w:t>
      </w:r>
    </w:p>
    <w:p w14:paraId="7C6D43C4" w14:textId="7FA959C1"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Podmínky stanovené v</w:t>
      </w:r>
      <w:r w:rsidR="005E4F49" w:rsidRPr="0055589B">
        <w:rPr>
          <w:rFonts w:ascii="Arial" w:hAnsi="Arial" w:cs="Arial"/>
          <w:color w:val="000000" w:themeColor="text1"/>
          <w:szCs w:val="24"/>
          <w:lang w:val="cs-CZ" w:eastAsia="de-AT"/>
        </w:rPr>
        <w:t> </w:t>
      </w:r>
      <w:r w:rsidRPr="0055589B">
        <w:rPr>
          <w:rFonts w:ascii="Arial" w:hAnsi="Arial" w:cs="Arial"/>
          <w:color w:val="000000" w:themeColor="text1"/>
          <w:szCs w:val="24"/>
          <w:lang w:val="cs-CZ" w:eastAsia="de-AT"/>
        </w:rPr>
        <w:t>t</w:t>
      </w:r>
      <w:r w:rsidR="005E4F49" w:rsidRPr="0055589B">
        <w:rPr>
          <w:rFonts w:ascii="Arial" w:hAnsi="Arial" w:cs="Arial"/>
          <w:color w:val="000000" w:themeColor="text1"/>
          <w:szCs w:val="24"/>
          <w:lang w:val="cs-CZ" w:eastAsia="de-AT"/>
        </w:rPr>
        <w:t xml:space="preserve">éto politice a </w:t>
      </w:r>
      <w:r w:rsidRPr="0055589B">
        <w:rPr>
          <w:rFonts w:ascii="Arial" w:hAnsi="Arial" w:cs="Arial"/>
          <w:color w:val="000000" w:themeColor="text1"/>
          <w:szCs w:val="24"/>
          <w:lang w:val="cs-CZ" w:eastAsia="de-AT"/>
        </w:rPr>
        <w:t xml:space="preserve">v postupech odměňování se vztahují </w:t>
      </w:r>
      <w:r w:rsidR="005E4F49" w:rsidRPr="0055589B">
        <w:rPr>
          <w:rFonts w:ascii="Arial" w:hAnsi="Arial" w:cs="Arial"/>
          <w:color w:val="000000" w:themeColor="text1"/>
          <w:szCs w:val="24"/>
          <w:lang w:val="cs-CZ" w:eastAsia="de-AT"/>
        </w:rPr>
        <w:t xml:space="preserve">i </w:t>
      </w:r>
      <w:r w:rsidRPr="0055589B">
        <w:rPr>
          <w:rFonts w:ascii="Arial" w:hAnsi="Arial" w:cs="Arial"/>
          <w:color w:val="000000" w:themeColor="text1"/>
          <w:szCs w:val="24"/>
          <w:lang w:val="cs-CZ" w:eastAsia="de-AT"/>
        </w:rPr>
        <w:t xml:space="preserve">na nepeněžité prémie nebo pobídky (např. </w:t>
      </w:r>
      <w:r w:rsidR="005E4F49" w:rsidRPr="0055589B">
        <w:rPr>
          <w:rFonts w:ascii="Arial" w:hAnsi="Arial" w:cs="Arial"/>
          <w:color w:val="000000" w:themeColor="text1"/>
          <w:szCs w:val="24"/>
          <w:lang w:val="cs-CZ" w:eastAsia="de-AT"/>
        </w:rPr>
        <w:t>zájezdy</w:t>
      </w:r>
      <w:r w:rsidRPr="0055589B">
        <w:rPr>
          <w:rFonts w:ascii="Arial" w:hAnsi="Arial" w:cs="Arial"/>
          <w:color w:val="000000" w:themeColor="text1"/>
          <w:szCs w:val="24"/>
          <w:lang w:val="cs-CZ" w:eastAsia="de-AT"/>
        </w:rPr>
        <w:t>, dárky). (</w:t>
      </w:r>
      <w:r w:rsidR="005E4F49" w:rsidRPr="0055589B">
        <w:rPr>
          <w:rFonts w:ascii="Arial" w:hAnsi="Arial" w:cs="Arial"/>
          <w:color w:val="000000" w:themeColor="text1"/>
          <w:szCs w:val="24"/>
          <w:lang w:val="cs-CZ" w:eastAsia="de-AT"/>
        </w:rPr>
        <w:t>Ne-</w:t>
      </w:r>
      <w:r w:rsidRPr="0055589B">
        <w:rPr>
          <w:rFonts w:ascii="Arial" w:hAnsi="Arial" w:cs="Arial"/>
          <w:color w:val="000000" w:themeColor="text1"/>
          <w:szCs w:val="24"/>
          <w:lang w:val="cs-CZ" w:eastAsia="de-AT"/>
        </w:rPr>
        <w:t>)</w:t>
      </w:r>
      <w:r w:rsidR="005E4F49" w:rsidRPr="0055589B">
        <w:rPr>
          <w:rFonts w:ascii="Arial" w:hAnsi="Arial" w:cs="Arial"/>
          <w:color w:val="000000" w:themeColor="text1"/>
          <w:szCs w:val="24"/>
          <w:lang w:val="cs-CZ" w:eastAsia="de-AT"/>
        </w:rPr>
        <w:t>p</w:t>
      </w:r>
      <w:r w:rsidRPr="0055589B">
        <w:rPr>
          <w:rFonts w:ascii="Arial" w:hAnsi="Arial" w:cs="Arial"/>
          <w:color w:val="000000" w:themeColor="text1"/>
          <w:szCs w:val="24"/>
          <w:lang w:val="cs-CZ" w:eastAsia="de-AT"/>
        </w:rPr>
        <w:t>eněžit</w:t>
      </w:r>
      <w:r w:rsidR="005E4F49" w:rsidRPr="0055589B">
        <w:rPr>
          <w:rFonts w:ascii="Arial" w:hAnsi="Arial" w:cs="Arial"/>
          <w:color w:val="000000" w:themeColor="text1"/>
          <w:szCs w:val="24"/>
          <w:lang w:val="cs-CZ" w:eastAsia="de-AT"/>
        </w:rPr>
        <w:t>é</w:t>
      </w:r>
      <w:r w:rsidRPr="0055589B">
        <w:rPr>
          <w:rFonts w:ascii="Arial" w:hAnsi="Arial" w:cs="Arial"/>
          <w:color w:val="000000" w:themeColor="text1"/>
          <w:szCs w:val="24"/>
          <w:lang w:val="cs-CZ" w:eastAsia="de-AT"/>
        </w:rPr>
        <w:t xml:space="preserve"> bonus a pobídky, </w:t>
      </w:r>
      <w:r w:rsidR="005E4F49" w:rsidRPr="0055589B">
        <w:rPr>
          <w:rFonts w:ascii="Arial" w:hAnsi="Arial" w:cs="Arial"/>
          <w:color w:val="000000" w:themeColor="text1"/>
          <w:szCs w:val="24"/>
          <w:lang w:val="cs-CZ" w:eastAsia="de-AT"/>
        </w:rPr>
        <w:t>v míře</w:t>
      </w:r>
      <w:r w:rsidRPr="0055589B">
        <w:rPr>
          <w:rFonts w:ascii="Arial" w:hAnsi="Arial" w:cs="Arial"/>
          <w:color w:val="000000" w:themeColor="text1"/>
          <w:szCs w:val="24"/>
          <w:lang w:val="cs-CZ" w:eastAsia="de-AT"/>
        </w:rPr>
        <w:t xml:space="preserve"> povolen</w:t>
      </w:r>
      <w:r w:rsidR="005E4F49" w:rsidRPr="0055589B">
        <w:rPr>
          <w:rFonts w:ascii="Arial" w:hAnsi="Arial" w:cs="Arial"/>
          <w:color w:val="000000" w:themeColor="text1"/>
          <w:szCs w:val="24"/>
          <w:lang w:val="cs-CZ" w:eastAsia="de-AT"/>
        </w:rPr>
        <w:t>é</w:t>
      </w:r>
      <w:r w:rsidRPr="0055589B">
        <w:rPr>
          <w:rFonts w:ascii="Arial" w:hAnsi="Arial" w:cs="Arial"/>
          <w:color w:val="000000" w:themeColor="text1"/>
          <w:szCs w:val="24"/>
          <w:lang w:val="cs-CZ" w:eastAsia="de-AT"/>
        </w:rPr>
        <w:t xml:space="preserve"> zákonem, </w:t>
      </w:r>
      <w:r w:rsidR="005E4F49" w:rsidRPr="0055589B">
        <w:rPr>
          <w:rFonts w:ascii="Arial" w:hAnsi="Arial" w:cs="Arial"/>
          <w:color w:val="000000" w:themeColor="text1"/>
          <w:szCs w:val="24"/>
          <w:lang w:val="cs-CZ" w:eastAsia="de-AT"/>
        </w:rPr>
        <w:t>vyplácené třetí stranou m</w:t>
      </w:r>
      <w:r w:rsidRPr="0055589B">
        <w:rPr>
          <w:rFonts w:ascii="Arial" w:hAnsi="Arial" w:cs="Arial"/>
          <w:color w:val="000000" w:themeColor="text1"/>
          <w:szCs w:val="24"/>
          <w:lang w:val="cs-CZ" w:eastAsia="de-AT"/>
        </w:rPr>
        <w:t>us</w:t>
      </w:r>
      <w:r w:rsidR="005E4F49" w:rsidRPr="0055589B">
        <w:rPr>
          <w:rFonts w:ascii="Arial" w:hAnsi="Arial" w:cs="Arial"/>
          <w:color w:val="000000" w:themeColor="text1"/>
          <w:szCs w:val="24"/>
          <w:lang w:val="cs-CZ" w:eastAsia="de-AT"/>
        </w:rPr>
        <w:t>ej</w:t>
      </w:r>
      <w:r w:rsidRPr="0055589B">
        <w:rPr>
          <w:rFonts w:ascii="Arial" w:hAnsi="Arial" w:cs="Arial"/>
          <w:color w:val="000000" w:themeColor="text1"/>
          <w:szCs w:val="24"/>
          <w:lang w:val="cs-CZ" w:eastAsia="de-AT"/>
        </w:rPr>
        <w:t>í být oznámeny</w:t>
      </w:r>
      <w:r w:rsidR="005E4F49"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funkci compliance.</w:t>
      </w:r>
    </w:p>
    <w:p w14:paraId="06CDA8C6" w14:textId="42D832D5" w:rsidR="00224561" w:rsidRPr="0055589B" w:rsidRDefault="005E4F49" w:rsidP="007F006A">
      <w:pPr>
        <w:keepNext/>
        <w:spacing w:before="240" w:after="120" w:line="276" w:lineRule="auto"/>
        <w:jc w:val="both"/>
        <w:outlineLvl w:val="3"/>
        <w:rPr>
          <w:rFonts w:ascii="Arial" w:eastAsia="Times New Roman" w:hAnsi="Arial" w:cs="Arial"/>
          <w:b/>
          <w:bCs/>
          <w:noProof/>
          <w:color w:val="000000" w:themeColor="text1"/>
          <w:szCs w:val="28"/>
          <w:lang w:val="cs-CZ" w:eastAsia="de-AT"/>
        </w:rPr>
      </w:pPr>
      <w:r w:rsidRPr="0055589B">
        <w:rPr>
          <w:rFonts w:ascii="Arial" w:hAnsi="Arial" w:cs="Arial"/>
          <w:b/>
          <w:bCs/>
          <w:noProof/>
          <w:color w:val="000000" w:themeColor="text1"/>
          <w:szCs w:val="28"/>
          <w:lang w:val="cs-CZ" w:eastAsia="de-AT"/>
        </w:rPr>
        <w:t xml:space="preserve">Nenárokovost </w:t>
      </w:r>
    </w:p>
    <w:p w14:paraId="1AD05D11" w14:textId="5DCDE5D9" w:rsidR="00224561" w:rsidRPr="0055589B" w:rsidRDefault="009E121D"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T</w:t>
      </w:r>
      <w:r w:rsidR="00224561" w:rsidRPr="0055589B">
        <w:rPr>
          <w:rFonts w:ascii="Arial" w:hAnsi="Arial" w:cs="Arial"/>
          <w:color w:val="000000" w:themeColor="text1"/>
          <w:szCs w:val="24"/>
          <w:lang w:val="cs-CZ" w:eastAsia="de-AT"/>
        </w:rPr>
        <w:t xml:space="preserve">ato politika ani žádný jiný dokument </w:t>
      </w:r>
      <w:r w:rsidRPr="0055589B">
        <w:rPr>
          <w:rFonts w:ascii="Arial" w:hAnsi="Arial" w:cs="Arial"/>
          <w:color w:val="000000" w:themeColor="text1"/>
          <w:szCs w:val="24"/>
          <w:lang w:val="cs-CZ" w:eastAsia="de-AT"/>
        </w:rPr>
        <w:t xml:space="preserve">s touto </w:t>
      </w:r>
      <w:r w:rsidR="00224561" w:rsidRPr="0055589B">
        <w:rPr>
          <w:rFonts w:ascii="Arial" w:hAnsi="Arial" w:cs="Arial"/>
          <w:color w:val="000000" w:themeColor="text1"/>
          <w:szCs w:val="24"/>
          <w:lang w:val="cs-CZ" w:eastAsia="de-AT"/>
        </w:rPr>
        <w:t>politik</w:t>
      </w:r>
      <w:r w:rsidRPr="0055589B">
        <w:rPr>
          <w:rFonts w:ascii="Arial" w:hAnsi="Arial" w:cs="Arial"/>
          <w:color w:val="000000" w:themeColor="text1"/>
          <w:szCs w:val="24"/>
          <w:lang w:val="cs-CZ" w:eastAsia="de-AT"/>
        </w:rPr>
        <w:t xml:space="preserve">ou související ani </w:t>
      </w:r>
      <w:r w:rsidR="00224561" w:rsidRPr="0055589B">
        <w:rPr>
          <w:rFonts w:ascii="Arial" w:hAnsi="Arial" w:cs="Arial"/>
          <w:color w:val="000000" w:themeColor="text1"/>
          <w:szCs w:val="24"/>
          <w:lang w:val="cs-CZ" w:eastAsia="de-AT"/>
        </w:rPr>
        <w:t>žádn</w:t>
      </w:r>
      <w:r w:rsidRPr="0055589B">
        <w:rPr>
          <w:rFonts w:ascii="Arial" w:hAnsi="Arial" w:cs="Arial"/>
          <w:color w:val="000000" w:themeColor="text1"/>
          <w:szCs w:val="24"/>
          <w:lang w:val="cs-CZ" w:eastAsia="de-AT"/>
        </w:rPr>
        <w:t>á</w:t>
      </w:r>
      <w:r w:rsidR="00224561" w:rsidRPr="0055589B">
        <w:rPr>
          <w:rFonts w:ascii="Arial" w:hAnsi="Arial" w:cs="Arial"/>
          <w:color w:val="000000" w:themeColor="text1"/>
          <w:szCs w:val="24"/>
          <w:lang w:val="cs-CZ" w:eastAsia="de-AT"/>
        </w:rPr>
        <w:t xml:space="preserve"> </w:t>
      </w:r>
      <w:r w:rsidR="00DA52FA" w:rsidRPr="0055589B">
        <w:rPr>
          <w:rFonts w:ascii="Arial" w:hAnsi="Arial" w:cs="Arial"/>
          <w:color w:val="000000" w:themeColor="text1"/>
          <w:szCs w:val="24"/>
          <w:lang w:val="cs-CZ" w:eastAsia="de-AT"/>
        </w:rPr>
        <w:t>pohybliv</w:t>
      </w:r>
      <w:r w:rsidRPr="0055589B">
        <w:rPr>
          <w:rFonts w:ascii="Arial" w:hAnsi="Arial" w:cs="Arial"/>
          <w:color w:val="000000" w:themeColor="text1"/>
          <w:szCs w:val="24"/>
          <w:lang w:val="cs-CZ" w:eastAsia="de-AT"/>
        </w:rPr>
        <w:t xml:space="preserve">á odměna vyplácená na základě této politiky nebo v souvislosti s ní nezakládá pro Společnost závazek. Nevznikají </w:t>
      </w:r>
      <w:r w:rsidR="00224561" w:rsidRPr="0055589B">
        <w:rPr>
          <w:rFonts w:ascii="Arial" w:hAnsi="Arial" w:cs="Arial"/>
          <w:color w:val="000000" w:themeColor="text1"/>
          <w:szCs w:val="24"/>
          <w:lang w:val="cs-CZ" w:eastAsia="de-AT"/>
        </w:rPr>
        <w:t>žádné nároky, práv</w:t>
      </w:r>
      <w:r w:rsidR="00AF570E" w:rsidRPr="0055589B">
        <w:rPr>
          <w:rFonts w:ascii="Arial" w:hAnsi="Arial" w:cs="Arial"/>
          <w:color w:val="000000" w:themeColor="text1"/>
          <w:szCs w:val="24"/>
          <w:lang w:val="cs-CZ" w:eastAsia="de-AT"/>
        </w:rPr>
        <w:t>a</w:t>
      </w:r>
      <w:r w:rsidR="00224561" w:rsidRPr="0055589B">
        <w:rPr>
          <w:rFonts w:ascii="Arial" w:hAnsi="Arial" w:cs="Arial"/>
          <w:color w:val="000000" w:themeColor="text1"/>
          <w:szCs w:val="24"/>
          <w:lang w:val="cs-CZ" w:eastAsia="de-AT"/>
        </w:rPr>
        <w:t xml:space="preserve"> </w:t>
      </w:r>
      <w:r w:rsidR="00AF570E" w:rsidRPr="0055589B">
        <w:rPr>
          <w:rFonts w:ascii="Arial" w:hAnsi="Arial" w:cs="Arial"/>
          <w:color w:val="000000" w:themeColor="text1"/>
          <w:szCs w:val="24"/>
          <w:lang w:val="cs-CZ" w:eastAsia="de-AT"/>
        </w:rPr>
        <w:t xml:space="preserve">ani oprávnění </w:t>
      </w:r>
      <w:r w:rsidR="00224561" w:rsidRPr="0055589B">
        <w:rPr>
          <w:rFonts w:ascii="Arial" w:hAnsi="Arial" w:cs="Arial"/>
          <w:color w:val="000000" w:themeColor="text1"/>
          <w:szCs w:val="24"/>
          <w:lang w:val="cs-CZ" w:eastAsia="de-AT"/>
        </w:rPr>
        <w:t xml:space="preserve">jakéhokoliv zaměstnance na jakoukoliv </w:t>
      </w:r>
      <w:r w:rsidR="00DA52FA" w:rsidRPr="0055589B">
        <w:rPr>
          <w:rFonts w:ascii="Arial" w:hAnsi="Arial" w:cs="Arial"/>
          <w:color w:val="000000" w:themeColor="text1"/>
          <w:szCs w:val="24"/>
          <w:lang w:val="cs-CZ" w:eastAsia="de-AT"/>
        </w:rPr>
        <w:t>pohybliv</w:t>
      </w:r>
      <w:r w:rsidR="00224561" w:rsidRPr="0055589B">
        <w:rPr>
          <w:rFonts w:ascii="Arial" w:hAnsi="Arial" w:cs="Arial"/>
          <w:color w:val="000000" w:themeColor="text1"/>
          <w:szCs w:val="24"/>
          <w:lang w:val="cs-CZ" w:eastAsia="de-AT"/>
        </w:rPr>
        <w:t xml:space="preserve">ou </w:t>
      </w:r>
      <w:r w:rsidR="00AF570E" w:rsidRPr="0055589B">
        <w:rPr>
          <w:rFonts w:ascii="Arial" w:hAnsi="Arial" w:cs="Arial"/>
          <w:color w:val="000000" w:themeColor="text1"/>
          <w:szCs w:val="24"/>
          <w:lang w:val="cs-CZ" w:eastAsia="de-AT"/>
        </w:rPr>
        <w:t>odměnu</w:t>
      </w:r>
      <w:r w:rsidR="006C0B1A">
        <w:rPr>
          <w:rFonts w:ascii="Arial" w:hAnsi="Arial" w:cs="Arial"/>
          <w:color w:val="000000" w:themeColor="text1"/>
          <w:szCs w:val="24"/>
          <w:lang w:val="cs-CZ" w:eastAsia="de-AT"/>
        </w:rPr>
        <w:t>.</w:t>
      </w:r>
    </w:p>
    <w:p w14:paraId="468F244D" w14:textId="20CCB70C" w:rsidR="00224561" w:rsidRPr="0055589B" w:rsidRDefault="005D634E" w:rsidP="007F006A">
      <w:pPr>
        <w:spacing w:after="120" w:line="288"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Variabilní odměna</w:t>
      </w:r>
      <w:r w:rsidR="00224561" w:rsidRPr="0055589B">
        <w:rPr>
          <w:rFonts w:ascii="Arial" w:hAnsi="Arial" w:cs="Arial"/>
          <w:color w:val="000000" w:themeColor="text1"/>
          <w:szCs w:val="24"/>
          <w:lang w:val="cs-CZ" w:eastAsia="de-AT"/>
        </w:rPr>
        <w:t xml:space="preserve"> za konkrétní</w:t>
      </w:r>
      <w:r w:rsidR="00AF570E" w:rsidRPr="0055589B">
        <w:rPr>
          <w:rFonts w:ascii="Arial" w:hAnsi="Arial" w:cs="Arial"/>
          <w:color w:val="000000" w:themeColor="text1"/>
          <w:szCs w:val="24"/>
          <w:lang w:val="cs-CZ" w:eastAsia="de-AT"/>
        </w:rPr>
        <w:t xml:space="preserve"> hodnocené</w:t>
      </w:r>
      <w:r w:rsidR="00224561" w:rsidRPr="0055589B">
        <w:rPr>
          <w:rFonts w:ascii="Arial" w:hAnsi="Arial" w:cs="Arial"/>
          <w:color w:val="000000" w:themeColor="text1"/>
          <w:szCs w:val="24"/>
          <w:lang w:val="cs-CZ" w:eastAsia="de-AT"/>
        </w:rPr>
        <w:t xml:space="preserve"> období </w:t>
      </w:r>
      <w:r w:rsidR="00AF570E" w:rsidRPr="0055589B">
        <w:rPr>
          <w:rFonts w:ascii="Arial" w:hAnsi="Arial" w:cs="Arial"/>
          <w:color w:val="000000" w:themeColor="text1"/>
          <w:szCs w:val="24"/>
          <w:lang w:val="cs-CZ" w:eastAsia="de-AT"/>
        </w:rPr>
        <w:t xml:space="preserve">se poskytuje ke dni, kdy </w:t>
      </w:r>
      <w:r w:rsidR="00224561" w:rsidRPr="0055589B">
        <w:rPr>
          <w:rFonts w:ascii="Arial" w:hAnsi="Arial" w:cs="Arial"/>
          <w:color w:val="000000" w:themeColor="text1"/>
          <w:szCs w:val="24"/>
          <w:lang w:val="cs-CZ" w:eastAsia="de-AT"/>
        </w:rPr>
        <w:t xml:space="preserve">zaměstnanec </w:t>
      </w:r>
      <w:proofErr w:type="gramStart"/>
      <w:r w:rsidR="00224561" w:rsidRPr="0055589B">
        <w:rPr>
          <w:rFonts w:ascii="Arial" w:hAnsi="Arial" w:cs="Arial"/>
          <w:color w:val="000000" w:themeColor="text1"/>
          <w:szCs w:val="24"/>
          <w:lang w:val="cs-CZ" w:eastAsia="de-AT"/>
        </w:rPr>
        <w:t>obdrží</w:t>
      </w:r>
      <w:proofErr w:type="gramEnd"/>
      <w:r w:rsidR="00224561" w:rsidRPr="0055589B">
        <w:rPr>
          <w:rFonts w:ascii="Arial" w:hAnsi="Arial" w:cs="Arial"/>
          <w:color w:val="000000" w:themeColor="text1"/>
          <w:szCs w:val="24"/>
          <w:lang w:val="cs-CZ" w:eastAsia="de-AT"/>
        </w:rPr>
        <w:t xml:space="preserve"> poslední splátku</w:t>
      </w:r>
      <w:r w:rsidR="00AF570E" w:rsidRPr="0055589B">
        <w:rPr>
          <w:rFonts w:ascii="Arial" w:hAnsi="Arial" w:cs="Arial"/>
          <w:color w:val="000000" w:themeColor="text1"/>
          <w:szCs w:val="24"/>
          <w:lang w:val="cs-CZ" w:eastAsia="de-AT"/>
        </w:rPr>
        <w:t xml:space="preserve"> variabilní odměny za příslušné hodnocené období </w:t>
      </w:r>
      <w:r w:rsidR="00224561" w:rsidRPr="0055589B">
        <w:rPr>
          <w:rFonts w:ascii="Arial" w:hAnsi="Arial" w:cs="Arial"/>
          <w:color w:val="000000" w:themeColor="text1"/>
          <w:szCs w:val="24"/>
          <w:lang w:val="cs-CZ" w:eastAsia="de-AT"/>
        </w:rPr>
        <w:t xml:space="preserve">v hotovosti nebo </w:t>
      </w:r>
      <w:r w:rsidR="00AF570E" w:rsidRPr="0055589B">
        <w:rPr>
          <w:rFonts w:ascii="Arial" w:hAnsi="Arial" w:cs="Arial"/>
          <w:color w:val="000000" w:themeColor="text1"/>
          <w:szCs w:val="24"/>
          <w:lang w:val="cs-CZ" w:eastAsia="de-AT"/>
        </w:rPr>
        <w:t>kdy je mu tato splátka přiznána. V</w:t>
      </w:r>
      <w:r w:rsidR="00224561" w:rsidRPr="0055589B">
        <w:rPr>
          <w:rFonts w:ascii="Arial" w:hAnsi="Arial" w:cs="Arial"/>
          <w:color w:val="000000" w:themeColor="text1"/>
          <w:szCs w:val="24"/>
          <w:lang w:val="cs-CZ" w:eastAsia="de-AT"/>
        </w:rPr>
        <w:t xml:space="preserve">šechny </w:t>
      </w:r>
      <w:r w:rsidR="00AF570E" w:rsidRPr="0055589B">
        <w:rPr>
          <w:rFonts w:ascii="Arial" w:hAnsi="Arial" w:cs="Arial"/>
          <w:color w:val="000000" w:themeColor="text1"/>
          <w:szCs w:val="24"/>
          <w:lang w:val="cs-CZ" w:eastAsia="de-AT"/>
        </w:rPr>
        <w:t xml:space="preserve">variabilní </w:t>
      </w:r>
      <w:r w:rsidR="00224561" w:rsidRPr="0055589B">
        <w:rPr>
          <w:rFonts w:ascii="Arial" w:hAnsi="Arial" w:cs="Arial"/>
          <w:color w:val="000000" w:themeColor="text1"/>
          <w:szCs w:val="24"/>
          <w:lang w:val="cs-CZ" w:eastAsia="de-AT"/>
        </w:rPr>
        <w:t xml:space="preserve">platby </w:t>
      </w:r>
      <w:r w:rsidR="00AF570E" w:rsidRPr="0055589B">
        <w:rPr>
          <w:rFonts w:ascii="Arial" w:hAnsi="Arial" w:cs="Arial"/>
          <w:color w:val="000000" w:themeColor="text1"/>
          <w:szCs w:val="24"/>
          <w:lang w:val="cs-CZ" w:eastAsia="de-AT"/>
        </w:rPr>
        <w:t>představují až do doby jejich poskytnutí</w:t>
      </w:r>
      <w:r w:rsidR="002F0F7E" w:rsidRPr="0055589B">
        <w:rPr>
          <w:rFonts w:ascii="Arial" w:hAnsi="Arial" w:cs="Arial"/>
          <w:color w:val="000000" w:themeColor="text1"/>
          <w:szCs w:val="24"/>
          <w:lang w:val="cs-CZ" w:eastAsia="de-AT"/>
        </w:rPr>
        <w:t xml:space="preserve"> zálohy na nárok na </w:t>
      </w:r>
      <w:r w:rsidR="00224561" w:rsidRPr="0055589B">
        <w:rPr>
          <w:rFonts w:ascii="Arial" w:hAnsi="Arial" w:cs="Arial"/>
          <w:color w:val="000000" w:themeColor="text1"/>
          <w:szCs w:val="24"/>
          <w:lang w:val="cs-CZ" w:eastAsia="de-AT"/>
        </w:rPr>
        <w:t>bonus</w:t>
      </w:r>
      <w:r w:rsidR="002F0F7E" w:rsidRPr="0055589B">
        <w:rPr>
          <w:rFonts w:ascii="Arial" w:hAnsi="Arial" w:cs="Arial"/>
          <w:color w:val="000000" w:themeColor="text1"/>
          <w:szCs w:val="24"/>
          <w:lang w:val="cs-CZ" w:eastAsia="de-AT"/>
        </w:rPr>
        <w:t xml:space="preserve"> a </w:t>
      </w:r>
      <w:r w:rsidR="00224561" w:rsidRPr="0055589B">
        <w:rPr>
          <w:rFonts w:ascii="Arial" w:hAnsi="Arial" w:cs="Arial"/>
          <w:color w:val="000000" w:themeColor="text1"/>
          <w:szCs w:val="24"/>
          <w:lang w:val="cs-CZ" w:eastAsia="de-AT"/>
        </w:rPr>
        <w:t>závis</w:t>
      </w:r>
      <w:r w:rsidR="002F0F7E" w:rsidRPr="0055589B">
        <w:rPr>
          <w:rFonts w:ascii="Arial" w:hAnsi="Arial" w:cs="Arial"/>
          <w:color w:val="000000" w:themeColor="text1"/>
          <w:szCs w:val="24"/>
          <w:lang w:val="cs-CZ" w:eastAsia="de-AT"/>
        </w:rPr>
        <w:t xml:space="preserve">ejí </w:t>
      </w:r>
      <w:r w:rsidR="00224561" w:rsidRPr="0055589B">
        <w:rPr>
          <w:rFonts w:ascii="Arial" w:hAnsi="Arial" w:cs="Arial"/>
          <w:color w:val="000000" w:themeColor="text1"/>
          <w:szCs w:val="24"/>
          <w:lang w:val="cs-CZ" w:eastAsia="de-AT"/>
        </w:rPr>
        <w:t xml:space="preserve">na hodnocení provedeném </w:t>
      </w:r>
      <w:r w:rsidR="002F0F7E" w:rsidRPr="0055589B">
        <w:rPr>
          <w:rFonts w:ascii="Arial" w:hAnsi="Arial" w:cs="Arial"/>
          <w:color w:val="000000" w:themeColor="text1"/>
          <w:szCs w:val="24"/>
          <w:lang w:val="cs-CZ" w:eastAsia="de-AT"/>
        </w:rPr>
        <w:t>V</w:t>
      </w:r>
      <w:r w:rsidR="00224561" w:rsidRPr="0055589B">
        <w:rPr>
          <w:rFonts w:ascii="Arial" w:hAnsi="Arial" w:cs="Arial"/>
          <w:color w:val="000000" w:themeColor="text1"/>
          <w:szCs w:val="24"/>
          <w:lang w:val="cs-CZ" w:eastAsia="de-AT"/>
        </w:rPr>
        <w:t xml:space="preserve">ýborem pro odměňování před </w:t>
      </w:r>
      <w:r w:rsidR="002F0F7E" w:rsidRPr="0055589B">
        <w:rPr>
          <w:rFonts w:ascii="Arial" w:hAnsi="Arial" w:cs="Arial"/>
          <w:color w:val="000000" w:themeColor="text1"/>
          <w:szCs w:val="24"/>
          <w:lang w:val="cs-CZ" w:eastAsia="de-AT"/>
        </w:rPr>
        <w:t xml:space="preserve">datem splatnosti poslední splátky. </w:t>
      </w:r>
    </w:p>
    <w:p w14:paraId="7C70709D" w14:textId="522E6809" w:rsidR="00224561" w:rsidRPr="0055589B" w:rsidRDefault="002F0F7E"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To znamená, že až</w:t>
      </w:r>
      <w:r w:rsidR="00224561" w:rsidRPr="0055589B">
        <w:rPr>
          <w:rFonts w:ascii="Arial" w:hAnsi="Arial" w:cs="Arial"/>
          <w:color w:val="000000" w:themeColor="text1"/>
          <w:szCs w:val="24"/>
          <w:lang w:val="cs-CZ" w:eastAsia="de-AT"/>
        </w:rPr>
        <w:t xml:space="preserve"> do </w:t>
      </w:r>
      <w:r w:rsidRPr="0055589B">
        <w:rPr>
          <w:rFonts w:ascii="Arial" w:hAnsi="Arial" w:cs="Arial"/>
          <w:color w:val="000000" w:themeColor="text1"/>
          <w:szCs w:val="24"/>
          <w:lang w:val="cs-CZ" w:eastAsia="de-AT"/>
        </w:rPr>
        <w:t>poskytnutí platby je rozhodnutí o platě plně v kompetenci V</w:t>
      </w:r>
      <w:r w:rsidR="00224561" w:rsidRPr="0055589B">
        <w:rPr>
          <w:rFonts w:ascii="Arial" w:hAnsi="Arial" w:cs="Arial"/>
          <w:color w:val="000000" w:themeColor="text1"/>
          <w:szCs w:val="24"/>
          <w:lang w:val="cs-CZ" w:eastAsia="de-AT"/>
        </w:rPr>
        <w:t>ýboru pro odměňování</w:t>
      </w:r>
      <w:r w:rsidRPr="0055589B">
        <w:rPr>
          <w:rFonts w:ascii="Arial" w:hAnsi="Arial" w:cs="Arial"/>
          <w:color w:val="000000" w:themeColor="text1"/>
          <w:szCs w:val="24"/>
          <w:lang w:val="cs-CZ" w:eastAsia="de-AT"/>
        </w:rPr>
        <w:t>.</w:t>
      </w:r>
    </w:p>
    <w:p w14:paraId="009D44A7" w14:textId="7B2BCA38" w:rsidR="00224561" w:rsidRPr="0055589B" w:rsidRDefault="002F0F7E"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Výjimkou jsou případy, kdy</w:t>
      </w:r>
      <w:r w:rsidR="00224561" w:rsidRPr="0055589B">
        <w:rPr>
          <w:rFonts w:ascii="Arial" w:hAnsi="Arial" w:cs="Arial"/>
          <w:color w:val="000000" w:themeColor="text1"/>
          <w:szCs w:val="24"/>
          <w:lang w:val="cs-CZ" w:eastAsia="de-AT"/>
        </w:rPr>
        <w:t xml:space="preserve"> soud nebo jiný orgán veřejné </w:t>
      </w:r>
      <w:r w:rsidRPr="0055589B">
        <w:rPr>
          <w:rFonts w:ascii="Arial" w:hAnsi="Arial" w:cs="Arial"/>
          <w:color w:val="000000" w:themeColor="text1"/>
          <w:szCs w:val="24"/>
          <w:lang w:val="cs-CZ" w:eastAsia="de-AT"/>
        </w:rPr>
        <w:t>správy</w:t>
      </w:r>
      <w:r w:rsidR="00224561" w:rsidRPr="0055589B">
        <w:rPr>
          <w:rFonts w:ascii="Arial" w:hAnsi="Arial" w:cs="Arial"/>
          <w:color w:val="000000" w:themeColor="text1"/>
          <w:szCs w:val="24"/>
          <w:lang w:val="cs-CZ" w:eastAsia="de-AT"/>
        </w:rPr>
        <w:t xml:space="preserve"> do</w:t>
      </w:r>
      <w:r w:rsidRPr="0055589B">
        <w:rPr>
          <w:rFonts w:ascii="Arial" w:hAnsi="Arial" w:cs="Arial"/>
          <w:color w:val="000000" w:themeColor="text1"/>
          <w:szCs w:val="24"/>
          <w:lang w:val="cs-CZ" w:eastAsia="de-AT"/>
        </w:rPr>
        <w:t xml:space="preserve">spěje </w:t>
      </w:r>
      <w:r w:rsidR="00224561" w:rsidRPr="0055589B">
        <w:rPr>
          <w:rFonts w:ascii="Arial" w:hAnsi="Arial" w:cs="Arial"/>
          <w:color w:val="000000" w:themeColor="text1"/>
          <w:szCs w:val="24"/>
          <w:lang w:val="cs-CZ" w:eastAsia="de-AT"/>
        </w:rPr>
        <w:t xml:space="preserve">k závěru, že zaměstnanec má </w:t>
      </w:r>
      <w:r w:rsidRPr="0055589B">
        <w:rPr>
          <w:rFonts w:ascii="Arial" w:hAnsi="Arial" w:cs="Arial"/>
          <w:color w:val="000000" w:themeColor="text1"/>
          <w:szCs w:val="24"/>
          <w:lang w:val="cs-CZ" w:eastAsia="de-AT"/>
        </w:rPr>
        <w:t>nárok</w:t>
      </w:r>
      <w:r w:rsidR="00224561" w:rsidRPr="0055589B">
        <w:rPr>
          <w:rFonts w:ascii="Arial" w:hAnsi="Arial" w:cs="Arial"/>
          <w:color w:val="000000" w:themeColor="text1"/>
          <w:szCs w:val="24"/>
          <w:lang w:val="cs-CZ" w:eastAsia="de-AT"/>
        </w:rPr>
        <w:t xml:space="preserve"> na </w:t>
      </w:r>
      <w:r w:rsidR="00DA52FA" w:rsidRPr="0055589B">
        <w:rPr>
          <w:rFonts w:ascii="Arial" w:hAnsi="Arial" w:cs="Arial"/>
          <w:color w:val="000000" w:themeColor="text1"/>
          <w:szCs w:val="24"/>
          <w:lang w:val="cs-CZ" w:eastAsia="de-AT"/>
        </w:rPr>
        <w:t>pohybliv</w:t>
      </w:r>
      <w:r w:rsidR="00224561" w:rsidRPr="0055589B">
        <w:rPr>
          <w:rFonts w:ascii="Arial" w:hAnsi="Arial" w:cs="Arial"/>
          <w:color w:val="000000" w:themeColor="text1"/>
          <w:szCs w:val="24"/>
          <w:lang w:val="cs-CZ" w:eastAsia="de-AT"/>
        </w:rPr>
        <w:t>ou odměnu podle t</w:t>
      </w:r>
      <w:r w:rsidRPr="0055589B">
        <w:rPr>
          <w:rFonts w:ascii="Arial" w:hAnsi="Arial" w:cs="Arial"/>
          <w:color w:val="000000" w:themeColor="text1"/>
          <w:szCs w:val="24"/>
          <w:lang w:val="cs-CZ" w:eastAsia="de-AT"/>
        </w:rPr>
        <w:t xml:space="preserve">éto politiky nebo podle jiného dokumentu, který ji upravuje, před jejím poskytnutím. </w:t>
      </w:r>
      <w:r w:rsidR="00224561" w:rsidRPr="0055589B">
        <w:rPr>
          <w:rFonts w:ascii="Arial" w:hAnsi="Arial" w:cs="Arial"/>
          <w:color w:val="000000" w:themeColor="text1"/>
          <w:szCs w:val="24"/>
          <w:lang w:val="cs-CZ" w:eastAsia="de-AT"/>
        </w:rPr>
        <w:t>Společnost si vyhrazuje právo tuto politiku v</w:t>
      </w:r>
      <w:r w:rsidRPr="0055589B">
        <w:rPr>
          <w:rFonts w:ascii="Arial" w:hAnsi="Arial" w:cs="Arial"/>
          <w:color w:val="000000" w:themeColor="text1"/>
          <w:szCs w:val="24"/>
          <w:lang w:val="cs-CZ" w:eastAsia="de-AT"/>
        </w:rPr>
        <w:t> </w:t>
      </w:r>
      <w:r w:rsidR="00224561" w:rsidRPr="0055589B">
        <w:rPr>
          <w:rFonts w:ascii="Arial" w:hAnsi="Arial" w:cs="Arial"/>
          <w:color w:val="000000" w:themeColor="text1"/>
          <w:szCs w:val="24"/>
          <w:lang w:val="cs-CZ" w:eastAsia="de-AT"/>
        </w:rPr>
        <w:t>jakémkoliv</w:t>
      </w:r>
      <w:r w:rsidRPr="0055589B">
        <w:rPr>
          <w:rFonts w:ascii="Arial" w:hAnsi="Arial" w:cs="Arial"/>
          <w:color w:val="000000" w:themeColor="text1"/>
          <w:szCs w:val="24"/>
          <w:lang w:val="cs-CZ" w:eastAsia="de-AT"/>
        </w:rPr>
        <w:t xml:space="preserve"> ohledu jednostranně změnit</w:t>
      </w:r>
      <w:r w:rsidR="00224561" w:rsidRPr="0055589B">
        <w:rPr>
          <w:rFonts w:ascii="Arial" w:hAnsi="Arial" w:cs="Arial"/>
          <w:color w:val="000000" w:themeColor="text1"/>
          <w:szCs w:val="24"/>
          <w:lang w:val="cs-CZ" w:eastAsia="de-AT"/>
        </w:rPr>
        <w:t xml:space="preserve">. </w:t>
      </w:r>
    </w:p>
    <w:p w14:paraId="2C5F79D6" w14:textId="74D93012" w:rsidR="00224561" w:rsidRPr="0055589B" w:rsidRDefault="002F0F7E" w:rsidP="007F006A">
      <w:pPr>
        <w:keepNext/>
        <w:spacing w:before="240" w:after="120" w:line="276" w:lineRule="auto"/>
        <w:jc w:val="both"/>
        <w:outlineLvl w:val="3"/>
        <w:rPr>
          <w:rFonts w:ascii="Arial" w:eastAsia="Times New Roman" w:hAnsi="Arial" w:cs="Arial"/>
          <w:b/>
          <w:bCs/>
          <w:noProof/>
          <w:color w:val="000000" w:themeColor="text1"/>
          <w:szCs w:val="28"/>
          <w:lang w:val="cs-CZ" w:eastAsia="de-AT"/>
        </w:rPr>
      </w:pPr>
      <w:r w:rsidRPr="0055589B">
        <w:rPr>
          <w:rFonts w:ascii="Arial" w:hAnsi="Arial" w:cs="Arial"/>
          <w:b/>
          <w:bCs/>
          <w:noProof/>
          <w:color w:val="000000" w:themeColor="text1"/>
          <w:szCs w:val="28"/>
          <w:lang w:val="cs-CZ" w:eastAsia="de-AT"/>
        </w:rPr>
        <w:t xml:space="preserve">Další </w:t>
      </w:r>
      <w:r w:rsidR="00224561" w:rsidRPr="0055589B">
        <w:rPr>
          <w:rFonts w:ascii="Arial" w:hAnsi="Arial" w:cs="Arial"/>
          <w:b/>
          <w:bCs/>
          <w:noProof/>
          <w:color w:val="000000" w:themeColor="text1"/>
          <w:szCs w:val="28"/>
          <w:lang w:val="cs-CZ" w:eastAsia="de-AT"/>
        </w:rPr>
        <w:t>regulační omezení</w:t>
      </w:r>
    </w:p>
    <w:p w14:paraId="65D1BEF0" w14:textId="5B0FB2D9" w:rsidR="00224561" w:rsidRPr="0055589B" w:rsidRDefault="00224561" w:rsidP="007F006A">
      <w:pPr>
        <w:tabs>
          <w:tab w:val="left" w:pos="708"/>
        </w:tabs>
        <w:spacing w:after="120" w:line="276" w:lineRule="auto"/>
        <w:contextualSpacing/>
        <w:jc w:val="both"/>
        <w:rPr>
          <w:rFonts w:ascii="Arial" w:hAnsi="Arial" w:cs="Arial"/>
          <w:color w:val="000000" w:themeColor="text1"/>
          <w:lang w:val="cs-CZ" w:eastAsia="de-AT"/>
        </w:rPr>
      </w:pPr>
      <w:r w:rsidRPr="0055589B">
        <w:rPr>
          <w:rFonts w:ascii="Arial" w:hAnsi="Arial" w:cs="Arial"/>
          <w:color w:val="000000" w:themeColor="text1"/>
          <w:lang w:val="cs-CZ" w:eastAsia="de-AT"/>
        </w:rPr>
        <w:t>Rakouský úřad pro finanční trh</w:t>
      </w:r>
      <w:r w:rsidR="002F0F7E" w:rsidRPr="0055589B">
        <w:rPr>
          <w:rFonts w:ascii="Arial" w:hAnsi="Arial" w:cs="Arial"/>
          <w:color w:val="000000" w:themeColor="text1"/>
          <w:lang w:val="cs-CZ" w:eastAsia="de-AT"/>
        </w:rPr>
        <w:t>y</w:t>
      </w:r>
      <w:r w:rsidRPr="0055589B">
        <w:rPr>
          <w:rFonts w:ascii="Arial" w:hAnsi="Arial" w:cs="Arial"/>
          <w:color w:val="000000" w:themeColor="text1"/>
          <w:lang w:val="cs-CZ" w:eastAsia="de-AT"/>
        </w:rPr>
        <w:t xml:space="preserve"> nebo kterýkoli </w:t>
      </w:r>
      <w:r w:rsidR="004516F6" w:rsidRPr="0055589B">
        <w:rPr>
          <w:rFonts w:ascii="Arial" w:hAnsi="Arial" w:cs="Arial"/>
          <w:color w:val="000000" w:themeColor="text1"/>
          <w:lang w:val="cs-CZ" w:eastAsia="de-AT"/>
        </w:rPr>
        <w:t>e</w:t>
      </w:r>
      <w:r w:rsidRPr="0055589B">
        <w:rPr>
          <w:rFonts w:ascii="Arial" w:hAnsi="Arial" w:cs="Arial"/>
          <w:color w:val="000000" w:themeColor="text1"/>
          <w:lang w:val="cs-CZ" w:eastAsia="de-AT"/>
        </w:rPr>
        <w:t xml:space="preserve">vropský nebo vnitrostátní regulační orgán může nařídit omezení nebo zastavení </w:t>
      </w:r>
      <w:r w:rsidR="004516F6" w:rsidRPr="0055589B">
        <w:rPr>
          <w:rFonts w:ascii="Arial" w:hAnsi="Arial" w:cs="Arial"/>
          <w:color w:val="000000" w:themeColor="text1"/>
          <w:lang w:val="cs-CZ" w:eastAsia="de-AT"/>
        </w:rPr>
        <w:t xml:space="preserve">výplat </w:t>
      </w:r>
      <w:r w:rsidR="00DA52FA" w:rsidRPr="0055589B">
        <w:rPr>
          <w:rFonts w:ascii="Arial" w:hAnsi="Arial" w:cs="Arial"/>
          <w:color w:val="000000" w:themeColor="text1"/>
          <w:lang w:val="cs-CZ" w:eastAsia="de-AT"/>
        </w:rPr>
        <w:t>pohybliv</w:t>
      </w:r>
      <w:r w:rsidR="004516F6" w:rsidRPr="0055589B">
        <w:rPr>
          <w:rFonts w:ascii="Arial" w:hAnsi="Arial" w:cs="Arial"/>
          <w:color w:val="000000" w:themeColor="text1"/>
          <w:lang w:val="cs-CZ" w:eastAsia="de-AT"/>
        </w:rPr>
        <w:t>ých</w:t>
      </w:r>
      <w:r w:rsidRPr="0055589B">
        <w:rPr>
          <w:rFonts w:ascii="Arial" w:hAnsi="Arial" w:cs="Arial"/>
          <w:color w:val="000000" w:themeColor="text1"/>
          <w:lang w:val="cs-CZ" w:eastAsia="de-AT"/>
        </w:rPr>
        <w:t xml:space="preserve"> odměn. </w:t>
      </w:r>
      <w:r w:rsidR="00A31268" w:rsidRPr="0055589B">
        <w:rPr>
          <w:rFonts w:ascii="Arial" w:hAnsi="Arial" w:cs="Arial"/>
          <w:color w:val="000000" w:themeColor="text1"/>
          <w:lang w:val="cs-CZ" w:eastAsia="de-AT"/>
        </w:rPr>
        <w:t xml:space="preserve">Všechna </w:t>
      </w:r>
      <w:r w:rsidRPr="0055589B">
        <w:rPr>
          <w:rFonts w:ascii="Arial" w:hAnsi="Arial" w:cs="Arial"/>
          <w:color w:val="000000" w:themeColor="text1"/>
          <w:lang w:val="cs-CZ" w:eastAsia="de-AT"/>
        </w:rPr>
        <w:t xml:space="preserve">rozhodnutí o platbě </w:t>
      </w:r>
      <w:r w:rsidR="00A31268" w:rsidRPr="0055589B">
        <w:rPr>
          <w:rFonts w:ascii="Arial" w:hAnsi="Arial" w:cs="Arial"/>
          <w:color w:val="000000" w:themeColor="text1"/>
          <w:lang w:val="cs-CZ" w:eastAsia="de-AT"/>
        </w:rPr>
        <w:t xml:space="preserve">se proto přijímají </w:t>
      </w:r>
      <w:r w:rsidRPr="0055589B">
        <w:rPr>
          <w:rFonts w:ascii="Arial" w:hAnsi="Arial" w:cs="Arial"/>
          <w:color w:val="000000" w:themeColor="text1"/>
          <w:lang w:val="cs-CZ" w:eastAsia="de-AT"/>
        </w:rPr>
        <w:t xml:space="preserve">s výhradou povinnosti </w:t>
      </w:r>
      <w:r w:rsidR="00A31268" w:rsidRPr="0055589B">
        <w:rPr>
          <w:rFonts w:ascii="Arial" w:hAnsi="Arial" w:cs="Arial"/>
          <w:color w:val="000000" w:themeColor="text1"/>
          <w:lang w:val="cs-CZ" w:eastAsia="de-AT"/>
        </w:rPr>
        <w:t>S</w:t>
      </w:r>
      <w:r w:rsidRPr="0055589B">
        <w:rPr>
          <w:rFonts w:ascii="Arial" w:hAnsi="Arial" w:cs="Arial"/>
          <w:color w:val="000000" w:themeColor="text1"/>
          <w:lang w:val="cs-CZ" w:eastAsia="de-AT"/>
        </w:rPr>
        <w:t xml:space="preserve">polečnosti zdržet se takové platby, pokud ji </w:t>
      </w:r>
      <w:r w:rsidR="00A31268" w:rsidRPr="0055589B">
        <w:rPr>
          <w:rFonts w:ascii="Arial" w:hAnsi="Arial" w:cs="Arial"/>
          <w:color w:val="000000" w:themeColor="text1"/>
          <w:lang w:val="cs-CZ" w:eastAsia="de-AT"/>
        </w:rPr>
        <w:t xml:space="preserve">to </w:t>
      </w:r>
      <w:r w:rsidRPr="0055589B">
        <w:rPr>
          <w:rFonts w:ascii="Arial" w:hAnsi="Arial" w:cs="Arial"/>
          <w:color w:val="000000" w:themeColor="text1"/>
          <w:lang w:val="cs-CZ" w:eastAsia="de-AT"/>
        </w:rPr>
        <w:t>nařídí příslušný orgán.</w:t>
      </w:r>
    </w:p>
    <w:p w14:paraId="0C2E5D2E" w14:textId="77777777" w:rsidR="009E121D" w:rsidRPr="0055589B" w:rsidRDefault="009E121D" w:rsidP="007F006A">
      <w:pPr>
        <w:tabs>
          <w:tab w:val="left" w:pos="708"/>
        </w:tabs>
        <w:spacing w:after="120" w:line="276" w:lineRule="auto"/>
        <w:contextualSpacing/>
        <w:jc w:val="both"/>
        <w:rPr>
          <w:rFonts w:ascii="Arial" w:eastAsia="Times New Roman" w:hAnsi="Arial" w:cs="Arial"/>
          <w:color w:val="000000" w:themeColor="text1"/>
          <w:lang w:val="cs-CZ" w:eastAsia="de-AT"/>
        </w:rPr>
      </w:pPr>
    </w:p>
    <w:p w14:paraId="3A96EB5F" w14:textId="521DC230" w:rsidR="00224561" w:rsidRPr="0055589B" w:rsidRDefault="00224561" w:rsidP="006033BF">
      <w:pPr>
        <w:pStyle w:val="Nadpis3"/>
        <w:rPr>
          <w:rFonts w:eastAsia="Times New Roman"/>
          <w:color w:val="000000" w:themeColor="text1"/>
          <w:lang w:val="cs-CZ"/>
        </w:rPr>
      </w:pPr>
      <w:bookmarkStart w:id="43" w:name="_Toc108689211"/>
      <w:r w:rsidRPr="0055589B">
        <w:rPr>
          <w:color w:val="000000" w:themeColor="text1"/>
          <w:lang w:val="cs-CZ"/>
        </w:rPr>
        <w:lastRenderedPageBreak/>
        <w:t>Obecné pokyny pro cíle</w:t>
      </w:r>
      <w:r w:rsidR="00CE0B49" w:rsidRPr="0055589B">
        <w:rPr>
          <w:color w:val="000000" w:themeColor="text1"/>
          <w:lang w:val="cs-CZ"/>
        </w:rPr>
        <w:t xml:space="preserve"> a plány</w:t>
      </w:r>
      <w:bookmarkEnd w:id="43"/>
    </w:p>
    <w:p w14:paraId="4AD06624" w14:textId="64D39DCE" w:rsidR="00224561" w:rsidRPr="0055589B" w:rsidRDefault="008301A6" w:rsidP="007F006A">
      <w:pPr>
        <w:keepNext/>
        <w:spacing w:before="240" w:after="120" w:line="276" w:lineRule="auto"/>
        <w:jc w:val="both"/>
        <w:outlineLvl w:val="3"/>
        <w:rPr>
          <w:rFonts w:ascii="Arial" w:eastAsia="Times New Roman" w:hAnsi="Arial" w:cs="Arial"/>
          <w:b/>
          <w:bCs/>
          <w:color w:val="000000" w:themeColor="text1"/>
          <w:szCs w:val="28"/>
          <w:lang w:val="cs-CZ" w:eastAsia="de-AT"/>
        </w:rPr>
      </w:pPr>
      <w:r w:rsidRPr="0055589B">
        <w:rPr>
          <w:rFonts w:ascii="Arial" w:hAnsi="Arial" w:cs="Arial"/>
          <w:b/>
          <w:bCs/>
          <w:color w:val="000000" w:themeColor="text1"/>
          <w:szCs w:val="28"/>
          <w:lang w:val="cs-CZ" w:eastAsia="de-AT"/>
        </w:rPr>
        <w:t>S</w:t>
      </w:r>
      <w:r w:rsidR="00224561" w:rsidRPr="0055589B">
        <w:rPr>
          <w:rFonts w:ascii="Arial" w:hAnsi="Arial" w:cs="Arial"/>
          <w:b/>
          <w:bCs/>
          <w:color w:val="000000" w:themeColor="text1"/>
          <w:szCs w:val="28"/>
          <w:lang w:val="cs-CZ" w:eastAsia="de-AT"/>
        </w:rPr>
        <w:t>tanovení cílů</w:t>
      </w:r>
      <w:r w:rsidR="00CE0B49" w:rsidRPr="0055589B">
        <w:rPr>
          <w:rFonts w:ascii="Arial" w:hAnsi="Arial" w:cs="Arial"/>
          <w:b/>
          <w:bCs/>
          <w:color w:val="000000" w:themeColor="text1"/>
          <w:szCs w:val="28"/>
          <w:lang w:val="cs-CZ" w:eastAsia="de-AT"/>
        </w:rPr>
        <w:t xml:space="preserve"> a plánů</w:t>
      </w:r>
    </w:p>
    <w:p w14:paraId="37EB499F" w14:textId="44FCF4B1"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Pro účely hodnocení </w:t>
      </w:r>
      <w:r w:rsidR="00CE0B49" w:rsidRPr="0055589B">
        <w:rPr>
          <w:rFonts w:ascii="Arial" w:hAnsi="Arial" w:cs="Arial"/>
          <w:color w:val="000000" w:themeColor="text1"/>
          <w:szCs w:val="24"/>
          <w:lang w:val="cs-CZ" w:eastAsia="de-AT"/>
        </w:rPr>
        <w:t xml:space="preserve">výkonnosti </w:t>
      </w:r>
      <w:r w:rsidRPr="0055589B">
        <w:rPr>
          <w:rFonts w:ascii="Arial" w:hAnsi="Arial" w:cs="Arial"/>
          <w:color w:val="000000" w:themeColor="text1"/>
          <w:szCs w:val="24"/>
          <w:lang w:val="cs-CZ" w:eastAsia="de-AT"/>
        </w:rPr>
        <w:t>mus</w:t>
      </w:r>
      <w:r w:rsidR="00CE0B49" w:rsidRPr="0055589B">
        <w:rPr>
          <w:rFonts w:ascii="Arial" w:hAnsi="Arial" w:cs="Arial"/>
          <w:color w:val="000000" w:themeColor="text1"/>
          <w:szCs w:val="24"/>
          <w:lang w:val="cs-CZ" w:eastAsia="de-AT"/>
        </w:rPr>
        <w:t>ej</w:t>
      </w:r>
      <w:r w:rsidRPr="0055589B">
        <w:rPr>
          <w:rFonts w:ascii="Arial" w:hAnsi="Arial" w:cs="Arial"/>
          <w:color w:val="000000" w:themeColor="text1"/>
          <w:szCs w:val="24"/>
          <w:lang w:val="cs-CZ" w:eastAsia="de-AT"/>
        </w:rPr>
        <w:t xml:space="preserve">í všichni zaměstnanci obdržet </w:t>
      </w:r>
      <w:r w:rsidR="00CE0B49" w:rsidRPr="0055589B">
        <w:rPr>
          <w:rFonts w:ascii="Arial" w:hAnsi="Arial" w:cs="Arial"/>
          <w:color w:val="000000" w:themeColor="text1"/>
          <w:szCs w:val="24"/>
          <w:lang w:val="cs-CZ" w:eastAsia="de-AT"/>
        </w:rPr>
        <w:t>cíle a plány na hodnocené</w:t>
      </w:r>
      <w:r w:rsidRPr="0055589B">
        <w:rPr>
          <w:rFonts w:ascii="Arial" w:hAnsi="Arial" w:cs="Arial"/>
          <w:color w:val="000000" w:themeColor="text1"/>
          <w:szCs w:val="24"/>
          <w:lang w:val="cs-CZ" w:eastAsia="de-AT"/>
        </w:rPr>
        <w:t xml:space="preserve"> období</w:t>
      </w:r>
      <w:r w:rsidR="00CE0B49" w:rsidRPr="0055589B">
        <w:rPr>
          <w:rFonts w:ascii="Arial" w:hAnsi="Arial" w:cs="Arial"/>
          <w:color w:val="000000" w:themeColor="text1"/>
          <w:szCs w:val="24"/>
          <w:lang w:val="cs-CZ" w:eastAsia="de-AT"/>
        </w:rPr>
        <w:t xml:space="preserve">. Cíle a plány </w:t>
      </w:r>
      <w:r w:rsidRPr="0055589B">
        <w:rPr>
          <w:rFonts w:ascii="Arial" w:hAnsi="Arial" w:cs="Arial"/>
          <w:color w:val="000000" w:themeColor="text1"/>
          <w:szCs w:val="24"/>
          <w:lang w:val="cs-CZ" w:eastAsia="de-AT"/>
        </w:rPr>
        <w:t>popisují</w:t>
      </w:r>
      <w:r w:rsidR="00CE0B49" w:rsidRPr="0055589B">
        <w:rPr>
          <w:rFonts w:ascii="Arial" w:hAnsi="Arial" w:cs="Arial"/>
          <w:color w:val="000000" w:themeColor="text1"/>
          <w:szCs w:val="24"/>
          <w:lang w:val="cs-CZ" w:eastAsia="de-AT"/>
        </w:rPr>
        <w:t>, jaké výsledky se</w:t>
      </w:r>
      <w:r w:rsidRPr="0055589B">
        <w:rPr>
          <w:rFonts w:ascii="Arial" w:hAnsi="Arial" w:cs="Arial"/>
          <w:color w:val="000000" w:themeColor="text1"/>
          <w:szCs w:val="24"/>
          <w:lang w:val="cs-CZ" w:eastAsia="de-AT"/>
        </w:rPr>
        <w:t xml:space="preserve"> očekáva</w:t>
      </w:r>
      <w:r w:rsidR="00CE0B49" w:rsidRPr="0055589B">
        <w:rPr>
          <w:rFonts w:ascii="Arial" w:hAnsi="Arial" w:cs="Arial"/>
          <w:color w:val="000000" w:themeColor="text1"/>
          <w:szCs w:val="24"/>
          <w:lang w:val="cs-CZ" w:eastAsia="de-AT"/>
        </w:rPr>
        <w:t>jí</w:t>
      </w:r>
      <w:r w:rsidRPr="0055589B">
        <w:rPr>
          <w:rFonts w:ascii="Arial" w:hAnsi="Arial" w:cs="Arial"/>
          <w:color w:val="000000" w:themeColor="text1"/>
          <w:szCs w:val="24"/>
          <w:lang w:val="cs-CZ" w:eastAsia="de-AT"/>
        </w:rPr>
        <w:t xml:space="preserve">. Proces stanovení cílů a </w:t>
      </w:r>
      <w:r w:rsidR="00CE0B49" w:rsidRPr="0055589B">
        <w:rPr>
          <w:rFonts w:ascii="Arial" w:hAnsi="Arial" w:cs="Arial"/>
          <w:color w:val="000000" w:themeColor="text1"/>
          <w:szCs w:val="24"/>
          <w:lang w:val="cs-CZ" w:eastAsia="de-AT"/>
        </w:rPr>
        <w:t xml:space="preserve">plánů je navázán na </w:t>
      </w:r>
      <w:r w:rsidRPr="0055589B">
        <w:rPr>
          <w:rFonts w:ascii="Arial" w:hAnsi="Arial" w:cs="Arial"/>
          <w:color w:val="000000" w:themeColor="text1"/>
          <w:szCs w:val="24"/>
          <w:lang w:val="cs-CZ" w:eastAsia="de-AT"/>
        </w:rPr>
        <w:t>celkový</w:t>
      </w:r>
      <w:r w:rsidR="00CE0B49"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 xml:space="preserve">procesem řízení výkonnosti a </w:t>
      </w:r>
      <w:r w:rsidR="00CE0B49" w:rsidRPr="0055589B">
        <w:rPr>
          <w:rFonts w:ascii="Arial" w:hAnsi="Arial" w:cs="Arial"/>
          <w:color w:val="000000" w:themeColor="text1"/>
          <w:szCs w:val="24"/>
          <w:lang w:val="cs-CZ" w:eastAsia="de-AT"/>
        </w:rPr>
        <w:t>na směrnice S</w:t>
      </w:r>
      <w:r w:rsidRPr="0055589B">
        <w:rPr>
          <w:rFonts w:ascii="Arial" w:hAnsi="Arial" w:cs="Arial"/>
          <w:color w:val="000000" w:themeColor="text1"/>
          <w:szCs w:val="24"/>
          <w:lang w:val="cs-CZ" w:eastAsia="de-AT"/>
        </w:rPr>
        <w:t xml:space="preserve">polečnosti. </w:t>
      </w:r>
    </w:p>
    <w:p w14:paraId="58742ABB" w14:textId="4D3ABF5F"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Každý cíl a </w:t>
      </w:r>
      <w:r w:rsidR="00CE0B49" w:rsidRPr="0055589B">
        <w:rPr>
          <w:rFonts w:ascii="Arial" w:hAnsi="Arial" w:cs="Arial"/>
          <w:color w:val="000000" w:themeColor="text1"/>
          <w:szCs w:val="24"/>
          <w:lang w:val="cs-CZ" w:eastAsia="de-AT"/>
        </w:rPr>
        <w:t>plán</w:t>
      </w:r>
      <w:r w:rsidRPr="0055589B">
        <w:rPr>
          <w:rFonts w:ascii="Arial" w:hAnsi="Arial" w:cs="Arial"/>
          <w:color w:val="000000" w:themeColor="text1"/>
          <w:szCs w:val="24"/>
          <w:lang w:val="cs-CZ" w:eastAsia="de-AT"/>
        </w:rPr>
        <w:t xml:space="preserve"> je dohodnut mezi zaměstnancem a nadřízeným. </w:t>
      </w:r>
      <w:r w:rsidR="00CE0B49" w:rsidRPr="0055589B">
        <w:rPr>
          <w:rFonts w:ascii="Arial" w:hAnsi="Arial" w:cs="Arial"/>
          <w:color w:val="000000" w:themeColor="text1"/>
          <w:szCs w:val="24"/>
          <w:lang w:val="cs-CZ" w:eastAsia="de-AT"/>
        </w:rPr>
        <w:t>C</w:t>
      </w:r>
      <w:r w:rsidRPr="0055589B">
        <w:rPr>
          <w:rFonts w:ascii="Arial" w:hAnsi="Arial" w:cs="Arial"/>
          <w:color w:val="000000" w:themeColor="text1"/>
          <w:szCs w:val="24"/>
          <w:lang w:val="cs-CZ" w:eastAsia="de-AT"/>
        </w:rPr>
        <w:t xml:space="preserve">íle </w:t>
      </w:r>
      <w:r w:rsidR="00CE0B49" w:rsidRPr="0055589B">
        <w:rPr>
          <w:rFonts w:ascii="Arial" w:hAnsi="Arial" w:cs="Arial"/>
          <w:color w:val="000000" w:themeColor="text1"/>
          <w:szCs w:val="24"/>
          <w:lang w:val="cs-CZ" w:eastAsia="de-AT"/>
        </w:rPr>
        <w:t xml:space="preserve">představují </w:t>
      </w:r>
      <w:r w:rsidRPr="0055589B">
        <w:rPr>
          <w:rFonts w:ascii="Arial" w:hAnsi="Arial" w:cs="Arial"/>
          <w:color w:val="000000" w:themeColor="text1"/>
          <w:szCs w:val="24"/>
          <w:lang w:val="cs-CZ" w:eastAsia="de-AT"/>
        </w:rPr>
        <w:t>přiměřen</w:t>
      </w:r>
      <w:r w:rsidR="00CE0B49" w:rsidRPr="0055589B">
        <w:rPr>
          <w:rFonts w:ascii="Arial" w:hAnsi="Arial" w:cs="Arial"/>
          <w:color w:val="000000" w:themeColor="text1"/>
          <w:szCs w:val="24"/>
          <w:lang w:val="cs-CZ" w:eastAsia="de-AT"/>
        </w:rPr>
        <w:t>ou</w:t>
      </w:r>
      <w:r w:rsidRPr="0055589B">
        <w:rPr>
          <w:rFonts w:ascii="Arial" w:hAnsi="Arial" w:cs="Arial"/>
          <w:color w:val="000000" w:themeColor="text1"/>
          <w:szCs w:val="24"/>
          <w:lang w:val="cs-CZ" w:eastAsia="de-AT"/>
        </w:rPr>
        <w:t xml:space="preserve"> rovnová</w:t>
      </w:r>
      <w:r w:rsidR="00CE0B49" w:rsidRPr="0055589B">
        <w:rPr>
          <w:rFonts w:ascii="Arial" w:hAnsi="Arial" w:cs="Arial"/>
          <w:color w:val="000000" w:themeColor="text1"/>
          <w:szCs w:val="24"/>
          <w:lang w:val="cs-CZ" w:eastAsia="de-AT"/>
        </w:rPr>
        <w:t xml:space="preserve">hu </w:t>
      </w:r>
      <w:r w:rsidRPr="0055589B">
        <w:rPr>
          <w:rFonts w:ascii="Arial" w:hAnsi="Arial" w:cs="Arial"/>
          <w:color w:val="000000" w:themeColor="text1"/>
          <w:szCs w:val="24"/>
          <w:lang w:val="cs-CZ" w:eastAsia="de-AT"/>
        </w:rPr>
        <w:t xml:space="preserve">kvantitativních a kvalitativních kritérií. Cíle a </w:t>
      </w:r>
      <w:r w:rsidR="00CE0B49" w:rsidRPr="0055589B">
        <w:rPr>
          <w:rFonts w:ascii="Arial" w:hAnsi="Arial" w:cs="Arial"/>
          <w:color w:val="000000" w:themeColor="text1"/>
          <w:szCs w:val="24"/>
          <w:lang w:val="cs-CZ" w:eastAsia="de-AT"/>
        </w:rPr>
        <w:t xml:space="preserve">plány jsou </w:t>
      </w:r>
      <w:r w:rsidRPr="0055589B">
        <w:rPr>
          <w:rFonts w:ascii="Arial" w:hAnsi="Arial" w:cs="Arial"/>
          <w:color w:val="000000" w:themeColor="text1"/>
          <w:szCs w:val="24"/>
          <w:lang w:val="cs-CZ" w:eastAsia="de-AT"/>
        </w:rPr>
        <w:t xml:space="preserve">ovlivňovány prostřednictvím rozhodnutí a práce zaměstnance. </w:t>
      </w:r>
    </w:p>
    <w:p w14:paraId="7B983D31" w14:textId="5A0FCDF2" w:rsidR="00224561" w:rsidRPr="0055589B" w:rsidRDefault="00CE0B49"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H</w:t>
      </w:r>
      <w:r w:rsidR="00224561" w:rsidRPr="0055589B">
        <w:rPr>
          <w:rFonts w:ascii="Arial" w:hAnsi="Arial" w:cs="Arial"/>
          <w:color w:val="000000" w:themeColor="text1"/>
          <w:szCs w:val="24"/>
          <w:lang w:val="cs-CZ" w:eastAsia="de-AT"/>
        </w:rPr>
        <w:t xml:space="preserve">odnocení cílů a </w:t>
      </w:r>
      <w:r w:rsidRPr="0055589B">
        <w:rPr>
          <w:rFonts w:ascii="Arial" w:hAnsi="Arial" w:cs="Arial"/>
          <w:color w:val="000000" w:themeColor="text1"/>
          <w:szCs w:val="24"/>
          <w:lang w:val="cs-CZ" w:eastAsia="de-AT"/>
        </w:rPr>
        <w:t xml:space="preserve">plánu musí být zdokumentováno. </w:t>
      </w:r>
      <w:r w:rsidR="00224561" w:rsidRPr="0055589B">
        <w:rPr>
          <w:rFonts w:ascii="Arial" w:hAnsi="Arial" w:cs="Arial"/>
          <w:color w:val="000000" w:themeColor="text1"/>
          <w:szCs w:val="24"/>
          <w:lang w:val="cs-CZ" w:eastAsia="de-AT"/>
        </w:rPr>
        <w:t xml:space="preserve">Hodnocení cílů a </w:t>
      </w:r>
      <w:r w:rsidRPr="0055589B">
        <w:rPr>
          <w:rFonts w:ascii="Arial" w:hAnsi="Arial" w:cs="Arial"/>
          <w:color w:val="000000" w:themeColor="text1"/>
          <w:szCs w:val="24"/>
          <w:lang w:val="cs-CZ" w:eastAsia="de-AT"/>
        </w:rPr>
        <w:t>plánů v</w:t>
      </w:r>
      <w:r w:rsidR="00224561" w:rsidRPr="0055589B">
        <w:rPr>
          <w:rFonts w:ascii="Arial" w:hAnsi="Arial" w:cs="Arial"/>
          <w:color w:val="000000" w:themeColor="text1"/>
          <w:szCs w:val="24"/>
          <w:lang w:val="cs-CZ" w:eastAsia="de-AT"/>
        </w:rPr>
        <w:t xml:space="preserve">ždy </w:t>
      </w:r>
      <w:r w:rsidRPr="0055589B">
        <w:rPr>
          <w:rFonts w:ascii="Arial" w:hAnsi="Arial" w:cs="Arial"/>
          <w:color w:val="000000" w:themeColor="text1"/>
          <w:szCs w:val="24"/>
          <w:lang w:val="cs-CZ" w:eastAsia="de-AT"/>
        </w:rPr>
        <w:t xml:space="preserve">probíhá </w:t>
      </w:r>
      <w:r w:rsidR="00224561" w:rsidRPr="0055589B">
        <w:rPr>
          <w:rFonts w:ascii="Arial" w:hAnsi="Arial" w:cs="Arial"/>
          <w:color w:val="000000" w:themeColor="text1"/>
          <w:szCs w:val="24"/>
          <w:lang w:val="cs-CZ" w:eastAsia="de-AT"/>
        </w:rPr>
        <w:t>mezi nadřízeným (</w:t>
      </w:r>
      <w:r w:rsidRPr="0055589B">
        <w:rPr>
          <w:rFonts w:ascii="Arial" w:hAnsi="Arial" w:cs="Arial"/>
          <w:color w:val="000000" w:themeColor="text1"/>
          <w:szCs w:val="24"/>
          <w:lang w:val="cs-CZ" w:eastAsia="de-AT"/>
        </w:rPr>
        <w:t xml:space="preserve">liniovým </w:t>
      </w:r>
      <w:r w:rsidR="00224561" w:rsidRPr="0055589B">
        <w:rPr>
          <w:rFonts w:ascii="Arial" w:hAnsi="Arial" w:cs="Arial"/>
          <w:color w:val="000000" w:themeColor="text1"/>
          <w:szCs w:val="24"/>
          <w:lang w:val="cs-CZ" w:eastAsia="de-AT"/>
        </w:rPr>
        <w:t xml:space="preserve">a/nebo maticovým) a zaměstnancem. Kromě toho </w:t>
      </w:r>
      <w:r w:rsidRPr="0055589B">
        <w:rPr>
          <w:rFonts w:ascii="Arial" w:hAnsi="Arial" w:cs="Arial"/>
          <w:color w:val="000000" w:themeColor="text1"/>
          <w:szCs w:val="24"/>
          <w:lang w:val="cs-CZ" w:eastAsia="de-AT"/>
        </w:rPr>
        <w:t>může</w:t>
      </w:r>
      <w:r w:rsidR="00224561" w:rsidRPr="0055589B">
        <w:rPr>
          <w:rFonts w:ascii="Arial" w:hAnsi="Arial" w:cs="Arial"/>
          <w:color w:val="000000" w:themeColor="text1"/>
          <w:szCs w:val="24"/>
          <w:lang w:val="cs-CZ" w:eastAsia="de-AT"/>
        </w:rPr>
        <w:t xml:space="preserve"> hodnocení prov</w:t>
      </w:r>
      <w:r w:rsidRPr="0055589B">
        <w:rPr>
          <w:rFonts w:ascii="Arial" w:hAnsi="Arial" w:cs="Arial"/>
          <w:color w:val="000000" w:themeColor="text1"/>
          <w:szCs w:val="24"/>
          <w:lang w:val="cs-CZ" w:eastAsia="de-AT"/>
        </w:rPr>
        <w:t xml:space="preserve">ádět i </w:t>
      </w:r>
      <w:r w:rsidR="00224561" w:rsidRPr="0055589B">
        <w:rPr>
          <w:rFonts w:ascii="Arial" w:hAnsi="Arial" w:cs="Arial"/>
          <w:color w:val="000000" w:themeColor="text1"/>
          <w:szCs w:val="24"/>
          <w:lang w:val="cs-CZ" w:eastAsia="de-AT"/>
        </w:rPr>
        <w:t xml:space="preserve">hodnotící výbor. </w:t>
      </w:r>
    </w:p>
    <w:p w14:paraId="1A708B45" w14:textId="61409C49"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Hodnotící výbor se skládá z členů, kteří mají přehled o pracovních povinnostech a požadavcích na výkon</w:t>
      </w:r>
      <w:r w:rsidR="00693441" w:rsidRPr="0055589B">
        <w:rPr>
          <w:rFonts w:ascii="Arial" w:hAnsi="Arial" w:cs="Arial"/>
          <w:color w:val="000000" w:themeColor="text1"/>
          <w:szCs w:val="24"/>
          <w:lang w:val="cs-CZ" w:eastAsia="de-AT"/>
        </w:rPr>
        <w:t>nost</w:t>
      </w:r>
      <w:r w:rsidRPr="0055589B">
        <w:rPr>
          <w:rFonts w:ascii="Arial" w:hAnsi="Arial" w:cs="Arial"/>
          <w:color w:val="000000" w:themeColor="text1"/>
          <w:szCs w:val="24"/>
          <w:lang w:val="cs-CZ" w:eastAsia="de-AT"/>
        </w:rPr>
        <w:t xml:space="preserve"> zaměstnance. Nadřízený zaměstnanc</w:t>
      </w:r>
      <w:r w:rsidR="00693441" w:rsidRPr="0055589B">
        <w:rPr>
          <w:rFonts w:ascii="Arial" w:hAnsi="Arial" w:cs="Arial"/>
          <w:color w:val="000000" w:themeColor="text1"/>
          <w:szCs w:val="24"/>
          <w:lang w:val="cs-CZ" w:eastAsia="de-AT"/>
        </w:rPr>
        <w:t>e</w:t>
      </w:r>
      <w:r w:rsidRPr="0055589B">
        <w:rPr>
          <w:rFonts w:ascii="Arial" w:hAnsi="Arial" w:cs="Arial"/>
          <w:color w:val="000000" w:themeColor="text1"/>
          <w:szCs w:val="24"/>
          <w:lang w:val="cs-CZ" w:eastAsia="de-AT"/>
        </w:rPr>
        <w:t xml:space="preserve"> p</w:t>
      </w:r>
      <w:r w:rsidR="00693441" w:rsidRPr="0055589B">
        <w:rPr>
          <w:rFonts w:ascii="Arial" w:hAnsi="Arial" w:cs="Arial"/>
          <w:color w:val="000000" w:themeColor="text1"/>
          <w:szCs w:val="24"/>
          <w:lang w:val="cs-CZ" w:eastAsia="de-AT"/>
        </w:rPr>
        <w:t>rezentuje</w:t>
      </w:r>
      <w:r w:rsidRPr="0055589B">
        <w:rPr>
          <w:rFonts w:ascii="Arial" w:hAnsi="Arial" w:cs="Arial"/>
          <w:color w:val="000000" w:themeColor="text1"/>
          <w:szCs w:val="24"/>
          <w:lang w:val="cs-CZ" w:eastAsia="de-AT"/>
        </w:rPr>
        <w:t xml:space="preserve"> výkon</w:t>
      </w:r>
      <w:r w:rsidR="00693441" w:rsidRPr="0055589B">
        <w:rPr>
          <w:rFonts w:ascii="Arial" w:hAnsi="Arial" w:cs="Arial"/>
          <w:color w:val="000000" w:themeColor="text1"/>
          <w:szCs w:val="24"/>
          <w:lang w:val="cs-CZ" w:eastAsia="de-AT"/>
        </w:rPr>
        <w:t>nost</w:t>
      </w:r>
      <w:r w:rsidRPr="0055589B">
        <w:rPr>
          <w:rFonts w:ascii="Arial" w:hAnsi="Arial" w:cs="Arial"/>
          <w:color w:val="000000" w:themeColor="text1"/>
          <w:szCs w:val="24"/>
          <w:lang w:val="cs-CZ" w:eastAsia="de-AT"/>
        </w:rPr>
        <w:t xml:space="preserve"> a budoucí způsobilost zaměstnance. Hodnotící výbor poskytuje další zpětnou vazbu </w:t>
      </w:r>
      <w:r w:rsidR="00693441" w:rsidRPr="0055589B">
        <w:rPr>
          <w:rFonts w:ascii="Arial" w:hAnsi="Arial" w:cs="Arial"/>
          <w:color w:val="000000" w:themeColor="text1"/>
          <w:szCs w:val="24"/>
          <w:lang w:val="cs-CZ" w:eastAsia="de-AT"/>
        </w:rPr>
        <w:t>k výkonům a vývoji</w:t>
      </w:r>
      <w:r w:rsidRPr="0055589B">
        <w:rPr>
          <w:rFonts w:ascii="Arial" w:hAnsi="Arial" w:cs="Arial"/>
          <w:color w:val="000000" w:themeColor="text1"/>
          <w:szCs w:val="24"/>
          <w:lang w:val="cs-CZ" w:eastAsia="de-AT"/>
        </w:rPr>
        <w:t xml:space="preserve"> zaměstnance. Tato zpětná vazba se týká: </w:t>
      </w:r>
      <w:r w:rsidR="00693441" w:rsidRPr="0055589B">
        <w:rPr>
          <w:rFonts w:ascii="Arial" w:hAnsi="Arial" w:cs="Arial"/>
          <w:color w:val="000000" w:themeColor="text1"/>
          <w:szCs w:val="24"/>
          <w:lang w:val="cs-CZ" w:eastAsia="de-AT"/>
        </w:rPr>
        <w:t xml:space="preserve">dosahování </w:t>
      </w:r>
      <w:r w:rsidRPr="0055589B">
        <w:rPr>
          <w:rFonts w:ascii="Arial" w:hAnsi="Arial" w:cs="Arial"/>
          <w:color w:val="000000" w:themeColor="text1"/>
          <w:szCs w:val="24"/>
          <w:lang w:val="cs-CZ" w:eastAsia="de-AT"/>
        </w:rPr>
        <w:t xml:space="preserve">konkrétních obchodních cílů, výzev a stylů vedení, oblastí pro </w:t>
      </w:r>
      <w:r w:rsidR="00693441" w:rsidRPr="0055589B">
        <w:rPr>
          <w:rFonts w:ascii="Arial" w:hAnsi="Arial" w:cs="Arial"/>
          <w:color w:val="000000" w:themeColor="text1"/>
          <w:szCs w:val="24"/>
          <w:lang w:val="cs-CZ" w:eastAsia="de-AT"/>
        </w:rPr>
        <w:t>další rozvoj,</w:t>
      </w:r>
      <w:r w:rsidRPr="0055589B">
        <w:rPr>
          <w:rFonts w:ascii="Arial" w:hAnsi="Arial" w:cs="Arial"/>
          <w:color w:val="000000" w:themeColor="text1"/>
          <w:szCs w:val="24"/>
          <w:lang w:val="cs-CZ" w:eastAsia="de-AT"/>
        </w:rPr>
        <w:t xml:space="preserve"> posouzení </w:t>
      </w:r>
      <w:r w:rsidR="00693441" w:rsidRPr="0055589B">
        <w:rPr>
          <w:rFonts w:ascii="Arial" w:hAnsi="Arial" w:cs="Arial"/>
          <w:color w:val="000000" w:themeColor="text1"/>
          <w:szCs w:val="24"/>
          <w:lang w:val="cs-CZ" w:eastAsia="de-AT"/>
        </w:rPr>
        <w:t xml:space="preserve">způsobilosti </w:t>
      </w:r>
      <w:r w:rsidRPr="0055589B">
        <w:rPr>
          <w:rFonts w:ascii="Arial" w:hAnsi="Arial" w:cs="Arial"/>
          <w:color w:val="000000" w:themeColor="text1"/>
          <w:szCs w:val="24"/>
          <w:lang w:val="cs-CZ" w:eastAsia="de-AT"/>
        </w:rPr>
        <w:t xml:space="preserve">zaměstnance </w:t>
      </w:r>
      <w:r w:rsidR="00693441" w:rsidRPr="0055589B">
        <w:rPr>
          <w:rFonts w:ascii="Arial" w:hAnsi="Arial" w:cs="Arial"/>
          <w:color w:val="000000" w:themeColor="text1"/>
          <w:szCs w:val="24"/>
          <w:lang w:val="cs-CZ" w:eastAsia="de-AT"/>
        </w:rPr>
        <w:t>do</w:t>
      </w:r>
      <w:r w:rsidRPr="0055589B">
        <w:rPr>
          <w:rFonts w:ascii="Arial" w:hAnsi="Arial" w:cs="Arial"/>
          <w:color w:val="000000" w:themeColor="text1"/>
          <w:szCs w:val="24"/>
          <w:lang w:val="cs-CZ" w:eastAsia="de-AT"/>
        </w:rPr>
        <w:t xml:space="preserve"> budoucn</w:t>
      </w:r>
      <w:r w:rsidR="00693441" w:rsidRPr="0055589B">
        <w:rPr>
          <w:rFonts w:ascii="Arial" w:hAnsi="Arial" w:cs="Arial"/>
          <w:color w:val="000000" w:themeColor="text1"/>
          <w:szCs w:val="24"/>
          <w:lang w:val="cs-CZ" w:eastAsia="de-AT"/>
        </w:rPr>
        <w:t>a</w:t>
      </w:r>
      <w:r w:rsidRPr="0055589B">
        <w:rPr>
          <w:rFonts w:ascii="Arial" w:hAnsi="Arial" w:cs="Arial"/>
          <w:color w:val="000000" w:themeColor="text1"/>
          <w:szCs w:val="24"/>
          <w:lang w:val="cs-CZ" w:eastAsia="de-AT"/>
        </w:rPr>
        <w:t xml:space="preserve">. Hodnotící výbor rozhoduje </w:t>
      </w:r>
      <w:r w:rsidR="00693441" w:rsidRPr="0055589B">
        <w:rPr>
          <w:rFonts w:ascii="Arial" w:hAnsi="Arial" w:cs="Arial"/>
          <w:color w:val="000000" w:themeColor="text1"/>
          <w:szCs w:val="24"/>
          <w:lang w:val="cs-CZ" w:eastAsia="de-AT"/>
        </w:rPr>
        <w:t xml:space="preserve">také o </w:t>
      </w:r>
      <w:r w:rsidRPr="0055589B">
        <w:rPr>
          <w:rFonts w:ascii="Arial" w:hAnsi="Arial" w:cs="Arial"/>
          <w:color w:val="000000" w:themeColor="text1"/>
          <w:szCs w:val="24"/>
          <w:lang w:val="cs-CZ" w:eastAsia="de-AT"/>
        </w:rPr>
        <w:t>konečném hodnocení výkonnosti, v</w:t>
      </w:r>
      <w:r w:rsidR="00693441" w:rsidRPr="0055589B">
        <w:rPr>
          <w:rFonts w:ascii="Arial" w:hAnsi="Arial" w:cs="Arial"/>
          <w:color w:val="000000" w:themeColor="text1"/>
          <w:szCs w:val="24"/>
          <w:lang w:val="cs-CZ" w:eastAsia="de-AT"/>
        </w:rPr>
        <w:t xml:space="preserve">ůdčích schopností a způsobilosti </w:t>
      </w:r>
      <w:r w:rsidRPr="0055589B">
        <w:rPr>
          <w:rFonts w:ascii="Arial" w:hAnsi="Arial" w:cs="Arial"/>
          <w:color w:val="000000" w:themeColor="text1"/>
          <w:szCs w:val="24"/>
          <w:lang w:val="cs-CZ" w:eastAsia="de-AT"/>
        </w:rPr>
        <w:t>zaměstnance.</w:t>
      </w:r>
    </w:p>
    <w:p w14:paraId="6A9BA351" w14:textId="38A5DD1B"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Celkové hodnocení výkonnosti zaměstnanců musí </w:t>
      </w:r>
      <w:r w:rsidR="00693441" w:rsidRPr="0055589B">
        <w:rPr>
          <w:rFonts w:ascii="Arial" w:hAnsi="Arial" w:cs="Arial"/>
          <w:color w:val="000000" w:themeColor="text1"/>
          <w:szCs w:val="24"/>
          <w:lang w:val="cs-CZ" w:eastAsia="de-AT"/>
        </w:rPr>
        <w:t xml:space="preserve">dosahovat nejméně úrovně „splnil </w:t>
      </w:r>
      <w:r w:rsidRPr="0055589B">
        <w:rPr>
          <w:rFonts w:ascii="Arial" w:hAnsi="Arial" w:cs="Arial"/>
          <w:color w:val="000000" w:themeColor="text1"/>
          <w:szCs w:val="24"/>
          <w:lang w:val="cs-CZ" w:eastAsia="de-AT"/>
        </w:rPr>
        <w:t xml:space="preserve">očekávání", aby </w:t>
      </w:r>
      <w:r w:rsidR="00693441" w:rsidRPr="0055589B">
        <w:rPr>
          <w:rFonts w:ascii="Arial" w:hAnsi="Arial" w:cs="Arial"/>
          <w:color w:val="000000" w:themeColor="text1"/>
          <w:szCs w:val="24"/>
          <w:lang w:val="cs-CZ" w:eastAsia="de-AT"/>
        </w:rPr>
        <w:t xml:space="preserve">byl </w:t>
      </w:r>
      <w:r w:rsidRPr="0055589B">
        <w:rPr>
          <w:rFonts w:ascii="Arial" w:hAnsi="Arial" w:cs="Arial"/>
          <w:color w:val="000000" w:themeColor="text1"/>
          <w:szCs w:val="24"/>
          <w:lang w:val="cs-CZ" w:eastAsia="de-AT"/>
        </w:rPr>
        <w:t>zaměstnanec</w:t>
      </w:r>
      <w:r w:rsidR="00693441"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 xml:space="preserve">způsobilý k získání pohyblivé odměny.  </w:t>
      </w:r>
    </w:p>
    <w:p w14:paraId="6FD53EAD" w14:textId="187468AB" w:rsidR="00224561" w:rsidRPr="0055589B" w:rsidRDefault="00224561" w:rsidP="007F006A">
      <w:pPr>
        <w:keepNext/>
        <w:spacing w:before="240" w:after="120" w:line="276" w:lineRule="auto"/>
        <w:jc w:val="both"/>
        <w:outlineLvl w:val="3"/>
        <w:rPr>
          <w:rFonts w:ascii="Arial" w:eastAsia="Times New Roman" w:hAnsi="Arial" w:cs="Arial"/>
          <w:b/>
          <w:bCs/>
          <w:noProof/>
          <w:color w:val="000000" w:themeColor="text1"/>
          <w:szCs w:val="28"/>
          <w:lang w:val="cs-CZ" w:eastAsia="de-AT"/>
        </w:rPr>
      </w:pPr>
      <w:r w:rsidRPr="0055589B">
        <w:rPr>
          <w:rFonts w:ascii="Arial" w:hAnsi="Arial" w:cs="Arial"/>
          <w:b/>
          <w:bCs/>
          <w:noProof/>
          <w:color w:val="000000" w:themeColor="text1"/>
          <w:szCs w:val="28"/>
          <w:lang w:val="cs-CZ" w:eastAsia="de-AT"/>
        </w:rPr>
        <w:t xml:space="preserve">Cíle a </w:t>
      </w:r>
      <w:r w:rsidR="00693441" w:rsidRPr="0055589B">
        <w:rPr>
          <w:rFonts w:ascii="Arial" w:hAnsi="Arial" w:cs="Arial"/>
          <w:b/>
          <w:bCs/>
          <w:noProof/>
          <w:color w:val="000000" w:themeColor="text1"/>
          <w:szCs w:val="28"/>
          <w:lang w:val="cs-CZ" w:eastAsia="de-AT"/>
        </w:rPr>
        <w:t xml:space="preserve">plány pro pracovníky </w:t>
      </w:r>
      <w:r w:rsidRPr="0055589B">
        <w:rPr>
          <w:rFonts w:ascii="Arial" w:hAnsi="Arial" w:cs="Arial"/>
          <w:b/>
          <w:bCs/>
          <w:noProof/>
          <w:color w:val="000000" w:themeColor="text1"/>
          <w:szCs w:val="28"/>
          <w:lang w:val="cs-CZ" w:eastAsia="de-AT"/>
        </w:rPr>
        <w:t>kontrol</w:t>
      </w:r>
      <w:r w:rsidR="00693441" w:rsidRPr="0055589B">
        <w:rPr>
          <w:rFonts w:ascii="Arial" w:hAnsi="Arial" w:cs="Arial"/>
          <w:b/>
          <w:bCs/>
          <w:noProof/>
          <w:color w:val="000000" w:themeColor="text1"/>
          <w:szCs w:val="28"/>
          <w:lang w:val="cs-CZ" w:eastAsia="de-AT"/>
        </w:rPr>
        <w:t>y</w:t>
      </w:r>
    </w:p>
    <w:p w14:paraId="62D27466" w14:textId="1095A252" w:rsidR="00224561" w:rsidRPr="0055589B" w:rsidRDefault="00224561" w:rsidP="007F006A">
      <w:pPr>
        <w:tabs>
          <w:tab w:val="left" w:pos="708"/>
        </w:tabs>
        <w:spacing w:after="120" w:line="276" w:lineRule="auto"/>
        <w:contextualSpacing/>
        <w:jc w:val="both"/>
        <w:rPr>
          <w:rFonts w:ascii="Arial" w:hAnsi="Arial" w:cs="Arial"/>
          <w:color w:val="000000" w:themeColor="text1"/>
          <w:lang w:val="cs-CZ" w:eastAsia="de-AT"/>
        </w:rPr>
      </w:pPr>
      <w:r w:rsidRPr="0055589B">
        <w:rPr>
          <w:rFonts w:ascii="Arial" w:hAnsi="Arial" w:cs="Arial"/>
          <w:color w:val="000000" w:themeColor="text1"/>
          <w:lang w:val="cs-CZ" w:eastAsia="de-AT"/>
        </w:rPr>
        <w:t xml:space="preserve">Zaměstnanci </w:t>
      </w:r>
      <w:r w:rsidR="00706D89" w:rsidRPr="0055589B">
        <w:rPr>
          <w:rFonts w:ascii="Arial" w:hAnsi="Arial" w:cs="Arial"/>
          <w:color w:val="000000" w:themeColor="text1"/>
          <w:lang w:val="cs-CZ" w:eastAsia="de-AT"/>
        </w:rPr>
        <w:t xml:space="preserve">vykonávající funkci </w:t>
      </w:r>
      <w:r w:rsidRPr="0055589B">
        <w:rPr>
          <w:rFonts w:ascii="Arial" w:hAnsi="Arial" w:cs="Arial"/>
          <w:color w:val="000000" w:themeColor="text1"/>
          <w:lang w:val="cs-CZ" w:eastAsia="de-AT"/>
        </w:rPr>
        <w:t>interní kontrol</w:t>
      </w:r>
      <w:r w:rsidR="00706D89" w:rsidRPr="0055589B">
        <w:rPr>
          <w:rFonts w:ascii="Arial" w:hAnsi="Arial" w:cs="Arial"/>
          <w:color w:val="000000" w:themeColor="text1"/>
          <w:lang w:val="cs-CZ" w:eastAsia="de-AT"/>
        </w:rPr>
        <w:t>y</w:t>
      </w:r>
      <w:r w:rsidRPr="0055589B">
        <w:rPr>
          <w:rFonts w:ascii="Arial" w:hAnsi="Arial" w:cs="Arial"/>
          <w:color w:val="000000" w:themeColor="text1"/>
          <w:lang w:val="cs-CZ" w:eastAsia="de-AT"/>
        </w:rPr>
        <w:t xml:space="preserve"> (interní audit, </w:t>
      </w:r>
      <w:r w:rsidR="00706D89" w:rsidRPr="0055589B">
        <w:rPr>
          <w:rFonts w:ascii="Arial" w:hAnsi="Arial" w:cs="Arial"/>
          <w:color w:val="000000" w:themeColor="text1"/>
          <w:lang w:val="cs-CZ" w:eastAsia="de-AT"/>
        </w:rPr>
        <w:t>compliance</w:t>
      </w:r>
      <w:r w:rsidRPr="0055589B">
        <w:rPr>
          <w:rFonts w:ascii="Arial" w:hAnsi="Arial" w:cs="Arial"/>
          <w:color w:val="000000" w:themeColor="text1"/>
          <w:lang w:val="cs-CZ" w:eastAsia="de-AT"/>
        </w:rPr>
        <w:t xml:space="preserve"> a řízení rizik) mus</w:t>
      </w:r>
      <w:r w:rsidR="00706D89" w:rsidRPr="0055589B">
        <w:rPr>
          <w:rFonts w:ascii="Arial" w:hAnsi="Arial" w:cs="Arial"/>
          <w:color w:val="000000" w:themeColor="text1"/>
          <w:lang w:val="cs-CZ" w:eastAsia="de-AT"/>
        </w:rPr>
        <w:t>ej</w:t>
      </w:r>
      <w:r w:rsidRPr="0055589B">
        <w:rPr>
          <w:rFonts w:ascii="Arial" w:hAnsi="Arial" w:cs="Arial"/>
          <w:color w:val="000000" w:themeColor="text1"/>
          <w:lang w:val="cs-CZ" w:eastAsia="de-AT"/>
        </w:rPr>
        <w:t>í být nezávislí na o</w:t>
      </w:r>
      <w:r w:rsidR="00706D89" w:rsidRPr="0055589B">
        <w:rPr>
          <w:rFonts w:ascii="Arial" w:hAnsi="Arial" w:cs="Arial"/>
          <w:color w:val="000000" w:themeColor="text1"/>
          <w:lang w:val="cs-CZ" w:eastAsia="de-AT"/>
        </w:rPr>
        <w:t xml:space="preserve">bchodních </w:t>
      </w:r>
      <w:r w:rsidRPr="0055589B">
        <w:rPr>
          <w:rFonts w:ascii="Arial" w:hAnsi="Arial" w:cs="Arial"/>
          <w:color w:val="000000" w:themeColor="text1"/>
          <w:lang w:val="cs-CZ" w:eastAsia="de-AT"/>
        </w:rPr>
        <w:t xml:space="preserve">jednotkách, </w:t>
      </w:r>
      <w:r w:rsidR="00706D89" w:rsidRPr="0055589B">
        <w:rPr>
          <w:rFonts w:ascii="Arial" w:hAnsi="Arial" w:cs="Arial"/>
          <w:color w:val="000000" w:themeColor="text1"/>
          <w:lang w:val="cs-CZ" w:eastAsia="de-AT"/>
        </w:rPr>
        <w:t xml:space="preserve">na </w:t>
      </w:r>
      <w:r w:rsidRPr="0055589B">
        <w:rPr>
          <w:rFonts w:ascii="Arial" w:hAnsi="Arial" w:cs="Arial"/>
          <w:color w:val="000000" w:themeColor="text1"/>
          <w:lang w:val="cs-CZ" w:eastAsia="de-AT"/>
        </w:rPr>
        <w:t>které dohlížejí, m</w:t>
      </w:r>
      <w:r w:rsidR="00B247CF" w:rsidRPr="0055589B">
        <w:rPr>
          <w:rFonts w:ascii="Arial" w:hAnsi="Arial" w:cs="Arial"/>
          <w:color w:val="000000" w:themeColor="text1"/>
          <w:lang w:val="cs-CZ" w:eastAsia="de-AT"/>
        </w:rPr>
        <w:t xml:space="preserve">usejí mít příslušné pravomoci a být </w:t>
      </w:r>
      <w:r w:rsidRPr="0055589B">
        <w:rPr>
          <w:rFonts w:ascii="Arial" w:hAnsi="Arial" w:cs="Arial"/>
          <w:color w:val="000000" w:themeColor="text1"/>
          <w:lang w:val="cs-CZ" w:eastAsia="de-AT"/>
        </w:rPr>
        <w:t xml:space="preserve">odměňováni </w:t>
      </w:r>
      <w:r w:rsidR="00B247CF" w:rsidRPr="0055589B">
        <w:rPr>
          <w:rFonts w:ascii="Arial" w:hAnsi="Arial" w:cs="Arial"/>
          <w:color w:val="000000" w:themeColor="text1"/>
          <w:lang w:val="cs-CZ" w:eastAsia="de-AT"/>
        </w:rPr>
        <w:t>na základě dosažených cílů souvisejících s jejich funkcí</w:t>
      </w:r>
      <w:r w:rsidR="00AB5924" w:rsidRPr="0055589B">
        <w:rPr>
          <w:rFonts w:ascii="Arial" w:hAnsi="Arial" w:cs="Arial"/>
          <w:color w:val="000000" w:themeColor="text1"/>
          <w:lang w:val="cs-CZ" w:eastAsia="de-AT"/>
        </w:rPr>
        <w:t xml:space="preserve">, a to </w:t>
      </w:r>
      <w:r w:rsidRPr="0055589B">
        <w:rPr>
          <w:rFonts w:ascii="Arial" w:hAnsi="Arial" w:cs="Arial"/>
          <w:color w:val="000000" w:themeColor="text1"/>
          <w:lang w:val="cs-CZ" w:eastAsia="de-AT"/>
        </w:rPr>
        <w:t>nezávisle na výkonu o</w:t>
      </w:r>
      <w:r w:rsidR="00AB5924" w:rsidRPr="0055589B">
        <w:rPr>
          <w:rFonts w:ascii="Arial" w:hAnsi="Arial" w:cs="Arial"/>
          <w:color w:val="000000" w:themeColor="text1"/>
          <w:lang w:val="cs-CZ" w:eastAsia="de-AT"/>
        </w:rPr>
        <w:t xml:space="preserve">bchodních </w:t>
      </w:r>
      <w:r w:rsidRPr="0055589B">
        <w:rPr>
          <w:rFonts w:ascii="Arial" w:hAnsi="Arial" w:cs="Arial"/>
          <w:color w:val="000000" w:themeColor="text1"/>
          <w:lang w:val="cs-CZ" w:eastAsia="de-AT"/>
        </w:rPr>
        <w:t xml:space="preserve">jednotek, které </w:t>
      </w:r>
      <w:r w:rsidR="00AB5924" w:rsidRPr="0055589B">
        <w:rPr>
          <w:rFonts w:ascii="Arial" w:hAnsi="Arial" w:cs="Arial"/>
          <w:color w:val="000000" w:themeColor="text1"/>
          <w:lang w:val="cs-CZ" w:eastAsia="de-AT"/>
        </w:rPr>
        <w:t>kontrolují</w:t>
      </w:r>
      <w:r w:rsidRPr="0055589B">
        <w:rPr>
          <w:rFonts w:ascii="Arial" w:hAnsi="Arial" w:cs="Arial"/>
          <w:color w:val="000000" w:themeColor="text1"/>
          <w:lang w:val="cs-CZ" w:eastAsia="de-AT"/>
        </w:rPr>
        <w:t xml:space="preserve">. </w:t>
      </w:r>
    </w:p>
    <w:p w14:paraId="5780EC52" w14:textId="77777777" w:rsidR="000D6417" w:rsidRPr="0055589B" w:rsidRDefault="000D6417" w:rsidP="007F006A">
      <w:pPr>
        <w:tabs>
          <w:tab w:val="left" w:pos="708"/>
        </w:tabs>
        <w:spacing w:after="120" w:line="276" w:lineRule="auto"/>
        <w:contextualSpacing/>
        <w:jc w:val="both"/>
        <w:rPr>
          <w:rFonts w:ascii="Arial" w:eastAsia="Times New Roman" w:hAnsi="Arial" w:cs="Arial"/>
          <w:color w:val="000000" w:themeColor="text1"/>
          <w:lang w:val="cs-CZ" w:eastAsia="de-AT"/>
        </w:rPr>
      </w:pPr>
    </w:p>
    <w:p w14:paraId="3EC84924" w14:textId="48AD67C5" w:rsidR="00224561" w:rsidRPr="0055589B" w:rsidRDefault="00224561" w:rsidP="006033BF">
      <w:pPr>
        <w:pStyle w:val="Nadpis3"/>
        <w:rPr>
          <w:rFonts w:eastAsia="Times New Roman"/>
          <w:color w:val="000000" w:themeColor="text1"/>
          <w:lang w:val="cs-CZ"/>
        </w:rPr>
      </w:pPr>
      <w:bookmarkStart w:id="44" w:name="_Toc108689212"/>
      <w:r w:rsidRPr="0055589B">
        <w:rPr>
          <w:color w:val="000000" w:themeColor="text1"/>
          <w:lang w:val="cs-CZ"/>
        </w:rPr>
        <w:t>P</w:t>
      </w:r>
      <w:r w:rsidR="00AB5924" w:rsidRPr="0055589B">
        <w:rPr>
          <w:color w:val="000000" w:themeColor="text1"/>
          <w:lang w:val="cs-CZ"/>
        </w:rPr>
        <w:t>ravidla pro nastavení politiky a postupů variabilního odměňování</w:t>
      </w:r>
      <w:bookmarkEnd w:id="44"/>
      <w:r w:rsidR="00AB5924" w:rsidRPr="0055589B">
        <w:rPr>
          <w:color w:val="000000" w:themeColor="text1"/>
          <w:lang w:val="cs-CZ"/>
        </w:rPr>
        <w:t xml:space="preserve"> </w:t>
      </w:r>
    </w:p>
    <w:p w14:paraId="24AACCFC" w14:textId="3E8B794F" w:rsidR="00224561" w:rsidRPr="0055589B" w:rsidRDefault="00AB5924"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N</w:t>
      </w:r>
      <w:r w:rsidR="00224561" w:rsidRPr="0055589B">
        <w:rPr>
          <w:rFonts w:ascii="Arial" w:hAnsi="Arial" w:cs="Arial"/>
          <w:color w:val="000000" w:themeColor="text1"/>
          <w:szCs w:val="24"/>
          <w:lang w:val="cs-CZ" w:eastAsia="de-AT"/>
        </w:rPr>
        <w:t>ávrh</w:t>
      </w:r>
      <w:r w:rsidRPr="0055589B">
        <w:rPr>
          <w:rFonts w:ascii="Arial" w:hAnsi="Arial" w:cs="Arial"/>
          <w:color w:val="000000" w:themeColor="text1"/>
          <w:szCs w:val="24"/>
          <w:lang w:val="cs-CZ" w:eastAsia="de-AT"/>
        </w:rPr>
        <w:t>y</w:t>
      </w:r>
      <w:r w:rsidR="00224561" w:rsidRPr="0055589B">
        <w:rPr>
          <w:rFonts w:ascii="Arial" w:hAnsi="Arial" w:cs="Arial"/>
          <w:color w:val="000000" w:themeColor="text1"/>
          <w:szCs w:val="24"/>
          <w:lang w:val="cs-CZ" w:eastAsia="de-AT"/>
        </w:rPr>
        <w:t xml:space="preserve"> na změnu této </w:t>
      </w:r>
      <w:r w:rsidRPr="0055589B">
        <w:rPr>
          <w:rFonts w:ascii="Arial" w:hAnsi="Arial" w:cs="Arial"/>
          <w:color w:val="000000" w:themeColor="text1"/>
          <w:szCs w:val="24"/>
          <w:lang w:val="cs-CZ" w:eastAsia="de-AT"/>
        </w:rPr>
        <w:t>P</w:t>
      </w:r>
      <w:r w:rsidR="00224561" w:rsidRPr="0055589B">
        <w:rPr>
          <w:rFonts w:ascii="Arial" w:hAnsi="Arial" w:cs="Arial"/>
          <w:color w:val="000000" w:themeColor="text1"/>
          <w:szCs w:val="24"/>
          <w:lang w:val="cs-CZ" w:eastAsia="de-AT"/>
        </w:rPr>
        <w:t xml:space="preserve">olitiky odměňování a motivačního programu </w:t>
      </w:r>
      <w:r w:rsidRPr="0055589B">
        <w:rPr>
          <w:rFonts w:ascii="Arial" w:hAnsi="Arial" w:cs="Arial"/>
          <w:color w:val="000000" w:themeColor="text1"/>
          <w:szCs w:val="24"/>
          <w:lang w:val="cs-CZ" w:eastAsia="de-AT"/>
        </w:rPr>
        <w:t xml:space="preserve">se vytvářejí ve spolupráci nejméně s funkcí HR a compliance. Nastavení </w:t>
      </w:r>
      <w:r w:rsidR="00224561" w:rsidRPr="0055589B">
        <w:rPr>
          <w:rFonts w:ascii="Arial" w:hAnsi="Arial" w:cs="Arial"/>
          <w:color w:val="000000" w:themeColor="text1"/>
          <w:szCs w:val="24"/>
          <w:lang w:val="cs-CZ" w:eastAsia="de-AT"/>
        </w:rPr>
        <w:t xml:space="preserve">politiky </w:t>
      </w:r>
      <w:r w:rsidRPr="0055589B">
        <w:rPr>
          <w:rFonts w:ascii="Arial" w:hAnsi="Arial" w:cs="Arial"/>
          <w:color w:val="000000" w:themeColor="text1"/>
          <w:szCs w:val="24"/>
          <w:lang w:val="cs-CZ" w:eastAsia="de-AT"/>
        </w:rPr>
        <w:t xml:space="preserve">a postupů variabilního odměňování musí </w:t>
      </w:r>
      <w:r w:rsidR="00224561" w:rsidRPr="0055589B">
        <w:rPr>
          <w:rFonts w:ascii="Arial" w:hAnsi="Arial" w:cs="Arial"/>
          <w:color w:val="000000" w:themeColor="text1"/>
          <w:szCs w:val="24"/>
          <w:lang w:val="cs-CZ" w:eastAsia="de-AT"/>
        </w:rPr>
        <w:t xml:space="preserve">být v souladu s platnými předpisy a zákony. </w:t>
      </w:r>
    </w:p>
    <w:p w14:paraId="4786B065" w14:textId="68E07512" w:rsidR="00224561" w:rsidRPr="0055589B" w:rsidRDefault="00B606A7" w:rsidP="007F006A">
      <w:pPr>
        <w:keepNext/>
        <w:spacing w:before="240" w:after="120" w:line="276" w:lineRule="auto"/>
        <w:jc w:val="both"/>
        <w:outlineLvl w:val="3"/>
        <w:rPr>
          <w:rFonts w:ascii="Arial" w:eastAsia="Times New Roman" w:hAnsi="Arial" w:cs="Arial"/>
          <w:b/>
          <w:bCs/>
          <w:i/>
          <w:color w:val="000000" w:themeColor="text1"/>
          <w:szCs w:val="28"/>
          <w:lang w:val="cs-CZ" w:eastAsia="de-AT"/>
        </w:rPr>
      </w:pPr>
      <w:r w:rsidRPr="0055589B">
        <w:rPr>
          <w:rFonts w:ascii="Arial" w:hAnsi="Arial" w:cs="Arial"/>
          <w:b/>
          <w:bCs/>
          <w:color w:val="000000" w:themeColor="text1"/>
          <w:szCs w:val="28"/>
          <w:lang w:val="cs-CZ" w:eastAsia="de-AT"/>
        </w:rPr>
        <w:t xml:space="preserve">Úprava diskrečních penzijních benefitů </w:t>
      </w:r>
    </w:p>
    <w:p w14:paraId="1529EC29" w14:textId="483A4FCC"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Společnost ne</w:t>
      </w:r>
      <w:r w:rsidR="00B606A7" w:rsidRPr="0055589B">
        <w:rPr>
          <w:rFonts w:ascii="Arial" w:hAnsi="Arial" w:cs="Arial"/>
          <w:color w:val="000000" w:themeColor="text1"/>
          <w:szCs w:val="24"/>
          <w:lang w:val="cs-CZ" w:eastAsia="de-AT"/>
        </w:rPr>
        <w:t xml:space="preserve">poskytuje </w:t>
      </w:r>
      <w:r w:rsidRPr="0055589B">
        <w:rPr>
          <w:rFonts w:ascii="Arial" w:hAnsi="Arial" w:cs="Arial"/>
          <w:color w:val="000000" w:themeColor="text1"/>
          <w:szCs w:val="24"/>
          <w:lang w:val="cs-CZ" w:eastAsia="de-AT"/>
        </w:rPr>
        <w:t>diskreční</w:t>
      </w:r>
      <w:r w:rsidR="00B606A7" w:rsidRPr="0055589B">
        <w:rPr>
          <w:rFonts w:ascii="Arial" w:hAnsi="Arial" w:cs="Arial"/>
          <w:color w:val="000000" w:themeColor="text1"/>
          <w:szCs w:val="24"/>
          <w:lang w:val="cs-CZ" w:eastAsia="de-AT"/>
        </w:rPr>
        <w:t xml:space="preserve"> penzijní benefity a </w:t>
      </w:r>
      <w:r w:rsidRPr="0055589B">
        <w:rPr>
          <w:rFonts w:ascii="Arial" w:hAnsi="Arial" w:cs="Arial"/>
          <w:color w:val="000000" w:themeColor="text1"/>
          <w:szCs w:val="24"/>
          <w:lang w:val="cs-CZ" w:eastAsia="de-AT"/>
        </w:rPr>
        <w:t>neexistují žádné smluvní penzijní systémy.</w:t>
      </w:r>
    </w:p>
    <w:p w14:paraId="04558FBB" w14:textId="36C4ECE8" w:rsidR="00224561" w:rsidRPr="0055589B" w:rsidRDefault="00224561" w:rsidP="007F006A">
      <w:pPr>
        <w:keepNext/>
        <w:spacing w:before="240" w:after="120" w:line="276" w:lineRule="auto"/>
        <w:jc w:val="both"/>
        <w:outlineLvl w:val="3"/>
        <w:rPr>
          <w:rFonts w:ascii="Arial" w:eastAsia="Times New Roman" w:hAnsi="Arial" w:cs="Arial"/>
          <w:b/>
          <w:bCs/>
          <w:color w:val="000000" w:themeColor="text1"/>
          <w:szCs w:val="28"/>
          <w:lang w:val="cs-CZ" w:eastAsia="de-AT"/>
        </w:rPr>
      </w:pPr>
      <w:r w:rsidRPr="0055589B">
        <w:rPr>
          <w:rFonts w:ascii="Arial" w:hAnsi="Arial" w:cs="Arial"/>
          <w:b/>
          <w:bCs/>
          <w:color w:val="000000" w:themeColor="text1"/>
          <w:szCs w:val="28"/>
          <w:lang w:val="cs-CZ" w:eastAsia="de-AT"/>
        </w:rPr>
        <w:t xml:space="preserve">Odměňování v případě </w:t>
      </w:r>
      <w:r w:rsidR="00B606A7" w:rsidRPr="0055589B">
        <w:rPr>
          <w:rFonts w:ascii="Arial" w:hAnsi="Arial" w:cs="Arial"/>
          <w:b/>
          <w:bCs/>
          <w:color w:val="000000" w:themeColor="text1"/>
          <w:szCs w:val="28"/>
          <w:lang w:val="cs-CZ" w:eastAsia="de-AT"/>
        </w:rPr>
        <w:t xml:space="preserve">útlumu nebo </w:t>
      </w:r>
      <w:r w:rsidRPr="0055589B">
        <w:rPr>
          <w:rFonts w:ascii="Arial" w:hAnsi="Arial" w:cs="Arial"/>
          <w:b/>
          <w:bCs/>
          <w:color w:val="000000" w:themeColor="text1"/>
          <w:szCs w:val="28"/>
          <w:lang w:val="cs-CZ" w:eastAsia="de-AT"/>
        </w:rPr>
        <w:t>záporn</w:t>
      </w:r>
      <w:r w:rsidR="00B606A7" w:rsidRPr="0055589B">
        <w:rPr>
          <w:rFonts w:ascii="Arial" w:hAnsi="Arial" w:cs="Arial"/>
          <w:b/>
          <w:bCs/>
          <w:color w:val="000000" w:themeColor="text1"/>
          <w:szCs w:val="28"/>
          <w:lang w:val="cs-CZ" w:eastAsia="de-AT"/>
        </w:rPr>
        <w:t xml:space="preserve">ých finančních výkonů </w:t>
      </w:r>
    </w:p>
    <w:p w14:paraId="61779A33" w14:textId="72EA42A3" w:rsidR="00224561" w:rsidRPr="0055589B" w:rsidRDefault="00B606A7" w:rsidP="007F006A">
      <w:pPr>
        <w:spacing w:after="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K</w:t>
      </w:r>
      <w:r w:rsidR="00224561" w:rsidRPr="0055589B">
        <w:rPr>
          <w:rFonts w:ascii="Arial" w:hAnsi="Arial" w:cs="Arial"/>
          <w:color w:val="000000" w:themeColor="text1"/>
          <w:szCs w:val="24"/>
          <w:lang w:val="cs-CZ" w:eastAsia="de-AT"/>
        </w:rPr>
        <w:t xml:space="preserve">ritériem pro výplatu bonusu všem zaměstnancům </w:t>
      </w:r>
      <w:r w:rsidRPr="0055589B">
        <w:rPr>
          <w:rFonts w:ascii="Arial" w:hAnsi="Arial" w:cs="Arial"/>
          <w:color w:val="000000" w:themeColor="text1"/>
          <w:szCs w:val="24"/>
          <w:lang w:val="cs-CZ" w:eastAsia="de-AT"/>
        </w:rPr>
        <w:t xml:space="preserve">za hodnocené období je požadavek minimální ziskovosti. Požadavek minimální ziskovosti je rovněž </w:t>
      </w:r>
      <w:r w:rsidR="00224561" w:rsidRPr="0055589B">
        <w:rPr>
          <w:rFonts w:ascii="Arial" w:hAnsi="Arial" w:cs="Arial"/>
          <w:color w:val="000000" w:themeColor="text1"/>
          <w:szCs w:val="24"/>
          <w:lang w:val="cs-CZ" w:eastAsia="de-AT"/>
        </w:rPr>
        <w:t xml:space="preserve">kritériem pro vyplácení </w:t>
      </w:r>
      <w:r w:rsidRPr="0055589B">
        <w:rPr>
          <w:rFonts w:ascii="Arial" w:hAnsi="Arial" w:cs="Arial"/>
          <w:color w:val="000000" w:themeColor="text1"/>
          <w:szCs w:val="24"/>
          <w:lang w:val="cs-CZ" w:eastAsia="de-AT"/>
        </w:rPr>
        <w:t xml:space="preserve">odložených částí nevyplacených bonusů pracovníkům podstupujícím rizika. </w:t>
      </w:r>
      <w:r w:rsidR="00224561" w:rsidRPr="0055589B">
        <w:rPr>
          <w:rFonts w:ascii="Arial" w:hAnsi="Arial" w:cs="Arial"/>
          <w:color w:val="000000" w:themeColor="text1"/>
          <w:szCs w:val="24"/>
          <w:lang w:val="cs-CZ" w:eastAsia="de-AT"/>
        </w:rPr>
        <w:t xml:space="preserve">Je založen </w:t>
      </w:r>
      <w:r w:rsidRPr="0055589B">
        <w:rPr>
          <w:rFonts w:ascii="Arial" w:hAnsi="Arial" w:cs="Arial"/>
          <w:color w:val="000000" w:themeColor="text1"/>
          <w:szCs w:val="24"/>
          <w:lang w:val="cs-CZ" w:eastAsia="de-AT"/>
        </w:rPr>
        <w:t xml:space="preserve">nejméně na </w:t>
      </w:r>
      <w:r w:rsidR="00224561" w:rsidRPr="0055589B">
        <w:rPr>
          <w:rFonts w:ascii="Arial" w:hAnsi="Arial" w:cs="Arial"/>
          <w:color w:val="000000" w:themeColor="text1"/>
          <w:szCs w:val="24"/>
          <w:lang w:val="cs-CZ" w:eastAsia="de-AT"/>
        </w:rPr>
        <w:t>dvou ukazatelích, které musí být splněny</w:t>
      </w:r>
      <w:r w:rsidRPr="0055589B">
        <w:rPr>
          <w:rFonts w:ascii="Arial" w:hAnsi="Arial" w:cs="Arial"/>
          <w:color w:val="000000" w:themeColor="text1"/>
          <w:szCs w:val="24"/>
          <w:lang w:val="cs-CZ" w:eastAsia="de-AT"/>
        </w:rPr>
        <w:t xml:space="preserve"> zároveň</w:t>
      </w:r>
      <w:r w:rsidR="00224561" w:rsidRPr="0055589B">
        <w:rPr>
          <w:rFonts w:ascii="Arial" w:hAnsi="Arial" w:cs="Arial"/>
          <w:color w:val="000000" w:themeColor="text1"/>
          <w:szCs w:val="24"/>
          <w:lang w:val="cs-CZ" w:eastAsia="de-AT"/>
        </w:rPr>
        <w:t>:</w:t>
      </w:r>
    </w:p>
    <w:p w14:paraId="4463893E" w14:textId="77777777" w:rsidR="00224561" w:rsidRPr="0055589B" w:rsidRDefault="00224561" w:rsidP="007F006A">
      <w:pPr>
        <w:spacing w:after="0" w:line="276" w:lineRule="auto"/>
        <w:jc w:val="both"/>
        <w:rPr>
          <w:rFonts w:ascii="Arial" w:eastAsia="Times New Roman" w:hAnsi="Arial" w:cs="Arial"/>
          <w:color w:val="000000" w:themeColor="text1"/>
          <w:szCs w:val="24"/>
          <w:lang w:val="cs-CZ" w:eastAsia="de-AT"/>
        </w:rPr>
      </w:pPr>
    </w:p>
    <w:p w14:paraId="3994ECE3" w14:textId="771A2FDC" w:rsidR="00224561" w:rsidRPr="0055589B" w:rsidRDefault="00B606A7" w:rsidP="00224561">
      <w:pPr>
        <w:numPr>
          <w:ilvl w:val="0"/>
          <w:numId w:val="17"/>
        </w:numPr>
        <w:tabs>
          <w:tab w:val="left" w:pos="851"/>
        </w:tabs>
        <w:spacing w:after="0" w:line="276" w:lineRule="auto"/>
        <w:contextualSpacing/>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lastRenderedPageBreak/>
        <w:t>f</w:t>
      </w:r>
      <w:r w:rsidR="00224561" w:rsidRPr="0055589B">
        <w:rPr>
          <w:rFonts w:ascii="Arial" w:hAnsi="Arial" w:cs="Arial"/>
          <w:color w:val="000000" w:themeColor="text1"/>
          <w:lang w:val="cs-CZ" w:eastAsia="de-AT"/>
        </w:rPr>
        <w:t xml:space="preserve">inanční výsledky </w:t>
      </w:r>
      <w:r w:rsidRPr="0055589B">
        <w:rPr>
          <w:rFonts w:ascii="Arial" w:hAnsi="Arial" w:cs="Arial"/>
          <w:color w:val="000000" w:themeColor="text1"/>
          <w:lang w:val="cs-CZ" w:eastAsia="de-AT"/>
        </w:rPr>
        <w:t>S</w:t>
      </w:r>
      <w:r w:rsidR="00224561" w:rsidRPr="0055589B">
        <w:rPr>
          <w:rFonts w:ascii="Arial" w:hAnsi="Arial" w:cs="Arial"/>
          <w:color w:val="000000" w:themeColor="text1"/>
          <w:lang w:val="cs-CZ" w:eastAsia="de-AT"/>
        </w:rPr>
        <w:t xml:space="preserve">polečnosti; a  </w:t>
      </w:r>
    </w:p>
    <w:p w14:paraId="21508062" w14:textId="347257FE" w:rsidR="00224561" w:rsidRPr="0055589B" w:rsidRDefault="00B606A7" w:rsidP="00224561">
      <w:pPr>
        <w:numPr>
          <w:ilvl w:val="0"/>
          <w:numId w:val="17"/>
        </w:numPr>
        <w:tabs>
          <w:tab w:val="left" w:pos="851"/>
        </w:tabs>
        <w:spacing w:after="0" w:line="276" w:lineRule="auto"/>
        <w:contextualSpacing/>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k</w:t>
      </w:r>
      <w:r w:rsidR="00224561" w:rsidRPr="0055589B">
        <w:rPr>
          <w:rFonts w:ascii="Arial" w:hAnsi="Arial" w:cs="Arial"/>
          <w:color w:val="000000" w:themeColor="text1"/>
          <w:lang w:val="cs-CZ" w:eastAsia="de-AT"/>
        </w:rPr>
        <w:t>apitál</w:t>
      </w:r>
      <w:r w:rsidRPr="0055589B">
        <w:rPr>
          <w:rFonts w:ascii="Arial" w:hAnsi="Arial" w:cs="Arial"/>
          <w:color w:val="000000" w:themeColor="text1"/>
          <w:lang w:val="cs-CZ" w:eastAsia="de-AT"/>
        </w:rPr>
        <w:t>ový</w:t>
      </w:r>
      <w:r w:rsidR="00224561" w:rsidRPr="0055589B">
        <w:rPr>
          <w:rFonts w:ascii="Arial" w:hAnsi="Arial" w:cs="Arial"/>
          <w:color w:val="000000" w:themeColor="text1"/>
          <w:lang w:val="cs-CZ" w:eastAsia="de-AT"/>
        </w:rPr>
        <w:t xml:space="preserve"> poměr </w:t>
      </w:r>
      <w:r w:rsidRPr="0055589B">
        <w:rPr>
          <w:rFonts w:ascii="Arial" w:hAnsi="Arial" w:cs="Arial"/>
          <w:color w:val="000000" w:themeColor="text1"/>
          <w:lang w:val="cs-CZ" w:eastAsia="de-AT"/>
        </w:rPr>
        <w:t>S</w:t>
      </w:r>
      <w:r w:rsidR="00224561" w:rsidRPr="0055589B">
        <w:rPr>
          <w:rFonts w:ascii="Arial" w:hAnsi="Arial" w:cs="Arial"/>
          <w:color w:val="000000" w:themeColor="text1"/>
          <w:lang w:val="cs-CZ" w:eastAsia="de-AT"/>
        </w:rPr>
        <w:t>polečnosti.</w:t>
      </w:r>
    </w:p>
    <w:p w14:paraId="2859E0C2" w14:textId="77777777" w:rsidR="00224561" w:rsidRPr="0055589B" w:rsidRDefault="00224561" w:rsidP="007F006A">
      <w:pPr>
        <w:spacing w:after="0" w:line="276" w:lineRule="auto"/>
        <w:jc w:val="both"/>
        <w:rPr>
          <w:rFonts w:ascii="Arial" w:eastAsia="Times New Roman" w:hAnsi="Arial" w:cs="Arial"/>
          <w:color w:val="000000" w:themeColor="text1"/>
          <w:lang w:val="cs-CZ" w:eastAsia="de-AT"/>
        </w:rPr>
      </w:pPr>
    </w:p>
    <w:p w14:paraId="1B102BF3" w14:textId="07AF67FF" w:rsidR="00224561" w:rsidRPr="0055589B" w:rsidRDefault="00B606A7"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P</w:t>
      </w:r>
      <w:r w:rsidR="00224561" w:rsidRPr="0055589B">
        <w:rPr>
          <w:rFonts w:ascii="Arial" w:hAnsi="Arial" w:cs="Arial"/>
          <w:color w:val="000000" w:themeColor="text1"/>
          <w:szCs w:val="24"/>
          <w:lang w:val="cs-CZ" w:eastAsia="de-AT"/>
        </w:rPr>
        <w:t xml:space="preserve">říslušné minimální požadavky na ziskovost </w:t>
      </w:r>
      <w:r w:rsidRPr="0055589B">
        <w:rPr>
          <w:rFonts w:ascii="Arial" w:hAnsi="Arial" w:cs="Arial"/>
          <w:color w:val="000000" w:themeColor="text1"/>
          <w:szCs w:val="24"/>
          <w:lang w:val="cs-CZ" w:eastAsia="de-AT"/>
        </w:rPr>
        <w:t>S</w:t>
      </w:r>
      <w:r w:rsidR="00224561" w:rsidRPr="0055589B">
        <w:rPr>
          <w:rFonts w:ascii="Arial" w:hAnsi="Arial" w:cs="Arial"/>
          <w:color w:val="000000" w:themeColor="text1"/>
          <w:szCs w:val="24"/>
          <w:lang w:val="cs-CZ" w:eastAsia="de-AT"/>
        </w:rPr>
        <w:t>polečnosti</w:t>
      </w:r>
      <w:r w:rsidRPr="0055589B">
        <w:rPr>
          <w:rFonts w:ascii="Arial" w:hAnsi="Arial" w:cs="Arial"/>
          <w:color w:val="000000" w:themeColor="text1"/>
          <w:szCs w:val="24"/>
          <w:lang w:val="cs-CZ" w:eastAsia="de-AT"/>
        </w:rPr>
        <w:t xml:space="preserve"> schvaluje Výbor pro odměňování</w:t>
      </w:r>
      <w:r w:rsidR="00224561" w:rsidRPr="0055589B">
        <w:rPr>
          <w:rFonts w:ascii="Arial" w:hAnsi="Arial" w:cs="Arial"/>
          <w:color w:val="000000" w:themeColor="text1"/>
          <w:szCs w:val="24"/>
          <w:lang w:val="cs-CZ" w:eastAsia="de-AT"/>
        </w:rPr>
        <w:t xml:space="preserve">.  </w:t>
      </w:r>
    </w:p>
    <w:p w14:paraId="5672C8F7" w14:textId="2CC80A23"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Variabilní odměn</w:t>
      </w:r>
      <w:r w:rsidR="00831E05" w:rsidRPr="0055589B">
        <w:rPr>
          <w:rFonts w:ascii="Arial" w:hAnsi="Arial" w:cs="Arial"/>
          <w:color w:val="000000" w:themeColor="text1"/>
          <w:szCs w:val="24"/>
          <w:lang w:val="cs-CZ" w:eastAsia="de-AT"/>
        </w:rPr>
        <w:t>a</w:t>
      </w:r>
      <w:r w:rsidRPr="0055589B">
        <w:rPr>
          <w:rFonts w:ascii="Arial" w:hAnsi="Arial" w:cs="Arial"/>
          <w:color w:val="000000" w:themeColor="text1"/>
          <w:szCs w:val="24"/>
          <w:lang w:val="cs-CZ" w:eastAsia="de-AT"/>
        </w:rPr>
        <w:t xml:space="preserve">, včetně </w:t>
      </w:r>
      <w:r w:rsidR="00831E05" w:rsidRPr="0055589B">
        <w:rPr>
          <w:rFonts w:ascii="Arial" w:hAnsi="Arial" w:cs="Arial"/>
          <w:color w:val="000000" w:themeColor="text1"/>
          <w:szCs w:val="24"/>
          <w:lang w:val="cs-CZ" w:eastAsia="de-AT"/>
        </w:rPr>
        <w:t xml:space="preserve">její </w:t>
      </w:r>
      <w:r w:rsidRPr="0055589B">
        <w:rPr>
          <w:rFonts w:ascii="Arial" w:hAnsi="Arial" w:cs="Arial"/>
          <w:color w:val="000000" w:themeColor="text1"/>
          <w:szCs w:val="24"/>
          <w:lang w:val="cs-CZ" w:eastAsia="de-AT"/>
        </w:rPr>
        <w:t xml:space="preserve">odložené části, </w:t>
      </w:r>
      <w:r w:rsidR="00831E05" w:rsidRPr="0055589B">
        <w:rPr>
          <w:rFonts w:ascii="Arial" w:hAnsi="Arial" w:cs="Arial"/>
          <w:color w:val="000000" w:themeColor="text1"/>
          <w:szCs w:val="24"/>
          <w:lang w:val="cs-CZ" w:eastAsia="de-AT"/>
        </w:rPr>
        <w:t>se</w:t>
      </w:r>
      <w:r w:rsidRPr="0055589B">
        <w:rPr>
          <w:rFonts w:ascii="Arial" w:hAnsi="Arial" w:cs="Arial"/>
          <w:color w:val="000000" w:themeColor="text1"/>
          <w:szCs w:val="24"/>
          <w:lang w:val="cs-CZ" w:eastAsia="de-AT"/>
        </w:rPr>
        <w:t xml:space="preserve"> vypláceny nebo </w:t>
      </w:r>
      <w:r w:rsidR="00831E05" w:rsidRPr="0055589B">
        <w:rPr>
          <w:rFonts w:ascii="Arial" w:hAnsi="Arial" w:cs="Arial"/>
          <w:color w:val="000000" w:themeColor="text1"/>
          <w:szCs w:val="24"/>
          <w:lang w:val="cs-CZ" w:eastAsia="de-AT"/>
        </w:rPr>
        <w:t xml:space="preserve">poskytuje </w:t>
      </w:r>
      <w:r w:rsidRPr="0055589B">
        <w:rPr>
          <w:rFonts w:ascii="Arial" w:hAnsi="Arial" w:cs="Arial"/>
          <w:color w:val="000000" w:themeColor="text1"/>
          <w:szCs w:val="24"/>
          <w:lang w:val="cs-CZ" w:eastAsia="de-AT"/>
        </w:rPr>
        <w:t xml:space="preserve">pouze </w:t>
      </w:r>
      <w:r w:rsidR="00831E05" w:rsidRPr="0055589B">
        <w:rPr>
          <w:rFonts w:ascii="Arial" w:hAnsi="Arial" w:cs="Arial"/>
          <w:color w:val="000000" w:themeColor="text1"/>
          <w:szCs w:val="24"/>
          <w:lang w:val="cs-CZ" w:eastAsia="de-AT"/>
        </w:rPr>
        <w:t xml:space="preserve">v případě, že je </w:t>
      </w:r>
      <w:r w:rsidRPr="0055589B">
        <w:rPr>
          <w:rFonts w:ascii="Arial" w:hAnsi="Arial" w:cs="Arial"/>
          <w:color w:val="000000" w:themeColor="text1"/>
          <w:szCs w:val="24"/>
          <w:lang w:val="cs-CZ" w:eastAsia="de-AT"/>
        </w:rPr>
        <w:t>udržiteln</w:t>
      </w:r>
      <w:r w:rsidR="00831E05" w:rsidRPr="0055589B">
        <w:rPr>
          <w:rFonts w:ascii="Arial" w:hAnsi="Arial" w:cs="Arial"/>
          <w:color w:val="000000" w:themeColor="text1"/>
          <w:szCs w:val="24"/>
          <w:lang w:val="cs-CZ" w:eastAsia="de-AT"/>
        </w:rPr>
        <w:t>á ve vztahu k</w:t>
      </w:r>
      <w:r w:rsidRPr="0055589B">
        <w:rPr>
          <w:rFonts w:ascii="Arial" w:hAnsi="Arial" w:cs="Arial"/>
          <w:color w:val="000000" w:themeColor="text1"/>
          <w:szCs w:val="24"/>
          <w:lang w:val="cs-CZ" w:eastAsia="de-AT"/>
        </w:rPr>
        <w:t xml:space="preserve"> finanční situac</w:t>
      </w:r>
      <w:r w:rsidR="00831E05" w:rsidRPr="0055589B">
        <w:rPr>
          <w:rFonts w:ascii="Arial" w:hAnsi="Arial" w:cs="Arial"/>
          <w:color w:val="000000" w:themeColor="text1"/>
          <w:szCs w:val="24"/>
          <w:lang w:val="cs-CZ" w:eastAsia="de-AT"/>
        </w:rPr>
        <w:t>i</w:t>
      </w:r>
      <w:r w:rsidRPr="0055589B">
        <w:rPr>
          <w:rFonts w:ascii="Arial" w:hAnsi="Arial" w:cs="Arial"/>
          <w:color w:val="000000" w:themeColor="text1"/>
          <w:szCs w:val="24"/>
          <w:lang w:val="cs-CZ" w:eastAsia="de-AT"/>
        </w:rPr>
        <w:t xml:space="preserve"> společnosti a oprávněn</w:t>
      </w:r>
      <w:r w:rsidR="00831E05" w:rsidRPr="0055589B">
        <w:rPr>
          <w:rFonts w:ascii="Arial" w:hAnsi="Arial" w:cs="Arial"/>
          <w:color w:val="000000" w:themeColor="text1"/>
          <w:szCs w:val="24"/>
          <w:lang w:val="cs-CZ" w:eastAsia="de-AT"/>
        </w:rPr>
        <w:t xml:space="preserve">á ve vztahu k </w:t>
      </w:r>
      <w:r w:rsidRPr="0055589B">
        <w:rPr>
          <w:rFonts w:ascii="Arial" w:hAnsi="Arial" w:cs="Arial"/>
          <w:color w:val="000000" w:themeColor="text1"/>
          <w:szCs w:val="24"/>
          <w:lang w:val="cs-CZ" w:eastAsia="de-AT"/>
        </w:rPr>
        <w:t xml:space="preserve">výkonnosti </w:t>
      </w:r>
      <w:r w:rsidR="00831E05" w:rsidRPr="0055589B">
        <w:rPr>
          <w:rFonts w:ascii="Arial" w:hAnsi="Arial" w:cs="Arial"/>
          <w:color w:val="000000" w:themeColor="text1"/>
          <w:szCs w:val="24"/>
          <w:lang w:val="cs-CZ" w:eastAsia="de-AT"/>
        </w:rPr>
        <w:t xml:space="preserve">obchodní </w:t>
      </w:r>
      <w:r w:rsidRPr="0055589B">
        <w:rPr>
          <w:rFonts w:ascii="Arial" w:hAnsi="Arial" w:cs="Arial"/>
          <w:color w:val="000000" w:themeColor="text1"/>
          <w:szCs w:val="24"/>
          <w:lang w:val="cs-CZ" w:eastAsia="de-AT"/>
        </w:rPr>
        <w:t xml:space="preserve">jednotky, investičních fondů a </w:t>
      </w:r>
      <w:r w:rsidR="00831E05" w:rsidRPr="0055589B">
        <w:rPr>
          <w:rFonts w:ascii="Arial" w:hAnsi="Arial" w:cs="Arial"/>
          <w:color w:val="000000" w:themeColor="text1"/>
          <w:szCs w:val="24"/>
          <w:lang w:val="cs-CZ" w:eastAsia="de-AT"/>
        </w:rPr>
        <w:t xml:space="preserve">dotčené osoby. Útlum nebo </w:t>
      </w:r>
      <w:r w:rsidRPr="0055589B">
        <w:rPr>
          <w:rFonts w:ascii="Arial" w:hAnsi="Arial" w:cs="Arial"/>
          <w:color w:val="000000" w:themeColor="text1"/>
          <w:szCs w:val="24"/>
          <w:lang w:val="cs-CZ" w:eastAsia="de-AT"/>
        </w:rPr>
        <w:t>negativní finanční výkon</w:t>
      </w:r>
      <w:r w:rsidR="00831E05" w:rsidRPr="0055589B">
        <w:rPr>
          <w:rFonts w:ascii="Arial" w:hAnsi="Arial" w:cs="Arial"/>
          <w:color w:val="000000" w:themeColor="text1"/>
          <w:szCs w:val="24"/>
          <w:lang w:val="cs-CZ" w:eastAsia="de-AT"/>
        </w:rPr>
        <w:t>y</w:t>
      </w:r>
      <w:r w:rsidRPr="0055589B">
        <w:rPr>
          <w:rFonts w:ascii="Arial" w:hAnsi="Arial" w:cs="Arial"/>
          <w:color w:val="000000" w:themeColor="text1"/>
          <w:szCs w:val="24"/>
          <w:lang w:val="cs-CZ" w:eastAsia="de-AT"/>
        </w:rPr>
        <w:t xml:space="preserve"> </w:t>
      </w:r>
      <w:r w:rsidR="00831E05"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polečnosti nebo dotč</w:t>
      </w:r>
      <w:r w:rsidR="00831E05" w:rsidRPr="0055589B">
        <w:rPr>
          <w:rFonts w:ascii="Arial" w:hAnsi="Arial" w:cs="Arial"/>
          <w:color w:val="000000" w:themeColor="text1"/>
          <w:szCs w:val="24"/>
          <w:lang w:val="cs-CZ" w:eastAsia="de-AT"/>
        </w:rPr>
        <w:t xml:space="preserve">eného </w:t>
      </w:r>
      <w:r w:rsidRPr="0055589B">
        <w:rPr>
          <w:rFonts w:ascii="Arial" w:hAnsi="Arial" w:cs="Arial"/>
          <w:color w:val="000000" w:themeColor="text1"/>
          <w:szCs w:val="24"/>
          <w:lang w:val="cs-CZ" w:eastAsia="de-AT"/>
        </w:rPr>
        <w:t>investiční</w:t>
      </w:r>
      <w:r w:rsidR="00831E05" w:rsidRPr="0055589B">
        <w:rPr>
          <w:rFonts w:ascii="Arial" w:hAnsi="Arial" w:cs="Arial"/>
          <w:color w:val="000000" w:themeColor="text1"/>
          <w:szCs w:val="24"/>
          <w:lang w:val="cs-CZ" w:eastAsia="de-AT"/>
        </w:rPr>
        <w:t>ho</w:t>
      </w:r>
      <w:r w:rsidRPr="0055589B">
        <w:rPr>
          <w:rFonts w:ascii="Arial" w:hAnsi="Arial" w:cs="Arial"/>
          <w:color w:val="000000" w:themeColor="text1"/>
          <w:szCs w:val="24"/>
          <w:lang w:val="cs-CZ" w:eastAsia="de-AT"/>
        </w:rPr>
        <w:t xml:space="preserve"> fondů </w:t>
      </w:r>
      <w:r w:rsidR="00831E05" w:rsidRPr="0055589B">
        <w:rPr>
          <w:rFonts w:ascii="Arial" w:hAnsi="Arial" w:cs="Arial"/>
          <w:color w:val="000000" w:themeColor="text1"/>
          <w:szCs w:val="24"/>
          <w:lang w:val="cs-CZ" w:eastAsia="de-AT"/>
        </w:rPr>
        <w:t>obvykle ved</w:t>
      </w:r>
      <w:r w:rsidRPr="0055589B">
        <w:rPr>
          <w:rFonts w:ascii="Arial" w:hAnsi="Arial" w:cs="Arial"/>
          <w:color w:val="000000" w:themeColor="text1"/>
          <w:szCs w:val="24"/>
          <w:lang w:val="cs-CZ" w:eastAsia="de-AT"/>
        </w:rPr>
        <w:t xml:space="preserve">e k výraznému snížení celé pohyblivé odměny </w:t>
      </w:r>
      <w:r w:rsidR="00831E05" w:rsidRPr="0055589B">
        <w:rPr>
          <w:rFonts w:ascii="Arial" w:hAnsi="Arial" w:cs="Arial"/>
          <w:color w:val="000000" w:themeColor="text1"/>
          <w:szCs w:val="24"/>
          <w:lang w:val="cs-CZ" w:eastAsia="de-AT"/>
        </w:rPr>
        <w:t>vyplácené Spo</w:t>
      </w:r>
      <w:r w:rsidRPr="0055589B">
        <w:rPr>
          <w:rFonts w:ascii="Arial" w:hAnsi="Arial" w:cs="Arial"/>
          <w:color w:val="000000" w:themeColor="text1"/>
          <w:szCs w:val="24"/>
          <w:lang w:val="cs-CZ" w:eastAsia="de-AT"/>
        </w:rPr>
        <w:t>lečnost</w:t>
      </w:r>
      <w:r w:rsidR="00831E05" w:rsidRPr="0055589B">
        <w:rPr>
          <w:rFonts w:ascii="Arial" w:hAnsi="Arial" w:cs="Arial"/>
          <w:color w:val="000000" w:themeColor="text1"/>
          <w:szCs w:val="24"/>
          <w:lang w:val="cs-CZ" w:eastAsia="de-AT"/>
        </w:rPr>
        <w:t>í</w:t>
      </w:r>
      <w:r w:rsidRPr="0055589B">
        <w:rPr>
          <w:rFonts w:ascii="Arial" w:hAnsi="Arial" w:cs="Arial"/>
          <w:color w:val="000000" w:themeColor="text1"/>
          <w:szCs w:val="24"/>
          <w:lang w:val="cs-CZ" w:eastAsia="de-AT"/>
        </w:rPr>
        <w:t xml:space="preserve">. Kapitálové požadavky tak </w:t>
      </w:r>
      <w:r w:rsidR="00831E05" w:rsidRPr="0055589B">
        <w:rPr>
          <w:rFonts w:ascii="Arial" w:hAnsi="Arial" w:cs="Arial"/>
          <w:color w:val="000000" w:themeColor="text1"/>
          <w:szCs w:val="24"/>
          <w:lang w:val="cs-CZ" w:eastAsia="de-AT"/>
        </w:rPr>
        <w:t xml:space="preserve">mají </w:t>
      </w:r>
      <w:r w:rsidRPr="0055589B">
        <w:rPr>
          <w:rFonts w:ascii="Arial" w:hAnsi="Arial" w:cs="Arial"/>
          <w:color w:val="000000" w:themeColor="text1"/>
          <w:szCs w:val="24"/>
          <w:lang w:val="cs-CZ" w:eastAsia="de-AT"/>
        </w:rPr>
        <w:t>přednost</w:t>
      </w:r>
      <w:r w:rsidR="00831E05"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 xml:space="preserve">před </w:t>
      </w:r>
      <w:r w:rsidR="00831E05" w:rsidRPr="0055589B">
        <w:rPr>
          <w:rFonts w:ascii="Arial" w:hAnsi="Arial" w:cs="Arial"/>
          <w:color w:val="000000" w:themeColor="text1"/>
          <w:szCs w:val="24"/>
          <w:lang w:val="cs-CZ" w:eastAsia="de-AT"/>
        </w:rPr>
        <w:t xml:space="preserve">výplatou </w:t>
      </w:r>
      <w:r w:rsidRPr="0055589B">
        <w:rPr>
          <w:rFonts w:ascii="Arial" w:hAnsi="Arial" w:cs="Arial"/>
          <w:color w:val="000000" w:themeColor="text1"/>
          <w:szCs w:val="24"/>
          <w:lang w:val="cs-CZ" w:eastAsia="de-AT"/>
        </w:rPr>
        <w:t xml:space="preserve">pohyblivé odměny. </w:t>
      </w:r>
    </w:p>
    <w:p w14:paraId="0C9494B5" w14:textId="77777777"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i/>
          <w:color w:val="000000" w:themeColor="text1"/>
          <w:szCs w:val="24"/>
          <w:lang w:val="cs-CZ" w:eastAsia="de-AT"/>
        </w:rPr>
        <w:t xml:space="preserve">Pravidla proti obcházení předpisů </w:t>
      </w:r>
    </w:p>
    <w:p w14:paraId="3B19A996" w14:textId="1E22E0AF" w:rsidR="00224561" w:rsidRPr="0055589B" w:rsidRDefault="005D634E"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Variabilní odměna</w:t>
      </w:r>
      <w:r w:rsidR="00224561" w:rsidRPr="0055589B">
        <w:rPr>
          <w:rFonts w:ascii="Arial" w:hAnsi="Arial" w:cs="Arial"/>
          <w:color w:val="000000" w:themeColor="text1"/>
          <w:szCs w:val="24"/>
          <w:lang w:val="cs-CZ" w:eastAsia="de-AT"/>
        </w:rPr>
        <w:t xml:space="preserve"> </w:t>
      </w:r>
      <w:r w:rsidR="009A7749" w:rsidRPr="0055589B">
        <w:rPr>
          <w:rFonts w:ascii="Arial" w:hAnsi="Arial" w:cs="Arial"/>
          <w:color w:val="000000" w:themeColor="text1"/>
          <w:szCs w:val="24"/>
          <w:lang w:val="cs-CZ" w:eastAsia="de-AT"/>
        </w:rPr>
        <w:t xml:space="preserve">se nevyplácí </w:t>
      </w:r>
      <w:r w:rsidR="00224561" w:rsidRPr="0055589B">
        <w:rPr>
          <w:rFonts w:ascii="Arial" w:hAnsi="Arial" w:cs="Arial"/>
          <w:color w:val="000000" w:themeColor="text1"/>
          <w:szCs w:val="24"/>
          <w:lang w:val="cs-CZ" w:eastAsia="de-AT"/>
        </w:rPr>
        <w:t>prostřednictvím nástrojů nebo metod, které u</w:t>
      </w:r>
      <w:r w:rsidR="009A7749" w:rsidRPr="0055589B">
        <w:rPr>
          <w:rFonts w:ascii="Arial" w:hAnsi="Arial" w:cs="Arial"/>
          <w:color w:val="000000" w:themeColor="text1"/>
          <w:szCs w:val="24"/>
          <w:lang w:val="cs-CZ" w:eastAsia="de-AT"/>
        </w:rPr>
        <w:t xml:space="preserve">možňují vyhýbat se </w:t>
      </w:r>
      <w:r w:rsidR="00224561" w:rsidRPr="0055589B">
        <w:rPr>
          <w:rFonts w:ascii="Arial" w:hAnsi="Arial" w:cs="Arial"/>
          <w:color w:val="000000" w:themeColor="text1"/>
          <w:szCs w:val="24"/>
          <w:lang w:val="cs-CZ" w:eastAsia="de-AT"/>
        </w:rPr>
        <w:t xml:space="preserve">požadavkům </w:t>
      </w:r>
      <w:r w:rsidR="009A7749" w:rsidRPr="0055589B">
        <w:rPr>
          <w:rFonts w:ascii="Arial" w:hAnsi="Arial" w:cs="Arial"/>
          <w:color w:val="000000" w:themeColor="text1"/>
          <w:szCs w:val="24"/>
          <w:lang w:val="cs-CZ" w:eastAsia="de-AT"/>
        </w:rPr>
        <w:t>této P</w:t>
      </w:r>
      <w:r w:rsidR="00224561" w:rsidRPr="0055589B">
        <w:rPr>
          <w:rFonts w:ascii="Arial" w:hAnsi="Arial" w:cs="Arial"/>
          <w:color w:val="000000" w:themeColor="text1"/>
          <w:szCs w:val="24"/>
          <w:lang w:val="cs-CZ" w:eastAsia="de-AT"/>
        </w:rPr>
        <w:t xml:space="preserve">olitiky odměňování. Dodržování tohoto požadavku je rovněž </w:t>
      </w:r>
      <w:r w:rsidR="009A7749" w:rsidRPr="0055589B">
        <w:rPr>
          <w:rFonts w:ascii="Arial" w:hAnsi="Arial" w:cs="Arial"/>
          <w:color w:val="000000" w:themeColor="text1"/>
          <w:szCs w:val="24"/>
          <w:lang w:val="cs-CZ" w:eastAsia="de-AT"/>
        </w:rPr>
        <w:t>předmětem</w:t>
      </w:r>
      <w:r w:rsidR="00224561" w:rsidRPr="0055589B">
        <w:rPr>
          <w:rFonts w:ascii="Arial" w:hAnsi="Arial" w:cs="Arial"/>
          <w:color w:val="000000" w:themeColor="text1"/>
          <w:szCs w:val="24"/>
          <w:lang w:val="cs-CZ" w:eastAsia="de-AT"/>
        </w:rPr>
        <w:t xml:space="preserve"> každoročního přezkumu prov</w:t>
      </w:r>
      <w:r w:rsidR="009A7749" w:rsidRPr="0055589B">
        <w:rPr>
          <w:rFonts w:ascii="Arial" w:hAnsi="Arial" w:cs="Arial"/>
          <w:color w:val="000000" w:themeColor="text1"/>
          <w:szCs w:val="24"/>
          <w:lang w:val="cs-CZ" w:eastAsia="de-AT"/>
        </w:rPr>
        <w:t xml:space="preserve">áděného </w:t>
      </w:r>
      <w:r w:rsidR="00224561" w:rsidRPr="0055589B">
        <w:rPr>
          <w:rFonts w:ascii="Arial" w:hAnsi="Arial" w:cs="Arial"/>
          <w:color w:val="000000" w:themeColor="text1"/>
          <w:szCs w:val="24"/>
          <w:lang w:val="cs-CZ" w:eastAsia="de-AT"/>
        </w:rPr>
        <w:t xml:space="preserve">příslušným </w:t>
      </w:r>
      <w:r w:rsidR="009A7749" w:rsidRPr="0055589B">
        <w:rPr>
          <w:rFonts w:ascii="Arial" w:hAnsi="Arial" w:cs="Arial"/>
          <w:color w:val="000000" w:themeColor="text1"/>
          <w:szCs w:val="24"/>
          <w:lang w:val="cs-CZ" w:eastAsia="de-AT"/>
        </w:rPr>
        <w:t>V</w:t>
      </w:r>
      <w:r w:rsidR="00224561" w:rsidRPr="0055589B">
        <w:rPr>
          <w:rFonts w:ascii="Arial" w:hAnsi="Arial" w:cs="Arial"/>
          <w:color w:val="000000" w:themeColor="text1"/>
          <w:szCs w:val="24"/>
          <w:lang w:val="cs-CZ" w:eastAsia="de-AT"/>
        </w:rPr>
        <w:t xml:space="preserve">ýborem pro odměňování. </w:t>
      </w:r>
    </w:p>
    <w:p w14:paraId="628BC46B" w14:textId="773AC9F0" w:rsidR="00224561" w:rsidRPr="0055589B" w:rsidRDefault="00831E05" w:rsidP="007F006A">
      <w:pPr>
        <w:spacing w:after="120" w:line="276" w:lineRule="auto"/>
        <w:jc w:val="both"/>
        <w:rPr>
          <w:rFonts w:ascii="Arial" w:eastAsia="Times New Roman" w:hAnsi="Arial" w:cs="Arial"/>
          <w:i/>
          <w:color w:val="000000" w:themeColor="text1"/>
          <w:szCs w:val="24"/>
          <w:lang w:val="cs-CZ" w:eastAsia="de-AT"/>
        </w:rPr>
      </w:pPr>
      <w:r w:rsidRPr="0055589B">
        <w:rPr>
          <w:rFonts w:ascii="Arial" w:hAnsi="Arial" w:cs="Arial"/>
          <w:i/>
          <w:color w:val="000000" w:themeColor="text1"/>
          <w:szCs w:val="24"/>
          <w:lang w:val="cs-CZ" w:eastAsia="de-AT"/>
        </w:rPr>
        <w:t xml:space="preserve">Víceletý </w:t>
      </w:r>
      <w:r w:rsidR="00224561" w:rsidRPr="0055589B">
        <w:rPr>
          <w:rFonts w:ascii="Arial" w:hAnsi="Arial" w:cs="Arial"/>
          <w:i/>
          <w:color w:val="000000" w:themeColor="text1"/>
          <w:szCs w:val="24"/>
          <w:lang w:val="cs-CZ" w:eastAsia="de-AT"/>
        </w:rPr>
        <w:t xml:space="preserve">rámec pro hodnocení výkonnosti </w:t>
      </w:r>
    </w:p>
    <w:p w14:paraId="26FB306A" w14:textId="606570F0"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Posouzení výkonnosti </w:t>
      </w:r>
      <w:r w:rsidR="009A7749" w:rsidRPr="0055589B">
        <w:rPr>
          <w:rFonts w:ascii="Arial" w:hAnsi="Arial" w:cs="Arial"/>
          <w:color w:val="000000" w:themeColor="text1"/>
          <w:szCs w:val="24"/>
          <w:lang w:val="cs-CZ" w:eastAsia="de-AT"/>
        </w:rPr>
        <w:t xml:space="preserve">pracovníků podstupujících rizika je součástí víceletého rámce, který odpovídá životnímu cyklu investičního </w:t>
      </w:r>
      <w:r w:rsidRPr="0055589B">
        <w:rPr>
          <w:rFonts w:ascii="Arial" w:hAnsi="Arial" w:cs="Arial"/>
          <w:color w:val="000000" w:themeColor="text1"/>
          <w:szCs w:val="24"/>
          <w:lang w:val="cs-CZ" w:eastAsia="de-AT"/>
        </w:rPr>
        <w:t xml:space="preserve">fondu spravovaného </w:t>
      </w:r>
      <w:r w:rsidR="009A7749"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 xml:space="preserve">polečností, aby </w:t>
      </w:r>
      <w:r w:rsidR="009A7749" w:rsidRPr="0055589B">
        <w:rPr>
          <w:rFonts w:ascii="Arial" w:hAnsi="Arial" w:cs="Arial"/>
          <w:color w:val="000000" w:themeColor="text1"/>
          <w:szCs w:val="24"/>
          <w:lang w:val="cs-CZ" w:eastAsia="de-AT"/>
        </w:rPr>
        <w:t>bylo</w:t>
      </w:r>
      <w:r w:rsidRPr="0055589B">
        <w:rPr>
          <w:rFonts w:ascii="Arial" w:hAnsi="Arial" w:cs="Arial"/>
          <w:color w:val="000000" w:themeColor="text1"/>
          <w:szCs w:val="24"/>
          <w:lang w:val="cs-CZ" w:eastAsia="de-AT"/>
        </w:rPr>
        <w:t xml:space="preserve"> zaji</w:t>
      </w:r>
      <w:r w:rsidR="009A7749" w:rsidRPr="0055589B">
        <w:rPr>
          <w:rFonts w:ascii="Arial" w:hAnsi="Arial" w:cs="Arial"/>
          <w:color w:val="000000" w:themeColor="text1"/>
          <w:szCs w:val="24"/>
          <w:lang w:val="cs-CZ" w:eastAsia="de-AT"/>
        </w:rPr>
        <w:t xml:space="preserve">štěno, že </w:t>
      </w:r>
      <w:r w:rsidRPr="0055589B">
        <w:rPr>
          <w:rFonts w:ascii="Arial" w:hAnsi="Arial" w:cs="Arial"/>
          <w:color w:val="000000" w:themeColor="text1"/>
          <w:szCs w:val="24"/>
          <w:lang w:val="cs-CZ" w:eastAsia="de-AT"/>
        </w:rPr>
        <w:t xml:space="preserve">hodnocení bude </w:t>
      </w:r>
      <w:r w:rsidR="009A7749" w:rsidRPr="0055589B">
        <w:rPr>
          <w:rFonts w:ascii="Arial" w:hAnsi="Arial" w:cs="Arial"/>
          <w:color w:val="000000" w:themeColor="text1"/>
          <w:szCs w:val="24"/>
          <w:lang w:val="cs-CZ" w:eastAsia="de-AT"/>
        </w:rPr>
        <w:t xml:space="preserve">probíhat na základě dlouhodobých výkonů a že skutečná výplata složky odměn založená na výkonech bude rozložena na dobu, která bude </w:t>
      </w:r>
      <w:r w:rsidRPr="0055589B">
        <w:rPr>
          <w:rFonts w:ascii="Arial" w:hAnsi="Arial" w:cs="Arial"/>
          <w:color w:val="000000" w:themeColor="text1"/>
          <w:szCs w:val="24"/>
          <w:lang w:val="cs-CZ" w:eastAsia="de-AT"/>
        </w:rPr>
        <w:t>zohledň</w:t>
      </w:r>
      <w:r w:rsidR="009A7749" w:rsidRPr="0055589B">
        <w:rPr>
          <w:rFonts w:ascii="Arial" w:hAnsi="Arial" w:cs="Arial"/>
          <w:color w:val="000000" w:themeColor="text1"/>
          <w:szCs w:val="24"/>
          <w:lang w:val="cs-CZ" w:eastAsia="de-AT"/>
        </w:rPr>
        <w:t>ovat</w:t>
      </w:r>
      <w:r w:rsidRPr="0055589B">
        <w:rPr>
          <w:rFonts w:ascii="Arial" w:hAnsi="Arial" w:cs="Arial"/>
          <w:color w:val="000000" w:themeColor="text1"/>
          <w:szCs w:val="24"/>
          <w:lang w:val="cs-CZ" w:eastAsia="de-AT"/>
        </w:rPr>
        <w:t xml:space="preserve"> politiku </w:t>
      </w:r>
      <w:r w:rsidR="009A7749" w:rsidRPr="0055589B">
        <w:rPr>
          <w:rFonts w:ascii="Arial" w:hAnsi="Arial" w:cs="Arial"/>
          <w:color w:val="000000" w:themeColor="text1"/>
          <w:szCs w:val="24"/>
          <w:lang w:val="cs-CZ" w:eastAsia="de-AT"/>
        </w:rPr>
        <w:t>odkupu</w:t>
      </w:r>
      <w:r w:rsidRPr="0055589B">
        <w:rPr>
          <w:rFonts w:ascii="Arial" w:hAnsi="Arial" w:cs="Arial"/>
          <w:color w:val="000000" w:themeColor="text1"/>
          <w:szCs w:val="24"/>
          <w:lang w:val="cs-CZ" w:eastAsia="de-AT"/>
        </w:rPr>
        <w:t xml:space="preserve"> investičních fondů</w:t>
      </w:r>
      <w:r w:rsidR="009A7749" w:rsidRPr="0055589B">
        <w:rPr>
          <w:rFonts w:ascii="Arial" w:hAnsi="Arial" w:cs="Arial"/>
          <w:color w:val="000000" w:themeColor="text1"/>
          <w:szCs w:val="24"/>
          <w:lang w:val="cs-CZ" w:eastAsia="de-AT"/>
        </w:rPr>
        <w:t xml:space="preserve"> spravovaných Společností a </w:t>
      </w:r>
      <w:r w:rsidRPr="0055589B">
        <w:rPr>
          <w:rFonts w:ascii="Arial" w:hAnsi="Arial" w:cs="Arial"/>
          <w:color w:val="000000" w:themeColor="text1"/>
          <w:szCs w:val="24"/>
          <w:lang w:val="cs-CZ" w:eastAsia="de-AT"/>
        </w:rPr>
        <w:t xml:space="preserve">jejich investiční riziko. Toto </w:t>
      </w:r>
      <w:r w:rsidR="009A7749" w:rsidRPr="0055589B">
        <w:rPr>
          <w:rFonts w:ascii="Arial" w:hAnsi="Arial" w:cs="Arial"/>
          <w:color w:val="000000" w:themeColor="text1"/>
          <w:szCs w:val="24"/>
          <w:lang w:val="cs-CZ" w:eastAsia="de-AT"/>
        </w:rPr>
        <w:t xml:space="preserve">nastavení představuje součást </w:t>
      </w:r>
      <w:r w:rsidRPr="0055589B">
        <w:rPr>
          <w:rFonts w:ascii="Arial" w:hAnsi="Arial" w:cs="Arial"/>
          <w:color w:val="000000" w:themeColor="text1"/>
          <w:szCs w:val="24"/>
          <w:lang w:val="cs-CZ" w:eastAsia="de-AT"/>
        </w:rPr>
        <w:t>každoročního hodnotící</w:t>
      </w:r>
      <w:r w:rsidR="009A7749" w:rsidRPr="0055589B">
        <w:rPr>
          <w:rFonts w:ascii="Arial" w:hAnsi="Arial" w:cs="Arial"/>
          <w:color w:val="000000" w:themeColor="text1"/>
          <w:szCs w:val="24"/>
          <w:lang w:val="cs-CZ" w:eastAsia="de-AT"/>
        </w:rPr>
        <w:t>ho pohovoru s pracovníky podstupujícímu rizika.</w:t>
      </w:r>
    </w:p>
    <w:p w14:paraId="0D7D096F" w14:textId="33073312" w:rsidR="00224561" w:rsidRPr="0055589B" w:rsidRDefault="00831E05" w:rsidP="007F006A">
      <w:pPr>
        <w:keepNext/>
        <w:spacing w:before="240" w:after="120" w:line="276" w:lineRule="auto"/>
        <w:jc w:val="both"/>
        <w:outlineLvl w:val="3"/>
        <w:rPr>
          <w:rFonts w:ascii="Arial" w:eastAsia="Times New Roman" w:hAnsi="Arial" w:cs="Arial"/>
          <w:b/>
          <w:bCs/>
          <w:color w:val="000000" w:themeColor="text1"/>
          <w:szCs w:val="28"/>
          <w:lang w:val="cs-CZ" w:eastAsia="de-AT"/>
        </w:rPr>
      </w:pPr>
      <w:r w:rsidRPr="0055589B">
        <w:rPr>
          <w:rFonts w:ascii="Arial" w:hAnsi="Arial" w:cs="Arial"/>
          <w:b/>
          <w:bCs/>
          <w:color w:val="000000" w:themeColor="text1"/>
          <w:szCs w:val="28"/>
          <w:lang w:val="cs-CZ" w:eastAsia="de-AT"/>
        </w:rPr>
        <w:t xml:space="preserve">Model výplaty bonusů </w:t>
      </w:r>
    </w:p>
    <w:p w14:paraId="10DFA046" w14:textId="5EBDD84B" w:rsidR="00224561" w:rsidRPr="0055589B" w:rsidRDefault="00831E05" w:rsidP="007F006A">
      <w:p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szCs w:val="24"/>
          <w:lang w:val="cs-CZ" w:eastAsia="de-AT"/>
        </w:rPr>
        <w:t>Obecnou podmínkou Společnosti pro výplatu předem vyplácených i odložených variabilních odměn jsou m</w:t>
      </w:r>
      <w:r w:rsidR="00224561" w:rsidRPr="0055589B">
        <w:rPr>
          <w:rFonts w:ascii="Arial" w:hAnsi="Arial" w:cs="Arial"/>
          <w:color w:val="000000" w:themeColor="text1"/>
          <w:szCs w:val="24"/>
          <w:lang w:val="cs-CZ" w:eastAsia="de-AT"/>
        </w:rPr>
        <w:t>inimální požadavky na ziskovost</w:t>
      </w:r>
      <w:r w:rsidRPr="0055589B">
        <w:rPr>
          <w:rFonts w:ascii="Arial" w:hAnsi="Arial" w:cs="Arial"/>
          <w:color w:val="000000" w:themeColor="text1"/>
          <w:szCs w:val="24"/>
          <w:lang w:val="cs-CZ" w:eastAsia="de-AT"/>
        </w:rPr>
        <w:t>.</w:t>
      </w:r>
    </w:p>
    <w:p w14:paraId="21D8FD48" w14:textId="3D6C7F05" w:rsidR="00245581" w:rsidRPr="00245581" w:rsidRDefault="00245581" w:rsidP="00136253">
      <w:pPr>
        <w:pStyle w:val="Nadpis2"/>
      </w:pPr>
      <w:bookmarkStart w:id="45" w:name="_Toc108689213"/>
      <w:r w:rsidRPr="00245581">
        <w:t>Struktura pracovních pozic, mzdová pásma a mzdový benchmarking</w:t>
      </w:r>
      <w:bookmarkEnd w:id="45"/>
      <w:r w:rsidRPr="00245581">
        <w:t xml:space="preserve"> </w:t>
      </w:r>
    </w:p>
    <w:p w14:paraId="1C79765F" w14:textId="77777777" w:rsidR="00245581" w:rsidRPr="00136253" w:rsidRDefault="00245581" w:rsidP="00136253">
      <w:p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Díky strukturování pracovních pozic jsou k dispozici strukturované a transparentní informace o stávajících pracovních místech, povinnostech a požadovaných dovednostech. Jednotlivé funkce jsou popsány formou profilů pracovních pozic s uvedením s nimi spojených povinností, nezbytných funkčních dovedností a kompetencí. U profilů pracovních pozic se hodnotí jejich komplexita a jsou vztahovány k ostatním pracovním pozicím ve společnosti.  </w:t>
      </w:r>
    </w:p>
    <w:p w14:paraId="7ABEE25D" w14:textId="77777777" w:rsidR="00245581" w:rsidRPr="00136253" w:rsidRDefault="00245581" w:rsidP="00136253">
      <w:p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Metody dělení pracovních pozic do jednotlivých tříd lze použít ke stanovení relativní hodnoty každé pozice na předem stanovené měřicí stupnici. Subjekty mohou používat místní metodiku pro určování tříd pracovních pozic, kterou používá kterýkoliv přední poskytovatel v dané geografické oblasti, a provázat ji se strukturou Erste Group. Metodu určování tříd pracovních pozic stanoví oddělení HR daného subjektu ve spolupráci se skupinovým HR. Výsledkem je struktura pracovních pozic za celou společnost, která je postavena výhradně na povinnostech a složitosti vykonávaných úkolů.</w:t>
      </w:r>
    </w:p>
    <w:p w14:paraId="5F4B93ED" w14:textId="6D298553" w:rsidR="00245581" w:rsidRPr="00136253" w:rsidRDefault="00245581" w:rsidP="00136253">
      <w:p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Díky strukturování pracovních pozic roste povědomí a rovný přístup k informacím a příležitostem karierního rozvoje a podporuje se jasnost a pochopení možných karierních cest a mobility. </w:t>
      </w:r>
      <w:r w:rsidRPr="00136253">
        <w:rPr>
          <w:rFonts w:ascii="Arial" w:hAnsi="Arial" w:cs="Arial"/>
          <w:color w:val="000000" w:themeColor="text1"/>
          <w:szCs w:val="24"/>
          <w:lang w:val="cs-CZ" w:eastAsia="de-AT"/>
        </w:rPr>
        <w:lastRenderedPageBreak/>
        <w:t>Strukturování pracovních pozic také umožňuje lépe identifikovat požadavky na školení a vzdělávání a vytvářet lépe zaměřené plány rozvoje.</w:t>
      </w:r>
    </w:p>
    <w:p w14:paraId="7176E06F" w14:textId="77777777" w:rsidR="00245581" w:rsidRPr="00136253" w:rsidRDefault="00245581" w:rsidP="00136253">
      <w:pPr>
        <w:keepNext/>
        <w:spacing w:before="240" w:after="120" w:line="276" w:lineRule="auto"/>
        <w:jc w:val="both"/>
        <w:outlineLvl w:val="3"/>
        <w:rPr>
          <w:rFonts w:ascii="Arial" w:hAnsi="Arial" w:cs="Arial"/>
          <w:b/>
          <w:bCs/>
          <w:color w:val="000000" w:themeColor="text1"/>
          <w:szCs w:val="28"/>
          <w:lang w:eastAsia="de-AT"/>
        </w:rPr>
      </w:pPr>
      <w:r w:rsidRPr="00136253">
        <w:rPr>
          <w:rFonts w:ascii="Arial" w:hAnsi="Arial" w:cs="Arial"/>
          <w:b/>
          <w:bCs/>
          <w:color w:val="000000" w:themeColor="text1"/>
          <w:szCs w:val="28"/>
          <w:lang w:val="cs-CZ" w:eastAsia="de-AT"/>
        </w:rPr>
        <w:t xml:space="preserve">Mzdová pásma </w:t>
      </w:r>
    </w:p>
    <w:p w14:paraId="788CED65" w14:textId="729C8D5A" w:rsidR="00245581" w:rsidRPr="00136253" w:rsidRDefault="00245581" w:rsidP="00136253">
      <w:p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Mzdová pásma se používají k určení pásma odměny poskytované za výkon některých rolí. Každé mzdové pásmo má minimální a maximální hodnotu; mzda jednotlivce může být nižší nebo vyšší než maximum mzdového pásma, avšak nikdy ne nižší ne</w:t>
      </w:r>
      <w:r w:rsidRPr="00245581">
        <w:rPr>
          <w:rFonts w:ascii="Arial" w:hAnsi="Arial" w:cs="Arial"/>
          <w:color w:val="000000" w:themeColor="text1"/>
          <w:szCs w:val="24"/>
          <w:lang w:val="cs-CZ" w:eastAsia="de-AT"/>
        </w:rPr>
        <w:t>ž zákonné minimum. Stanoví se</w:t>
      </w:r>
      <w:r w:rsidRPr="00136253">
        <w:rPr>
          <w:rFonts w:ascii="Arial" w:hAnsi="Arial" w:cs="Arial"/>
          <w:color w:val="000000" w:themeColor="text1"/>
          <w:szCs w:val="24"/>
          <w:lang w:val="cs-CZ" w:eastAsia="de-AT"/>
        </w:rPr>
        <w:t xml:space="preserve"> podle: </w:t>
      </w:r>
    </w:p>
    <w:p w14:paraId="517C2B42" w14:textId="77777777" w:rsidR="00245581" w:rsidRPr="00136253" w:rsidRDefault="00245581" w:rsidP="00136253">
      <w:pPr>
        <w:pStyle w:val="Odstavecseseznamem"/>
        <w:numPr>
          <w:ilvl w:val="0"/>
          <w:numId w:val="32"/>
        </w:num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nedostatku / nadbytku dostupných dovedností na trhu;</w:t>
      </w:r>
    </w:p>
    <w:p w14:paraId="23946EA7" w14:textId="77777777" w:rsidR="00245581" w:rsidRPr="00136253" w:rsidRDefault="00245581" w:rsidP="00136253">
      <w:pPr>
        <w:pStyle w:val="Odstavecseseznamem"/>
        <w:numPr>
          <w:ilvl w:val="0"/>
          <w:numId w:val="32"/>
        </w:num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očekávaných trendů na trhu v budoucnu;</w:t>
      </w:r>
    </w:p>
    <w:p w14:paraId="283D2BF3" w14:textId="7BA9F9DA" w:rsidR="00245581" w:rsidRPr="00136253" w:rsidRDefault="00245581" w:rsidP="00136253">
      <w:pPr>
        <w:pStyle w:val="Odstavecseseznamem"/>
        <w:numPr>
          <w:ilvl w:val="0"/>
          <w:numId w:val="32"/>
        </w:num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ceny pracovní síly na trhu obecně. </w:t>
      </w:r>
    </w:p>
    <w:p w14:paraId="4DCBE3F1" w14:textId="77777777" w:rsidR="00245581" w:rsidRPr="00136253" w:rsidRDefault="00245581" w:rsidP="00136253">
      <w:p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Referenční úrovně pak </w:t>
      </w:r>
      <w:proofErr w:type="gramStart"/>
      <w:r w:rsidRPr="00136253">
        <w:rPr>
          <w:rFonts w:ascii="Arial" w:hAnsi="Arial" w:cs="Arial"/>
          <w:color w:val="000000" w:themeColor="text1"/>
          <w:szCs w:val="24"/>
          <w:lang w:val="cs-CZ" w:eastAsia="de-AT"/>
        </w:rPr>
        <w:t>tvoří</w:t>
      </w:r>
      <w:proofErr w:type="gramEnd"/>
      <w:r w:rsidRPr="00136253">
        <w:rPr>
          <w:rFonts w:ascii="Arial" w:hAnsi="Arial" w:cs="Arial"/>
          <w:color w:val="000000" w:themeColor="text1"/>
          <w:szCs w:val="24"/>
          <w:lang w:val="cs-CZ" w:eastAsia="de-AT"/>
        </w:rPr>
        <w:t xml:space="preserve"> rámec pro rozhodování o mzdách při najímání nových pracovníků, v případě karierních změn, povýšení, dlouhodobého velkého osobního nasazení či posunu ve vývoji. Referenční úrovně mzdových pásem </w:t>
      </w:r>
      <w:proofErr w:type="gramStart"/>
      <w:r w:rsidRPr="00136253">
        <w:rPr>
          <w:rFonts w:ascii="Arial" w:hAnsi="Arial" w:cs="Arial"/>
          <w:color w:val="000000" w:themeColor="text1"/>
          <w:szCs w:val="24"/>
          <w:lang w:val="cs-CZ" w:eastAsia="de-AT"/>
        </w:rPr>
        <w:t>slouží</w:t>
      </w:r>
      <w:proofErr w:type="gramEnd"/>
      <w:r w:rsidRPr="00136253">
        <w:rPr>
          <w:rFonts w:ascii="Arial" w:hAnsi="Arial" w:cs="Arial"/>
          <w:color w:val="000000" w:themeColor="text1"/>
          <w:szCs w:val="24"/>
          <w:lang w:val="cs-CZ" w:eastAsia="de-AT"/>
        </w:rPr>
        <w:t xml:space="preserve"> vedení jako pomůcka pro udržení nebo přiblížení se k interní rovnováze v odměňování. </w:t>
      </w:r>
    </w:p>
    <w:p w14:paraId="21F46626" w14:textId="77777777" w:rsidR="00245581" w:rsidRDefault="00245581" w:rsidP="00245581">
      <w:pPr>
        <w:pStyle w:val="Default"/>
        <w:rPr>
          <w:rFonts w:asciiTheme="minorHAnsi" w:hAnsiTheme="minorHAnsi" w:cstheme="minorHAnsi"/>
          <w:b/>
          <w:bCs/>
          <w:sz w:val="22"/>
          <w:szCs w:val="22"/>
        </w:rPr>
      </w:pPr>
    </w:p>
    <w:p w14:paraId="37FF923A" w14:textId="77777777" w:rsidR="00245581" w:rsidRPr="00136253" w:rsidRDefault="00245581" w:rsidP="00136253">
      <w:pPr>
        <w:keepNext/>
        <w:spacing w:before="240" w:after="120" w:line="276" w:lineRule="auto"/>
        <w:jc w:val="both"/>
        <w:outlineLvl w:val="3"/>
        <w:rPr>
          <w:rFonts w:ascii="Arial" w:hAnsi="Arial" w:cs="Arial"/>
          <w:b/>
          <w:bCs/>
          <w:color w:val="000000" w:themeColor="text1"/>
          <w:szCs w:val="28"/>
          <w:lang w:eastAsia="de-AT"/>
        </w:rPr>
      </w:pPr>
      <w:r w:rsidRPr="00136253">
        <w:rPr>
          <w:rFonts w:ascii="Arial" w:hAnsi="Arial" w:cs="Arial"/>
          <w:b/>
          <w:bCs/>
          <w:color w:val="000000" w:themeColor="text1"/>
          <w:szCs w:val="28"/>
          <w:lang w:val="cs-CZ" w:eastAsia="de-AT"/>
        </w:rPr>
        <w:t>Benchmarking mezd</w:t>
      </w:r>
    </w:p>
    <w:p w14:paraId="62998D6A" w14:textId="77777777" w:rsidR="00245581" w:rsidRPr="00136253" w:rsidRDefault="00245581" w:rsidP="00136253">
      <w:p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Mzdový benchmarking je proces, v jehož rámci se interní popis pracovní pozice porovnává s externími pozicemi s podobnými povinnostmi s cílem zjistit tržní sazbu pro každou pozici. Pomáhá nám to lépe pochopit trendy v odměňování na konkrétním trhu.</w:t>
      </w:r>
    </w:p>
    <w:p w14:paraId="02A8D3FB" w14:textId="52976D6A" w:rsidR="00245581" w:rsidRPr="00136253" w:rsidRDefault="00245581" w:rsidP="00136253">
      <w:pPr>
        <w:spacing w:after="120" w:line="276" w:lineRule="auto"/>
        <w:jc w:val="both"/>
        <w:rPr>
          <w:rFonts w:ascii="Arial" w:hAnsi="Arial" w:cs="Arial"/>
          <w:color w:val="000000" w:themeColor="text1"/>
          <w:szCs w:val="24"/>
          <w:lang w:eastAsia="de-AT"/>
        </w:rPr>
      </w:pPr>
      <w:r w:rsidRPr="00136253">
        <w:rPr>
          <w:rFonts w:ascii="Arial" w:hAnsi="Arial" w:cs="Arial"/>
          <w:color w:val="000000" w:themeColor="text1"/>
          <w:szCs w:val="24"/>
          <w:lang w:val="cs-CZ" w:eastAsia="de-AT"/>
        </w:rPr>
        <w:t xml:space="preserve">Údaje o mzdových benchmarcích se obvykle nakupují od některého z předních poskytovatelů v příslušné geografické oblasti. </w:t>
      </w:r>
    </w:p>
    <w:p w14:paraId="6E1452B4" w14:textId="51BACA83" w:rsidR="00224561" w:rsidRPr="0055589B" w:rsidRDefault="00224561" w:rsidP="006033BF">
      <w:pPr>
        <w:pStyle w:val="Nadpis2"/>
        <w:rPr>
          <w:rFonts w:eastAsia="Times New Roman"/>
          <w:color w:val="000000" w:themeColor="text1"/>
          <w:lang w:val="cs-CZ"/>
        </w:rPr>
      </w:pPr>
      <w:bookmarkStart w:id="46" w:name="_Toc108689214"/>
      <w:r w:rsidRPr="0055589B">
        <w:rPr>
          <w:color w:val="000000" w:themeColor="text1"/>
          <w:lang w:val="cs-CZ"/>
        </w:rPr>
        <w:t>P</w:t>
      </w:r>
      <w:r w:rsidR="00831E05" w:rsidRPr="0055589B">
        <w:rPr>
          <w:color w:val="000000" w:themeColor="text1"/>
          <w:lang w:val="cs-CZ"/>
        </w:rPr>
        <w:t xml:space="preserve">ravidla pro </w:t>
      </w:r>
      <w:r w:rsidRPr="0055589B">
        <w:rPr>
          <w:color w:val="000000" w:themeColor="text1"/>
          <w:lang w:val="cs-CZ"/>
        </w:rPr>
        <w:t>personální obsazení a mobilitu</w:t>
      </w:r>
      <w:bookmarkEnd w:id="46"/>
    </w:p>
    <w:p w14:paraId="1CB5A2DA" w14:textId="1016F8C6" w:rsidR="00224561" w:rsidRPr="0055589B" w:rsidRDefault="00224561" w:rsidP="007F006A">
      <w:p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szCs w:val="24"/>
          <w:lang w:val="cs-CZ" w:eastAsia="de-AT"/>
        </w:rPr>
        <w:t xml:space="preserve">Výbor pro odměňování je informován o všech kariérních přesunech </w:t>
      </w:r>
      <w:r w:rsidR="001A1B63" w:rsidRPr="0055589B">
        <w:rPr>
          <w:rFonts w:ascii="Arial" w:hAnsi="Arial" w:cs="Arial"/>
          <w:color w:val="000000" w:themeColor="text1"/>
          <w:szCs w:val="24"/>
          <w:lang w:val="cs-CZ" w:eastAsia="de-AT"/>
        </w:rPr>
        <w:t xml:space="preserve">pracovníka, který podstupuje rizika. </w:t>
      </w:r>
      <w:r w:rsidRPr="0055589B">
        <w:rPr>
          <w:rFonts w:ascii="Arial" w:hAnsi="Arial" w:cs="Arial"/>
          <w:color w:val="000000" w:themeColor="text1"/>
          <w:szCs w:val="24"/>
          <w:lang w:val="cs-CZ" w:eastAsia="de-AT"/>
        </w:rPr>
        <w:t>Výbor pro odměňování rozhoduje o</w:t>
      </w:r>
      <w:r w:rsidR="008F0F33" w:rsidRPr="0055589B">
        <w:rPr>
          <w:rFonts w:ascii="Arial" w:hAnsi="Arial" w:cs="Arial"/>
          <w:color w:val="000000" w:themeColor="text1"/>
          <w:szCs w:val="24"/>
          <w:lang w:val="cs-CZ" w:eastAsia="de-AT"/>
        </w:rPr>
        <w:t xml:space="preserve"> tom, jak budou </w:t>
      </w:r>
      <w:r w:rsidRPr="0055589B">
        <w:rPr>
          <w:rFonts w:ascii="Arial" w:hAnsi="Arial" w:cs="Arial"/>
          <w:color w:val="000000" w:themeColor="text1"/>
          <w:szCs w:val="24"/>
          <w:lang w:val="cs-CZ" w:eastAsia="de-AT"/>
        </w:rPr>
        <w:t xml:space="preserve">hodnocení výkonu a </w:t>
      </w:r>
      <w:r w:rsidR="008F0F33" w:rsidRPr="0055589B">
        <w:rPr>
          <w:rFonts w:ascii="Arial" w:hAnsi="Arial" w:cs="Arial"/>
          <w:color w:val="000000" w:themeColor="text1"/>
          <w:szCs w:val="24"/>
          <w:lang w:val="cs-CZ" w:eastAsia="de-AT"/>
        </w:rPr>
        <w:t>výplata bonusu provedeny.</w:t>
      </w:r>
    </w:p>
    <w:p w14:paraId="7F35488D" w14:textId="40E2A1AF" w:rsidR="00224561" w:rsidRPr="0055589B" w:rsidRDefault="008F0F33"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Pro personální obsažení a karierní přesuny platí </w:t>
      </w:r>
      <w:r w:rsidR="00224561" w:rsidRPr="0055589B">
        <w:rPr>
          <w:rFonts w:ascii="Arial" w:hAnsi="Arial" w:cs="Arial"/>
          <w:color w:val="000000" w:themeColor="text1"/>
          <w:szCs w:val="24"/>
          <w:lang w:val="cs-CZ" w:eastAsia="de-AT"/>
        </w:rPr>
        <w:t>následující p</w:t>
      </w:r>
      <w:r w:rsidRPr="0055589B">
        <w:rPr>
          <w:rFonts w:ascii="Arial" w:hAnsi="Arial" w:cs="Arial"/>
          <w:color w:val="000000" w:themeColor="text1"/>
          <w:szCs w:val="24"/>
          <w:lang w:val="cs-CZ" w:eastAsia="de-AT"/>
        </w:rPr>
        <w:t>ravidla:</w:t>
      </w:r>
    </w:p>
    <w:p w14:paraId="3A2D54BD" w14:textId="3D3179F1" w:rsidR="00224561" w:rsidRPr="0055589B" w:rsidRDefault="00224561" w:rsidP="00224561">
      <w:pPr>
        <w:numPr>
          <w:ilvl w:val="0"/>
          <w:numId w:val="18"/>
        </w:numPr>
        <w:tabs>
          <w:tab w:val="left" w:pos="851"/>
        </w:tabs>
        <w:spacing w:before="240" w:after="0" w:line="276" w:lineRule="auto"/>
        <w:contextualSpacing/>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Zaměstnanec je </w:t>
      </w:r>
      <w:r w:rsidR="008F0F33" w:rsidRPr="0055589B">
        <w:rPr>
          <w:rFonts w:ascii="Arial" w:hAnsi="Arial" w:cs="Arial"/>
          <w:color w:val="000000" w:themeColor="text1"/>
          <w:lang w:val="cs-CZ" w:eastAsia="de-AT"/>
        </w:rPr>
        <w:t>v hodnoceném období pracovníkem podstupujícím rizika, pokud je ustanoven jako pracovník podstupující rizika v rámci S</w:t>
      </w:r>
      <w:r w:rsidRPr="0055589B">
        <w:rPr>
          <w:rFonts w:ascii="Arial" w:hAnsi="Arial" w:cs="Arial"/>
          <w:color w:val="000000" w:themeColor="text1"/>
          <w:lang w:val="cs-CZ" w:eastAsia="de-AT"/>
        </w:rPr>
        <w:t>polečnosti po dobu nejméně 3 měsíců. Jak</w:t>
      </w:r>
      <w:r w:rsidR="008F0F33" w:rsidRPr="0055589B">
        <w:rPr>
          <w:rFonts w:ascii="Arial" w:hAnsi="Arial" w:cs="Arial"/>
          <w:color w:val="000000" w:themeColor="text1"/>
          <w:lang w:val="cs-CZ" w:eastAsia="de-AT"/>
        </w:rPr>
        <w:t>ýkoliv poskytnut</w:t>
      </w:r>
      <w:r w:rsidR="002C3469" w:rsidRPr="0055589B">
        <w:rPr>
          <w:rFonts w:ascii="Arial" w:hAnsi="Arial" w:cs="Arial"/>
          <w:color w:val="000000" w:themeColor="text1"/>
          <w:lang w:val="cs-CZ" w:eastAsia="de-AT"/>
        </w:rPr>
        <w:t>ý</w:t>
      </w:r>
      <w:r w:rsidR="008F0F33" w:rsidRPr="0055589B">
        <w:rPr>
          <w:rFonts w:ascii="Arial" w:hAnsi="Arial" w:cs="Arial"/>
          <w:color w:val="000000" w:themeColor="text1"/>
          <w:lang w:val="cs-CZ" w:eastAsia="de-AT"/>
        </w:rPr>
        <w:t xml:space="preserve"> bonus se vyplácí v souladu s pravidly pro výplatu bonusů pro </w:t>
      </w:r>
      <w:r w:rsidR="00B60F93" w:rsidRPr="0055589B">
        <w:rPr>
          <w:rFonts w:ascii="Arial" w:hAnsi="Arial" w:cs="Arial"/>
          <w:color w:val="000000" w:themeColor="text1"/>
          <w:lang w:val="cs-CZ" w:eastAsia="de-AT"/>
        </w:rPr>
        <w:t>pracovní</w:t>
      </w:r>
      <w:r w:rsidR="008F0F33" w:rsidRPr="0055589B">
        <w:rPr>
          <w:rFonts w:ascii="Arial" w:hAnsi="Arial" w:cs="Arial"/>
          <w:color w:val="000000" w:themeColor="text1"/>
          <w:lang w:val="cs-CZ" w:eastAsia="de-AT"/>
        </w:rPr>
        <w:t>ky</w:t>
      </w:r>
      <w:r w:rsidR="00B60F93" w:rsidRPr="0055589B">
        <w:rPr>
          <w:rFonts w:ascii="Arial" w:hAnsi="Arial" w:cs="Arial"/>
          <w:color w:val="000000" w:themeColor="text1"/>
          <w:lang w:val="cs-CZ" w:eastAsia="de-AT"/>
        </w:rPr>
        <w:t xml:space="preserve"> podstupující rizika</w:t>
      </w:r>
      <w:r w:rsidRPr="0055589B">
        <w:rPr>
          <w:rFonts w:ascii="Arial" w:hAnsi="Arial" w:cs="Arial"/>
          <w:color w:val="000000" w:themeColor="text1"/>
          <w:lang w:val="cs-CZ" w:eastAsia="de-AT"/>
        </w:rPr>
        <w:t>;</w:t>
      </w:r>
    </w:p>
    <w:p w14:paraId="7818B8E3" w14:textId="3D558215" w:rsidR="00224561" w:rsidRPr="0055589B" w:rsidRDefault="00224561" w:rsidP="00224561">
      <w:pPr>
        <w:numPr>
          <w:ilvl w:val="0"/>
          <w:numId w:val="18"/>
        </w:numPr>
        <w:tabs>
          <w:tab w:val="left" w:pos="851"/>
        </w:tabs>
        <w:spacing w:before="240" w:after="0" w:line="276" w:lineRule="auto"/>
        <w:contextualSpacing/>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Platba odložených </w:t>
      </w:r>
      <w:r w:rsidR="008F0F33" w:rsidRPr="0055589B">
        <w:rPr>
          <w:rFonts w:ascii="Arial" w:hAnsi="Arial" w:cs="Arial"/>
          <w:color w:val="000000" w:themeColor="text1"/>
          <w:lang w:val="cs-CZ" w:eastAsia="de-AT"/>
        </w:rPr>
        <w:t xml:space="preserve">částí </w:t>
      </w:r>
      <w:r w:rsidRPr="0055589B">
        <w:rPr>
          <w:rFonts w:ascii="Arial" w:hAnsi="Arial" w:cs="Arial"/>
          <w:color w:val="000000" w:themeColor="text1"/>
          <w:lang w:val="cs-CZ" w:eastAsia="de-AT"/>
        </w:rPr>
        <w:t>bonus</w:t>
      </w:r>
      <w:r w:rsidR="008F0F33" w:rsidRPr="0055589B">
        <w:rPr>
          <w:rFonts w:ascii="Arial" w:hAnsi="Arial" w:cs="Arial"/>
          <w:color w:val="000000" w:themeColor="text1"/>
          <w:lang w:val="cs-CZ" w:eastAsia="de-AT"/>
        </w:rPr>
        <w:t xml:space="preserve">ů je nadále povinností Společnosti, která bonus přiznala. </w:t>
      </w:r>
      <w:r w:rsidRPr="0055589B">
        <w:rPr>
          <w:rFonts w:ascii="Arial" w:hAnsi="Arial" w:cs="Arial"/>
          <w:color w:val="000000" w:themeColor="text1"/>
          <w:lang w:val="cs-CZ" w:eastAsia="de-AT"/>
        </w:rPr>
        <w:t xml:space="preserve">V případě, že </w:t>
      </w:r>
      <w:r w:rsidR="008F0F33" w:rsidRPr="0055589B">
        <w:rPr>
          <w:rFonts w:ascii="Arial" w:hAnsi="Arial" w:cs="Arial"/>
          <w:color w:val="000000" w:themeColor="text1"/>
          <w:lang w:val="cs-CZ" w:eastAsia="de-AT"/>
        </w:rPr>
        <w:t>pracovník podstupující rizika přejde v rámci karierního posunu do jiné společnosti, tyto odložené části bonusů jsou přiznány a vyplaceny v souladu s pravidly pro výplatu bonusů pro pracovníky podstupující rizika</w:t>
      </w:r>
      <w:r w:rsidRPr="0055589B">
        <w:rPr>
          <w:rFonts w:ascii="Arial" w:hAnsi="Arial" w:cs="Arial"/>
          <w:color w:val="000000" w:themeColor="text1"/>
          <w:lang w:val="cs-CZ" w:eastAsia="de-AT"/>
        </w:rPr>
        <w:t>;</w:t>
      </w:r>
    </w:p>
    <w:p w14:paraId="6779E1AF" w14:textId="746783EE" w:rsidR="00224561" w:rsidRPr="0055589B" w:rsidRDefault="008F0F33" w:rsidP="00224561">
      <w:pPr>
        <w:numPr>
          <w:ilvl w:val="0"/>
          <w:numId w:val="18"/>
        </w:numPr>
        <w:tabs>
          <w:tab w:val="left" w:pos="851"/>
        </w:tabs>
        <w:spacing w:before="240" w:after="0" w:line="276" w:lineRule="auto"/>
        <w:contextualSpacing/>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Pracovník podstupující rizika může obdržet zaručený bonus ve formě nástupního bonusu vypláceného předem v hotovosti v době, kdy nastupuje jako nový </w:t>
      </w:r>
      <w:r w:rsidR="00224561" w:rsidRPr="0055589B">
        <w:rPr>
          <w:rFonts w:ascii="Arial" w:hAnsi="Arial" w:cs="Arial"/>
          <w:color w:val="000000" w:themeColor="text1"/>
          <w:lang w:val="cs-CZ" w:eastAsia="de-AT"/>
        </w:rPr>
        <w:t xml:space="preserve">zaměstnanec. </w:t>
      </w:r>
      <w:r w:rsidRPr="0055589B">
        <w:rPr>
          <w:rFonts w:ascii="Arial" w:hAnsi="Arial" w:cs="Arial"/>
          <w:color w:val="000000" w:themeColor="text1"/>
          <w:lang w:val="cs-CZ" w:eastAsia="de-AT"/>
        </w:rPr>
        <w:t xml:space="preserve">Výplata nástupního bonusu se omezuje na první rok trvání pracovního poměru k subjekty a je podmíněna požadavkem solidního a dostatečného akciového kapitálu institutu; </w:t>
      </w:r>
    </w:p>
    <w:p w14:paraId="49D3F547" w14:textId="6EEA0E34" w:rsidR="00224561" w:rsidRPr="0055589B" w:rsidRDefault="00224561" w:rsidP="00224561">
      <w:pPr>
        <w:numPr>
          <w:ilvl w:val="0"/>
          <w:numId w:val="18"/>
        </w:numPr>
        <w:tabs>
          <w:tab w:val="left" w:pos="851"/>
        </w:tabs>
        <w:spacing w:before="240" w:after="0" w:line="276" w:lineRule="auto"/>
        <w:contextualSpacing/>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lastRenderedPageBreak/>
        <w:t xml:space="preserve">Pokud </w:t>
      </w:r>
      <w:r w:rsidR="008F0F33" w:rsidRPr="0055589B">
        <w:rPr>
          <w:rFonts w:ascii="Arial" w:hAnsi="Arial" w:cs="Arial"/>
          <w:color w:val="000000" w:themeColor="text1"/>
          <w:lang w:val="cs-CZ" w:eastAsia="de-AT"/>
        </w:rPr>
        <w:t xml:space="preserve">pracovník podstupující rizika podnikne karierní přesun v </w:t>
      </w:r>
      <w:r w:rsidRPr="0055589B">
        <w:rPr>
          <w:rFonts w:ascii="Arial" w:hAnsi="Arial" w:cs="Arial"/>
          <w:color w:val="000000" w:themeColor="text1"/>
          <w:lang w:val="cs-CZ" w:eastAsia="de-AT"/>
        </w:rPr>
        <w:t xml:space="preserve">rámci </w:t>
      </w:r>
      <w:r w:rsidR="008F0F33" w:rsidRPr="0055589B">
        <w:rPr>
          <w:rFonts w:ascii="Arial" w:hAnsi="Arial" w:cs="Arial"/>
          <w:color w:val="000000" w:themeColor="text1"/>
          <w:lang w:val="cs-CZ" w:eastAsia="de-AT"/>
        </w:rPr>
        <w:t>S</w:t>
      </w:r>
      <w:r w:rsidRPr="0055589B">
        <w:rPr>
          <w:rFonts w:ascii="Arial" w:hAnsi="Arial" w:cs="Arial"/>
          <w:color w:val="000000" w:themeColor="text1"/>
          <w:lang w:val="cs-CZ" w:eastAsia="de-AT"/>
        </w:rPr>
        <w:t xml:space="preserve">polečnosti a zůstane </w:t>
      </w:r>
      <w:r w:rsidR="008F0F33" w:rsidRPr="0055589B">
        <w:rPr>
          <w:rFonts w:ascii="Arial" w:hAnsi="Arial" w:cs="Arial"/>
          <w:color w:val="000000" w:themeColor="text1"/>
          <w:lang w:val="cs-CZ" w:eastAsia="de-AT"/>
        </w:rPr>
        <w:t xml:space="preserve">i nadále pracovníkem podstupujícím rizika, </w:t>
      </w:r>
      <w:r w:rsidRPr="0055589B">
        <w:rPr>
          <w:rFonts w:ascii="Arial" w:hAnsi="Arial" w:cs="Arial"/>
          <w:color w:val="000000" w:themeColor="text1"/>
          <w:lang w:val="cs-CZ" w:eastAsia="de-AT"/>
        </w:rPr>
        <w:t>p</w:t>
      </w:r>
      <w:r w:rsidR="008F0F33" w:rsidRPr="0055589B">
        <w:rPr>
          <w:rFonts w:ascii="Arial" w:hAnsi="Arial" w:cs="Arial"/>
          <w:color w:val="000000" w:themeColor="text1"/>
          <w:lang w:val="cs-CZ" w:eastAsia="de-AT"/>
        </w:rPr>
        <w:t xml:space="preserve">oužije ten model výplaty bonusu odpovídající funkci, kterou pracovník podstupující riziko vykonával nejméně po dobu </w:t>
      </w:r>
      <w:r w:rsidRPr="0055589B">
        <w:rPr>
          <w:rFonts w:ascii="Arial" w:hAnsi="Arial" w:cs="Arial"/>
          <w:color w:val="000000" w:themeColor="text1"/>
          <w:lang w:val="cs-CZ" w:eastAsia="de-AT"/>
        </w:rPr>
        <w:t>6 měsíců</w:t>
      </w:r>
      <w:r w:rsidR="008F0F33" w:rsidRPr="0055589B">
        <w:rPr>
          <w:rFonts w:ascii="Arial" w:hAnsi="Arial" w:cs="Arial"/>
          <w:color w:val="000000" w:themeColor="text1"/>
          <w:lang w:val="cs-CZ" w:eastAsia="de-AT"/>
        </w:rPr>
        <w:t>;</w:t>
      </w:r>
    </w:p>
    <w:p w14:paraId="6375848D" w14:textId="4A8F98CF" w:rsidR="00224561" w:rsidRPr="0055589B" w:rsidRDefault="00224561" w:rsidP="00224561">
      <w:pPr>
        <w:numPr>
          <w:ilvl w:val="0"/>
          <w:numId w:val="18"/>
        </w:numPr>
        <w:tabs>
          <w:tab w:val="left" w:pos="851"/>
        </w:tabs>
        <w:spacing w:before="240" w:after="0" w:line="276" w:lineRule="auto"/>
        <w:contextualSpacing/>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Pokud se </w:t>
      </w:r>
      <w:r w:rsidR="008F0F33" w:rsidRPr="0055589B">
        <w:rPr>
          <w:rFonts w:ascii="Arial" w:hAnsi="Arial" w:cs="Arial"/>
          <w:color w:val="000000" w:themeColor="text1"/>
          <w:lang w:val="cs-CZ" w:eastAsia="de-AT"/>
        </w:rPr>
        <w:t xml:space="preserve">pracovník podstupující rizika stane zahraničním </w:t>
      </w:r>
      <w:r w:rsidR="000439F5" w:rsidRPr="0055589B">
        <w:rPr>
          <w:rFonts w:ascii="Arial" w:hAnsi="Arial" w:cs="Arial"/>
          <w:color w:val="000000" w:themeColor="text1"/>
          <w:lang w:val="cs-CZ" w:eastAsia="de-AT"/>
        </w:rPr>
        <w:t xml:space="preserve">pracovníkem, výplatu variabilní odměny nadále provádí jeho </w:t>
      </w:r>
      <w:r w:rsidRPr="0055589B">
        <w:rPr>
          <w:rFonts w:ascii="Arial" w:hAnsi="Arial" w:cs="Arial"/>
          <w:color w:val="000000" w:themeColor="text1"/>
          <w:lang w:val="cs-CZ" w:eastAsia="de-AT"/>
        </w:rPr>
        <w:t>domovská země</w:t>
      </w:r>
      <w:r w:rsidR="000439F5" w:rsidRPr="0055589B">
        <w:rPr>
          <w:rFonts w:ascii="Arial" w:hAnsi="Arial" w:cs="Arial"/>
          <w:color w:val="000000" w:themeColor="text1"/>
          <w:lang w:val="cs-CZ" w:eastAsia="de-AT"/>
        </w:rPr>
        <w:t>, v souladu s politikou variabilních odměn dané domovské země.</w:t>
      </w:r>
    </w:p>
    <w:p w14:paraId="2E6AF44F" w14:textId="77777777" w:rsidR="00224561" w:rsidRPr="0055589B" w:rsidRDefault="00224561" w:rsidP="007F006A">
      <w:pPr>
        <w:spacing w:after="0" w:line="276" w:lineRule="auto"/>
        <w:jc w:val="both"/>
        <w:rPr>
          <w:rFonts w:ascii="Arial" w:eastAsia="Times New Roman" w:hAnsi="Arial" w:cs="Arial"/>
          <w:color w:val="000000" w:themeColor="text1"/>
          <w:lang w:val="cs-CZ" w:eastAsia="de-AT"/>
        </w:rPr>
      </w:pPr>
    </w:p>
    <w:p w14:paraId="582B416E" w14:textId="433FCC8D"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Pokud </w:t>
      </w:r>
      <w:r w:rsidR="00650896" w:rsidRPr="0055589B">
        <w:rPr>
          <w:rFonts w:ascii="Arial" w:hAnsi="Arial" w:cs="Arial"/>
          <w:color w:val="000000" w:themeColor="text1"/>
          <w:szCs w:val="24"/>
          <w:lang w:val="cs-CZ" w:eastAsia="de-AT"/>
        </w:rPr>
        <w:t>pracovník podstupující riziko</w:t>
      </w:r>
      <w:r w:rsidRPr="0055589B">
        <w:rPr>
          <w:rFonts w:ascii="Arial" w:hAnsi="Arial" w:cs="Arial"/>
          <w:color w:val="000000" w:themeColor="text1"/>
          <w:szCs w:val="24"/>
          <w:lang w:val="cs-CZ" w:eastAsia="de-AT"/>
        </w:rPr>
        <w:t xml:space="preserve"> o</w:t>
      </w:r>
      <w:r w:rsidR="004E7013" w:rsidRPr="0055589B">
        <w:rPr>
          <w:rFonts w:ascii="Arial" w:hAnsi="Arial" w:cs="Arial"/>
          <w:color w:val="000000" w:themeColor="text1"/>
          <w:szCs w:val="24"/>
          <w:lang w:val="cs-CZ" w:eastAsia="de-AT"/>
        </w:rPr>
        <w:t xml:space="preserve">dejde z </w:t>
      </w:r>
      <w:r w:rsidRPr="0055589B">
        <w:rPr>
          <w:rFonts w:ascii="Arial" w:hAnsi="Arial" w:cs="Arial"/>
          <w:color w:val="000000" w:themeColor="text1"/>
          <w:szCs w:val="24"/>
          <w:lang w:val="cs-CZ" w:eastAsia="de-AT"/>
        </w:rPr>
        <w:t>pracovní pozic</w:t>
      </w:r>
      <w:r w:rsidR="004E7013" w:rsidRPr="0055589B">
        <w:rPr>
          <w:rFonts w:ascii="Arial" w:hAnsi="Arial" w:cs="Arial"/>
          <w:color w:val="000000" w:themeColor="text1"/>
          <w:szCs w:val="24"/>
          <w:lang w:val="cs-CZ" w:eastAsia="de-AT"/>
        </w:rPr>
        <w:t>e</w:t>
      </w:r>
      <w:r w:rsidRPr="0055589B">
        <w:rPr>
          <w:rFonts w:ascii="Arial" w:hAnsi="Arial" w:cs="Arial"/>
          <w:color w:val="000000" w:themeColor="text1"/>
          <w:szCs w:val="24"/>
          <w:lang w:val="cs-CZ" w:eastAsia="de-AT"/>
        </w:rPr>
        <w:t xml:space="preserve"> a v nové pracovní pozici v rámci </w:t>
      </w:r>
      <w:r w:rsidR="004E7013"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 xml:space="preserve">polečnosti nebude </w:t>
      </w:r>
      <w:r w:rsidR="004E7013" w:rsidRPr="0055589B">
        <w:rPr>
          <w:rFonts w:ascii="Arial" w:hAnsi="Arial" w:cs="Arial"/>
          <w:color w:val="000000" w:themeColor="text1"/>
          <w:szCs w:val="24"/>
          <w:lang w:val="cs-CZ" w:eastAsia="de-AT"/>
        </w:rPr>
        <w:t>mít postavení pracovníka podstupujícího riziko, příslušný V</w:t>
      </w:r>
      <w:r w:rsidRPr="0055589B">
        <w:rPr>
          <w:rFonts w:ascii="Arial" w:hAnsi="Arial" w:cs="Arial"/>
          <w:color w:val="000000" w:themeColor="text1"/>
          <w:szCs w:val="24"/>
          <w:lang w:val="cs-CZ" w:eastAsia="de-AT"/>
        </w:rPr>
        <w:t xml:space="preserve">ýbor pro odměňování </w:t>
      </w:r>
      <w:r w:rsidR="004E7013" w:rsidRPr="0055589B">
        <w:rPr>
          <w:rFonts w:ascii="Arial" w:hAnsi="Arial" w:cs="Arial"/>
          <w:color w:val="000000" w:themeColor="text1"/>
          <w:szCs w:val="24"/>
          <w:lang w:val="cs-CZ" w:eastAsia="de-AT"/>
        </w:rPr>
        <w:t>rozhodne o tom, jak budou řešeny jeho cíle a výplata bonusu.</w:t>
      </w:r>
    </w:p>
    <w:p w14:paraId="0E7A04C9" w14:textId="77777777" w:rsidR="00224561" w:rsidRPr="0055589B" w:rsidRDefault="00224561" w:rsidP="006033BF">
      <w:pPr>
        <w:pStyle w:val="Nadpis2"/>
        <w:rPr>
          <w:rFonts w:eastAsia="Times New Roman"/>
          <w:color w:val="000000" w:themeColor="text1"/>
          <w:lang w:val="cs-CZ"/>
        </w:rPr>
      </w:pPr>
      <w:bookmarkStart w:id="47" w:name="_Toc108689215"/>
      <w:r w:rsidRPr="0055589B">
        <w:rPr>
          <w:color w:val="000000" w:themeColor="text1"/>
          <w:lang w:val="cs-CZ"/>
        </w:rPr>
        <w:t>Osobní zajištění, úroky a dividendy</w:t>
      </w:r>
      <w:bookmarkEnd w:id="47"/>
    </w:p>
    <w:p w14:paraId="7A16551A" w14:textId="5B5FAD28" w:rsidR="00224561" w:rsidRPr="0055589B" w:rsidRDefault="00650896" w:rsidP="007F006A">
      <w:p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szCs w:val="24"/>
          <w:lang w:val="cs-CZ" w:eastAsia="de-AT"/>
        </w:rPr>
        <w:t>Pracovník</w:t>
      </w:r>
      <w:r w:rsidR="004E7013" w:rsidRPr="0055589B">
        <w:rPr>
          <w:rFonts w:ascii="Arial" w:hAnsi="Arial" w:cs="Arial"/>
          <w:color w:val="000000" w:themeColor="text1"/>
          <w:szCs w:val="24"/>
          <w:lang w:val="cs-CZ" w:eastAsia="de-AT"/>
        </w:rPr>
        <w:t>ům</w:t>
      </w:r>
      <w:r w:rsidRPr="0055589B">
        <w:rPr>
          <w:rFonts w:ascii="Arial" w:hAnsi="Arial" w:cs="Arial"/>
          <w:color w:val="000000" w:themeColor="text1"/>
          <w:szCs w:val="24"/>
          <w:lang w:val="cs-CZ" w:eastAsia="de-AT"/>
        </w:rPr>
        <w:t xml:space="preserve"> podstupující</w:t>
      </w:r>
      <w:r w:rsidR="004E7013" w:rsidRPr="0055589B">
        <w:rPr>
          <w:rFonts w:ascii="Arial" w:hAnsi="Arial" w:cs="Arial"/>
          <w:color w:val="000000" w:themeColor="text1"/>
          <w:szCs w:val="24"/>
          <w:lang w:val="cs-CZ" w:eastAsia="de-AT"/>
        </w:rPr>
        <w:t>m</w:t>
      </w:r>
      <w:r w:rsidRPr="0055589B">
        <w:rPr>
          <w:rFonts w:ascii="Arial" w:hAnsi="Arial" w:cs="Arial"/>
          <w:color w:val="000000" w:themeColor="text1"/>
          <w:szCs w:val="24"/>
          <w:lang w:val="cs-CZ" w:eastAsia="de-AT"/>
        </w:rPr>
        <w:t xml:space="preserve"> riziko</w:t>
      </w:r>
      <w:r w:rsidR="00224561" w:rsidRPr="0055589B">
        <w:rPr>
          <w:rFonts w:ascii="Arial" w:hAnsi="Arial" w:cs="Arial"/>
          <w:color w:val="000000" w:themeColor="text1"/>
          <w:szCs w:val="24"/>
          <w:lang w:val="cs-CZ" w:eastAsia="de-AT"/>
        </w:rPr>
        <w:t xml:space="preserve"> </w:t>
      </w:r>
      <w:r w:rsidR="004E7013" w:rsidRPr="0055589B">
        <w:rPr>
          <w:rFonts w:ascii="Arial" w:hAnsi="Arial" w:cs="Arial"/>
          <w:color w:val="000000" w:themeColor="text1"/>
          <w:szCs w:val="24"/>
          <w:lang w:val="cs-CZ" w:eastAsia="de-AT"/>
        </w:rPr>
        <w:t xml:space="preserve">není dovoleno </w:t>
      </w:r>
      <w:r w:rsidR="00224561" w:rsidRPr="0055589B">
        <w:rPr>
          <w:rFonts w:ascii="Arial" w:hAnsi="Arial" w:cs="Arial"/>
          <w:color w:val="000000" w:themeColor="text1"/>
          <w:szCs w:val="24"/>
          <w:lang w:val="cs-CZ" w:eastAsia="de-AT"/>
        </w:rPr>
        <w:t xml:space="preserve">používat osobní zajišťovací strategie nebo </w:t>
      </w:r>
      <w:r w:rsidR="00BD05A0" w:rsidRPr="0055589B">
        <w:rPr>
          <w:rFonts w:ascii="Arial" w:hAnsi="Arial" w:cs="Arial"/>
          <w:color w:val="000000" w:themeColor="text1"/>
          <w:szCs w:val="24"/>
          <w:lang w:val="cs-CZ" w:eastAsia="de-AT"/>
        </w:rPr>
        <w:t xml:space="preserve">uzavírat dohody o pojištění s cílem převést </w:t>
      </w:r>
      <w:r w:rsidR="00224561" w:rsidRPr="0055589B">
        <w:rPr>
          <w:rFonts w:ascii="Arial" w:hAnsi="Arial" w:cs="Arial"/>
          <w:color w:val="000000" w:themeColor="text1"/>
          <w:szCs w:val="24"/>
          <w:lang w:val="cs-CZ" w:eastAsia="de-AT"/>
        </w:rPr>
        <w:t>rizika poklesu odložené a zadržené části pohyblivé odměny na jinou interní nebo externí stran</w:t>
      </w:r>
      <w:r w:rsidR="00BD05A0" w:rsidRPr="0055589B">
        <w:rPr>
          <w:rFonts w:ascii="Arial" w:hAnsi="Arial" w:cs="Arial"/>
          <w:color w:val="000000" w:themeColor="text1"/>
          <w:szCs w:val="24"/>
          <w:lang w:val="cs-CZ" w:eastAsia="de-AT"/>
        </w:rPr>
        <w:t>u</w:t>
      </w:r>
      <w:r w:rsidR="00224561" w:rsidRPr="0055589B">
        <w:rPr>
          <w:rFonts w:ascii="Arial" w:hAnsi="Arial" w:cs="Arial"/>
          <w:color w:val="000000" w:themeColor="text1"/>
          <w:szCs w:val="24"/>
          <w:lang w:val="cs-CZ" w:eastAsia="de-AT"/>
        </w:rPr>
        <w:t xml:space="preserve">. </w:t>
      </w:r>
    </w:p>
    <w:p w14:paraId="45CBCE97" w14:textId="65D4D08E" w:rsidR="00224561" w:rsidRPr="0055589B" w:rsidRDefault="00BD05A0"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Z</w:t>
      </w:r>
      <w:r w:rsidR="00224561" w:rsidRPr="0055589B">
        <w:rPr>
          <w:rFonts w:ascii="Arial" w:hAnsi="Arial" w:cs="Arial"/>
          <w:color w:val="000000" w:themeColor="text1"/>
          <w:szCs w:val="24"/>
          <w:lang w:val="cs-CZ" w:eastAsia="de-AT"/>
        </w:rPr>
        <w:t xml:space="preserve"> odložené nebo zadržené části odměny </w:t>
      </w:r>
      <w:r w:rsidRPr="0055589B">
        <w:rPr>
          <w:rFonts w:ascii="Arial" w:hAnsi="Arial" w:cs="Arial"/>
          <w:color w:val="000000" w:themeColor="text1"/>
          <w:szCs w:val="24"/>
          <w:lang w:val="cs-CZ" w:eastAsia="de-AT"/>
        </w:rPr>
        <w:t xml:space="preserve">se nevyplácejí úroky ani dividendy </w:t>
      </w:r>
      <w:r w:rsidR="00224561" w:rsidRPr="0055589B">
        <w:rPr>
          <w:rFonts w:ascii="Arial" w:hAnsi="Arial" w:cs="Arial"/>
          <w:color w:val="000000" w:themeColor="text1"/>
          <w:szCs w:val="24"/>
          <w:lang w:val="cs-CZ" w:eastAsia="de-AT"/>
        </w:rPr>
        <w:t xml:space="preserve">a </w:t>
      </w:r>
      <w:r w:rsidRPr="0055589B">
        <w:rPr>
          <w:rFonts w:ascii="Arial" w:hAnsi="Arial" w:cs="Arial"/>
          <w:color w:val="000000" w:themeColor="text1"/>
          <w:szCs w:val="24"/>
          <w:lang w:val="cs-CZ" w:eastAsia="de-AT"/>
        </w:rPr>
        <w:t xml:space="preserve">z </w:t>
      </w:r>
      <w:r w:rsidR="00224561" w:rsidRPr="0055589B">
        <w:rPr>
          <w:rFonts w:ascii="Arial" w:hAnsi="Arial" w:cs="Arial"/>
          <w:color w:val="000000" w:themeColor="text1"/>
          <w:szCs w:val="24"/>
          <w:lang w:val="cs-CZ" w:eastAsia="de-AT"/>
        </w:rPr>
        <w:t xml:space="preserve">akcie </w:t>
      </w:r>
      <w:r w:rsidRPr="0055589B">
        <w:rPr>
          <w:rFonts w:ascii="Arial" w:hAnsi="Arial" w:cs="Arial"/>
          <w:color w:val="000000" w:themeColor="text1"/>
          <w:szCs w:val="24"/>
          <w:lang w:val="cs-CZ" w:eastAsia="de-AT"/>
        </w:rPr>
        <w:t>ve fiktivní</w:t>
      </w:r>
      <w:r w:rsidR="00D4314D" w:rsidRPr="0055589B">
        <w:rPr>
          <w:rFonts w:ascii="Arial" w:hAnsi="Arial" w:cs="Arial"/>
          <w:color w:val="000000" w:themeColor="text1"/>
          <w:szCs w:val="24"/>
          <w:lang w:val="cs-CZ" w:eastAsia="de-AT"/>
        </w:rPr>
        <w:t xml:space="preserve">ch </w:t>
      </w:r>
      <w:r w:rsidRPr="0055589B">
        <w:rPr>
          <w:rFonts w:ascii="Arial" w:hAnsi="Arial" w:cs="Arial"/>
          <w:color w:val="000000" w:themeColor="text1"/>
          <w:szCs w:val="24"/>
          <w:lang w:val="cs-CZ" w:eastAsia="de-AT"/>
        </w:rPr>
        <w:t xml:space="preserve">fondech se rovněž </w:t>
      </w:r>
      <w:r w:rsidR="00224561" w:rsidRPr="0055589B">
        <w:rPr>
          <w:rFonts w:ascii="Arial" w:hAnsi="Arial" w:cs="Arial"/>
          <w:color w:val="000000" w:themeColor="text1"/>
          <w:szCs w:val="24"/>
          <w:lang w:val="cs-CZ" w:eastAsia="de-AT"/>
        </w:rPr>
        <w:t xml:space="preserve">nevyplácejí žádné dividendy. </w:t>
      </w:r>
    </w:p>
    <w:p w14:paraId="36C15258" w14:textId="2478F165" w:rsidR="00224561" w:rsidRPr="0055589B" w:rsidRDefault="00224561" w:rsidP="006033BF">
      <w:pPr>
        <w:pStyle w:val="Nadpis2"/>
        <w:rPr>
          <w:rFonts w:eastAsia="Times New Roman"/>
          <w:color w:val="000000" w:themeColor="text1"/>
          <w:lang w:val="cs-CZ"/>
        </w:rPr>
      </w:pPr>
      <w:bookmarkStart w:id="48" w:name="_Toc108689216"/>
      <w:r w:rsidRPr="0055589B">
        <w:rPr>
          <w:color w:val="000000" w:themeColor="text1"/>
          <w:lang w:val="cs-CZ"/>
        </w:rPr>
        <w:t>Měření výkonu s</w:t>
      </w:r>
      <w:r w:rsidR="004E3E38" w:rsidRPr="0055589B">
        <w:rPr>
          <w:color w:val="000000" w:themeColor="text1"/>
          <w:lang w:val="cs-CZ"/>
        </w:rPr>
        <w:t xml:space="preserve">e zohledněním </w:t>
      </w:r>
      <w:r w:rsidRPr="0055589B">
        <w:rPr>
          <w:color w:val="000000" w:themeColor="text1"/>
          <w:lang w:val="cs-CZ"/>
        </w:rPr>
        <w:t>rizik</w:t>
      </w:r>
      <w:bookmarkEnd w:id="48"/>
    </w:p>
    <w:p w14:paraId="3180CB7E" w14:textId="5C97E413" w:rsidR="00224561" w:rsidRPr="0055589B" w:rsidRDefault="007E7C09" w:rsidP="006033BF">
      <w:pPr>
        <w:pStyle w:val="Nadpis3"/>
        <w:rPr>
          <w:rFonts w:eastAsia="Times New Roman"/>
          <w:color w:val="000000" w:themeColor="text1"/>
          <w:lang w:val="cs-CZ"/>
        </w:rPr>
      </w:pPr>
      <w:r w:rsidRPr="0055589B">
        <w:rPr>
          <w:color w:val="000000" w:themeColor="text1"/>
          <w:lang w:val="cs-CZ"/>
        </w:rPr>
        <w:t xml:space="preserve"> </w:t>
      </w:r>
      <w:bookmarkStart w:id="49" w:name="_Toc108689217"/>
      <w:r w:rsidR="00224561" w:rsidRPr="0055589B">
        <w:rPr>
          <w:color w:val="000000" w:themeColor="text1"/>
          <w:lang w:val="cs-CZ"/>
        </w:rPr>
        <w:t>Kvantitativní kritéria (</w:t>
      </w:r>
      <w:r w:rsidR="00D921FA" w:rsidRPr="0055589B">
        <w:rPr>
          <w:color w:val="000000" w:themeColor="text1"/>
          <w:lang w:val="cs-CZ"/>
        </w:rPr>
        <w:t xml:space="preserve">vstupní </w:t>
      </w:r>
      <w:r w:rsidRPr="0055589B">
        <w:rPr>
          <w:color w:val="000000" w:themeColor="text1"/>
          <w:lang w:val="cs-CZ"/>
        </w:rPr>
        <w:t>K</w:t>
      </w:r>
      <w:r w:rsidR="00224561" w:rsidRPr="0055589B">
        <w:rPr>
          <w:color w:val="000000" w:themeColor="text1"/>
          <w:lang w:val="cs-CZ"/>
        </w:rPr>
        <w:t>nock</w:t>
      </w:r>
      <w:r w:rsidR="00224561" w:rsidRPr="0055589B">
        <w:rPr>
          <w:rFonts w:ascii="Cambria Math" w:hAnsi="Cambria Math" w:cs="Cambria Math"/>
          <w:color w:val="000000" w:themeColor="text1"/>
          <w:lang w:val="cs-CZ"/>
        </w:rPr>
        <w:t>‐</w:t>
      </w:r>
      <w:r w:rsidR="00490B03" w:rsidRPr="0055589B">
        <w:rPr>
          <w:color w:val="000000" w:themeColor="text1"/>
          <w:lang w:val="cs-CZ"/>
        </w:rPr>
        <w:t>in</w:t>
      </w:r>
      <w:r w:rsidR="00D921FA" w:rsidRPr="0055589B">
        <w:rPr>
          <w:color w:val="000000" w:themeColor="text1"/>
          <w:lang w:val="cs-CZ"/>
        </w:rPr>
        <w:t xml:space="preserve"> kritéria</w:t>
      </w:r>
      <w:r w:rsidR="00224561" w:rsidRPr="0055589B">
        <w:rPr>
          <w:color w:val="000000" w:themeColor="text1"/>
          <w:lang w:val="cs-CZ"/>
        </w:rPr>
        <w:t>)</w:t>
      </w:r>
      <w:bookmarkEnd w:id="49"/>
    </w:p>
    <w:p w14:paraId="350B6C3A" w14:textId="4E2CFEA6" w:rsidR="00224561" w:rsidRDefault="00F75220" w:rsidP="007F006A">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Pro vznik</w:t>
      </w:r>
      <w:r w:rsidR="00224561" w:rsidRPr="0055589B">
        <w:rPr>
          <w:rFonts w:ascii="Arial" w:hAnsi="Arial" w:cs="Arial"/>
          <w:color w:val="000000" w:themeColor="text1"/>
          <w:szCs w:val="24"/>
          <w:lang w:val="cs-CZ" w:eastAsia="de-AT"/>
        </w:rPr>
        <w:t xml:space="preserve"> nárok</w:t>
      </w:r>
      <w:r w:rsidRPr="0055589B">
        <w:rPr>
          <w:rFonts w:ascii="Arial" w:hAnsi="Arial" w:cs="Arial"/>
          <w:color w:val="000000" w:themeColor="text1"/>
          <w:szCs w:val="24"/>
          <w:lang w:val="cs-CZ" w:eastAsia="de-AT"/>
        </w:rPr>
        <w:t>u</w:t>
      </w:r>
      <w:r w:rsidR="00224561" w:rsidRPr="0055589B">
        <w:rPr>
          <w:rFonts w:ascii="Arial" w:hAnsi="Arial" w:cs="Arial"/>
          <w:color w:val="000000" w:themeColor="text1"/>
          <w:szCs w:val="24"/>
          <w:lang w:val="cs-CZ" w:eastAsia="de-AT"/>
        </w:rPr>
        <w:t xml:space="preserve"> na </w:t>
      </w:r>
      <w:r w:rsidR="00DA52FA" w:rsidRPr="0055589B">
        <w:rPr>
          <w:rFonts w:ascii="Arial" w:hAnsi="Arial" w:cs="Arial"/>
          <w:color w:val="000000" w:themeColor="text1"/>
          <w:szCs w:val="24"/>
          <w:lang w:val="cs-CZ" w:eastAsia="de-AT"/>
        </w:rPr>
        <w:t>pohybliv</w:t>
      </w:r>
      <w:r w:rsidR="00224561" w:rsidRPr="0055589B">
        <w:rPr>
          <w:rFonts w:ascii="Arial" w:hAnsi="Arial" w:cs="Arial"/>
          <w:color w:val="000000" w:themeColor="text1"/>
          <w:szCs w:val="24"/>
          <w:lang w:val="cs-CZ" w:eastAsia="de-AT"/>
        </w:rPr>
        <w:t>ou odměnu mus</w:t>
      </w:r>
      <w:r w:rsidR="00B92898" w:rsidRPr="0055589B">
        <w:rPr>
          <w:rFonts w:ascii="Arial" w:hAnsi="Arial" w:cs="Arial"/>
          <w:color w:val="000000" w:themeColor="text1"/>
          <w:szCs w:val="24"/>
          <w:lang w:val="cs-CZ" w:eastAsia="de-AT"/>
        </w:rPr>
        <w:t>ej</w:t>
      </w:r>
      <w:r w:rsidR="00224561" w:rsidRPr="0055589B">
        <w:rPr>
          <w:rFonts w:ascii="Arial" w:hAnsi="Arial" w:cs="Arial"/>
          <w:color w:val="000000" w:themeColor="text1"/>
          <w:szCs w:val="24"/>
          <w:lang w:val="cs-CZ" w:eastAsia="de-AT"/>
        </w:rPr>
        <w:t xml:space="preserve">í </w:t>
      </w:r>
      <w:r w:rsidR="00B92898" w:rsidRPr="0055589B">
        <w:rPr>
          <w:rFonts w:ascii="Arial" w:hAnsi="Arial" w:cs="Arial"/>
          <w:color w:val="000000" w:themeColor="text1"/>
          <w:szCs w:val="24"/>
          <w:lang w:val="cs-CZ" w:eastAsia="de-AT"/>
        </w:rPr>
        <w:t>pracovníci</w:t>
      </w:r>
      <w:r w:rsidR="00001DF8" w:rsidRPr="0055589B">
        <w:rPr>
          <w:rFonts w:ascii="Arial" w:hAnsi="Arial" w:cs="Arial"/>
          <w:color w:val="000000" w:themeColor="text1"/>
          <w:szCs w:val="24"/>
          <w:lang w:val="cs-CZ" w:eastAsia="de-AT"/>
        </w:rPr>
        <w:t xml:space="preserve"> postupující rizika, kteří se </w:t>
      </w:r>
      <w:r w:rsidR="00224561" w:rsidRPr="0055589B">
        <w:rPr>
          <w:rFonts w:ascii="Arial" w:hAnsi="Arial" w:cs="Arial"/>
          <w:color w:val="000000" w:themeColor="text1"/>
          <w:szCs w:val="24"/>
          <w:lang w:val="cs-CZ" w:eastAsia="de-AT"/>
        </w:rPr>
        <w:t>přímo podíl</w:t>
      </w:r>
      <w:r w:rsidR="00001DF8" w:rsidRPr="0055589B">
        <w:rPr>
          <w:rFonts w:ascii="Arial" w:hAnsi="Arial" w:cs="Arial"/>
          <w:color w:val="000000" w:themeColor="text1"/>
          <w:szCs w:val="24"/>
          <w:lang w:val="cs-CZ" w:eastAsia="de-AT"/>
        </w:rPr>
        <w:t>ej</w:t>
      </w:r>
      <w:r w:rsidR="00224561" w:rsidRPr="0055589B">
        <w:rPr>
          <w:rFonts w:ascii="Arial" w:hAnsi="Arial" w:cs="Arial"/>
          <w:color w:val="000000" w:themeColor="text1"/>
          <w:szCs w:val="24"/>
          <w:lang w:val="cs-CZ" w:eastAsia="de-AT"/>
        </w:rPr>
        <w:t>í na správě portfolia fondů</w:t>
      </w:r>
      <w:r w:rsidR="00001DF8" w:rsidRPr="0055589B">
        <w:rPr>
          <w:rFonts w:ascii="Arial" w:hAnsi="Arial" w:cs="Arial"/>
          <w:color w:val="000000" w:themeColor="text1"/>
          <w:szCs w:val="24"/>
          <w:lang w:val="cs-CZ" w:eastAsia="de-AT"/>
        </w:rPr>
        <w:t xml:space="preserve">, splňovat </w:t>
      </w:r>
      <w:r w:rsidR="0010158D" w:rsidRPr="0055589B">
        <w:rPr>
          <w:rFonts w:ascii="Arial" w:hAnsi="Arial" w:cs="Arial"/>
          <w:color w:val="000000" w:themeColor="text1"/>
          <w:szCs w:val="24"/>
          <w:lang w:val="cs-CZ" w:eastAsia="de-AT"/>
        </w:rPr>
        <w:t>vstupní</w:t>
      </w:r>
      <w:r w:rsidR="007E7C09" w:rsidRPr="0055589B">
        <w:rPr>
          <w:rFonts w:ascii="Arial" w:hAnsi="Arial" w:cs="Arial"/>
          <w:color w:val="000000" w:themeColor="text1"/>
          <w:szCs w:val="24"/>
          <w:lang w:val="cs-CZ" w:eastAsia="de-AT"/>
        </w:rPr>
        <w:t xml:space="preserve"> </w:t>
      </w:r>
      <w:r w:rsidR="00001DF8" w:rsidRPr="0055589B">
        <w:rPr>
          <w:rFonts w:ascii="Arial" w:hAnsi="Arial" w:cs="Arial"/>
          <w:color w:val="000000" w:themeColor="text1"/>
          <w:szCs w:val="24"/>
          <w:lang w:val="cs-CZ" w:eastAsia="de-AT"/>
        </w:rPr>
        <w:t>kritéria</w:t>
      </w:r>
      <w:r w:rsidR="005A7D2E">
        <w:rPr>
          <w:rFonts w:ascii="Arial" w:hAnsi="Arial" w:cs="Arial"/>
          <w:color w:val="000000" w:themeColor="text1"/>
          <w:szCs w:val="24"/>
          <w:lang w:val="cs-CZ" w:eastAsia="de-AT"/>
        </w:rPr>
        <w:t>.</w:t>
      </w:r>
    </w:p>
    <w:p w14:paraId="3CB42051" w14:textId="77777777" w:rsidR="00E22C1B" w:rsidRDefault="00E22C1B" w:rsidP="00E22C1B">
      <w:pPr>
        <w:spacing w:after="120" w:line="276" w:lineRule="auto"/>
        <w:jc w:val="both"/>
        <w:rPr>
          <w:rFonts w:ascii="Arial" w:hAnsi="Arial" w:cs="Arial"/>
          <w:color w:val="000000" w:themeColor="text1"/>
          <w:szCs w:val="24"/>
          <w:lang w:val="cs-CZ" w:eastAsia="de-AT"/>
        </w:rPr>
      </w:pPr>
      <w:r w:rsidRPr="009F6A07">
        <w:rPr>
          <w:rFonts w:ascii="Arial" w:hAnsi="Arial" w:cs="Arial"/>
          <w:color w:val="000000" w:themeColor="text1"/>
          <w:szCs w:val="24"/>
          <w:lang w:val="cs-CZ" w:eastAsia="de-AT"/>
        </w:rPr>
        <w:t xml:space="preserve">Výbor pro odměňování </w:t>
      </w:r>
      <w:r>
        <w:rPr>
          <w:rFonts w:ascii="Arial" w:hAnsi="Arial" w:cs="Arial"/>
          <w:color w:val="000000" w:themeColor="text1"/>
          <w:szCs w:val="24"/>
          <w:lang w:val="cs-CZ" w:eastAsia="de-AT"/>
        </w:rPr>
        <w:t xml:space="preserve">(EAM) </w:t>
      </w:r>
      <w:r w:rsidRPr="009F6A07">
        <w:rPr>
          <w:rFonts w:ascii="Arial" w:hAnsi="Arial" w:cs="Arial"/>
          <w:color w:val="000000" w:themeColor="text1"/>
          <w:szCs w:val="24"/>
          <w:lang w:val="cs-CZ" w:eastAsia="de-AT"/>
        </w:rPr>
        <w:t xml:space="preserve">má oprávnění schválit </w:t>
      </w:r>
      <w:r>
        <w:rPr>
          <w:rFonts w:ascii="Arial" w:hAnsi="Arial" w:cs="Arial"/>
          <w:color w:val="000000" w:themeColor="text1"/>
          <w:szCs w:val="24"/>
          <w:lang w:val="cs-CZ" w:eastAsia="de-AT"/>
        </w:rPr>
        <w:t>pohyblivou</w:t>
      </w:r>
      <w:r w:rsidRPr="009F6A07">
        <w:rPr>
          <w:rFonts w:ascii="Arial" w:hAnsi="Arial" w:cs="Arial"/>
          <w:color w:val="000000" w:themeColor="text1"/>
          <w:szCs w:val="24"/>
          <w:lang w:val="cs-CZ" w:eastAsia="de-AT"/>
        </w:rPr>
        <w:t xml:space="preserve"> odměn</w:t>
      </w:r>
      <w:r>
        <w:rPr>
          <w:rFonts w:ascii="Arial" w:hAnsi="Arial" w:cs="Arial"/>
          <w:color w:val="000000" w:themeColor="text1"/>
          <w:szCs w:val="24"/>
          <w:lang w:val="cs-CZ" w:eastAsia="de-AT"/>
        </w:rPr>
        <w:t>u</w:t>
      </w:r>
      <w:r w:rsidRPr="009F6A07">
        <w:rPr>
          <w:rFonts w:ascii="Arial" w:hAnsi="Arial" w:cs="Arial"/>
          <w:color w:val="000000" w:themeColor="text1"/>
          <w:szCs w:val="24"/>
          <w:lang w:val="cs-CZ" w:eastAsia="de-AT"/>
        </w:rPr>
        <w:t xml:space="preserve"> pro </w:t>
      </w:r>
      <w:r>
        <w:rPr>
          <w:rFonts w:ascii="Arial" w:hAnsi="Arial" w:cs="Arial"/>
          <w:color w:val="000000" w:themeColor="text1"/>
          <w:szCs w:val="24"/>
          <w:lang w:val="cs-CZ" w:eastAsia="de-AT"/>
        </w:rPr>
        <w:t xml:space="preserve">pracovníky postupující </w:t>
      </w:r>
      <w:r w:rsidRPr="009F6A07">
        <w:rPr>
          <w:rFonts w:ascii="Arial" w:hAnsi="Arial" w:cs="Arial"/>
          <w:color w:val="000000" w:themeColor="text1"/>
          <w:szCs w:val="24"/>
          <w:lang w:val="cs-CZ" w:eastAsia="de-AT"/>
        </w:rPr>
        <w:t>rizik</w:t>
      </w:r>
      <w:r>
        <w:rPr>
          <w:rFonts w:ascii="Arial" w:hAnsi="Arial" w:cs="Arial"/>
          <w:color w:val="000000" w:themeColor="text1"/>
          <w:szCs w:val="24"/>
          <w:lang w:val="cs-CZ" w:eastAsia="de-AT"/>
        </w:rPr>
        <w:t>a, kteří se</w:t>
      </w:r>
      <w:r w:rsidRPr="009F6A07">
        <w:rPr>
          <w:rFonts w:ascii="Arial" w:hAnsi="Arial" w:cs="Arial"/>
          <w:color w:val="000000" w:themeColor="text1"/>
          <w:szCs w:val="24"/>
          <w:lang w:val="cs-CZ" w:eastAsia="de-AT"/>
        </w:rPr>
        <w:t xml:space="preserve"> přímo </w:t>
      </w:r>
      <w:r>
        <w:rPr>
          <w:rFonts w:ascii="Arial" w:hAnsi="Arial" w:cs="Arial"/>
          <w:color w:val="000000" w:themeColor="text1"/>
          <w:szCs w:val="24"/>
          <w:lang w:val="cs-CZ" w:eastAsia="de-AT"/>
        </w:rPr>
        <w:t>podílejí</w:t>
      </w:r>
      <w:r w:rsidRPr="009F6A07">
        <w:rPr>
          <w:rFonts w:ascii="Arial" w:hAnsi="Arial" w:cs="Arial"/>
          <w:color w:val="000000" w:themeColor="text1"/>
          <w:szCs w:val="24"/>
          <w:lang w:val="cs-CZ" w:eastAsia="de-AT"/>
        </w:rPr>
        <w:t xml:space="preserve"> </w:t>
      </w:r>
      <w:r>
        <w:rPr>
          <w:rFonts w:ascii="Arial" w:hAnsi="Arial" w:cs="Arial"/>
          <w:color w:val="000000" w:themeColor="text1"/>
          <w:szCs w:val="24"/>
          <w:lang w:val="cs-CZ" w:eastAsia="de-AT"/>
        </w:rPr>
        <w:t>na</w:t>
      </w:r>
      <w:r w:rsidRPr="009F6A07">
        <w:rPr>
          <w:rFonts w:ascii="Arial" w:hAnsi="Arial" w:cs="Arial"/>
          <w:color w:val="000000" w:themeColor="text1"/>
          <w:szCs w:val="24"/>
          <w:lang w:val="cs-CZ" w:eastAsia="de-AT"/>
        </w:rPr>
        <w:t xml:space="preserve"> správ</w:t>
      </w:r>
      <w:r>
        <w:rPr>
          <w:rFonts w:ascii="Arial" w:hAnsi="Arial" w:cs="Arial"/>
          <w:color w:val="000000" w:themeColor="text1"/>
          <w:szCs w:val="24"/>
          <w:lang w:val="cs-CZ" w:eastAsia="de-AT"/>
        </w:rPr>
        <w:t>ě</w:t>
      </w:r>
      <w:r w:rsidRPr="009F6A07">
        <w:rPr>
          <w:rFonts w:ascii="Arial" w:hAnsi="Arial" w:cs="Arial"/>
          <w:color w:val="000000" w:themeColor="text1"/>
          <w:szCs w:val="24"/>
          <w:lang w:val="cs-CZ" w:eastAsia="de-AT"/>
        </w:rPr>
        <w:t xml:space="preserve"> portfolia</w:t>
      </w:r>
      <w:r>
        <w:rPr>
          <w:rFonts w:ascii="Arial" w:hAnsi="Arial" w:cs="Arial"/>
          <w:color w:val="000000" w:themeColor="text1"/>
          <w:szCs w:val="24"/>
          <w:lang w:val="cs-CZ" w:eastAsia="de-AT"/>
        </w:rPr>
        <w:t xml:space="preserve"> fondů</w:t>
      </w:r>
      <w:r w:rsidRPr="009F6A07">
        <w:rPr>
          <w:rFonts w:ascii="Arial" w:hAnsi="Arial" w:cs="Arial"/>
          <w:color w:val="000000" w:themeColor="text1"/>
          <w:szCs w:val="24"/>
          <w:lang w:val="cs-CZ" w:eastAsia="de-AT"/>
        </w:rPr>
        <w:t>,</w:t>
      </w:r>
      <w:r>
        <w:rPr>
          <w:rFonts w:ascii="Arial" w:hAnsi="Arial" w:cs="Arial"/>
          <w:color w:val="000000" w:themeColor="text1"/>
          <w:szCs w:val="24"/>
          <w:lang w:val="cs-CZ" w:eastAsia="de-AT"/>
        </w:rPr>
        <w:t xml:space="preserve"> </w:t>
      </w:r>
      <w:r w:rsidRPr="009F6A07">
        <w:rPr>
          <w:rFonts w:ascii="Arial" w:hAnsi="Arial" w:cs="Arial"/>
          <w:color w:val="000000" w:themeColor="text1"/>
          <w:szCs w:val="24"/>
          <w:lang w:val="cs-CZ" w:eastAsia="de-AT"/>
        </w:rPr>
        <w:t xml:space="preserve">když nedochází k plnění </w:t>
      </w:r>
      <w:r>
        <w:rPr>
          <w:rFonts w:ascii="Arial" w:hAnsi="Arial" w:cs="Arial"/>
          <w:color w:val="000000" w:themeColor="text1"/>
          <w:szCs w:val="24"/>
          <w:lang w:val="cs-CZ" w:eastAsia="de-AT"/>
        </w:rPr>
        <w:t>vstupních</w:t>
      </w:r>
      <w:r w:rsidRPr="009F6A07">
        <w:rPr>
          <w:rFonts w:ascii="Arial" w:hAnsi="Arial" w:cs="Arial"/>
          <w:color w:val="000000" w:themeColor="text1"/>
          <w:szCs w:val="24"/>
          <w:lang w:val="cs-CZ" w:eastAsia="de-AT"/>
        </w:rPr>
        <w:t xml:space="preserve"> </w:t>
      </w:r>
      <w:r>
        <w:rPr>
          <w:rFonts w:ascii="Arial" w:hAnsi="Arial" w:cs="Arial"/>
          <w:color w:val="000000" w:themeColor="text1"/>
          <w:szCs w:val="24"/>
          <w:lang w:val="cs-CZ" w:eastAsia="de-AT"/>
        </w:rPr>
        <w:t xml:space="preserve">kritérií </w:t>
      </w:r>
      <w:r w:rsidRPr="009F6A07">
        <w:rPr>
          <w:rFonts w:ascii="Arial" w:hAnsi="Arial" w:cs="Arial"/>
          <w:color w:val="000000" w:themeColor="text1"/>
          <w:szCs w:val="24"/>
          <w:lang w:val="cs-CZ" w:eastAsia="de-AT"/>
        </w:rPr>
        <w:t>z důvodu výjimečných okolností na finančním trhu.</w:t>
      </w:r>
    </w:p>
    <w:p w14:paraId="6FA33D3C" w14:textId="265D9F1F" w:rsidR="005A7D2E" w:rsidRPr="0055589B" w:rsidRDefault="00E22C1B" w:rsidP="005A7D2E">
      <w:pPr>
        <w:spacing w:after="120" w:line="276" w:lineRule="auto"/>
        <w:jc w:val="both"/>
        <w:rPr>
          <w:rFonts w:ascii="Arial" w:hAnsi="Arial" w:cs="Arial"/>
          <w:color w:val="000000" w:themeColor="text1"/>
          <w:szCs w:val="24"/>
          <w:lang w:val="cs-CZ" w:eastAsia="de-AT"/>
        </w:rPr>
      </w:pPr>
      <w:r>
        <w:rPr>
          <w:rFonts w:ascii="Arial" w:hAnsi="Arial" w:cs="Arial"/>
          <w:color w:val="000000" w:themeColor="text1"/>
          <w:szCs w:val="24"/>
          <w:lang w:val="cs-CZ" w:eastAsia="de-AT"/>
        </w:rPr>
        <w:t>V případě těchto okolností je nutné předchozí zapojení a informování vedení společnosti o daném postupu.</w:t>
      </w:r>
    </w:p>
    <w:p w14:paraId="006DE7E6" w14:textId="2C485114" w:rsidR="00D921FA" w:rsidRPr="0055589B" w:rsidRDefault="0010158D" w:rsidP="00D921FA">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Pokud jde o</w:t>
      </w:r>
      <w:r w:rsidR="00D921FA"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vstupní kritéria,</w:t>
      </w:r>
      <w:r w:rsidR="00D921FA" w:rsidRPr="0055589B">
        <w:rPr>
          <w:rFonts w:ascii="Arial" w:hAnsi="Arial" w:cs="Arial"/>
          <w:color w:val="000000" w:themeColor="text1"/>
          <w:szCs w:val="24"/>
          <w:lang w:val="cs-CZ" w:eastAsia="de-AT"/>
        </w:rPr>
        <w:t xml:space="preserve"> rozlišujeme mezi dvěma různými přístupy:</w:t>
      </w:r>
    </w:p>
    <w:p w14:paraId="2C5AAD91" w14:textId="77777777" w:rsidR="005A7D2E" w:rsidRDefault="005A7D2E" w:rsidP="00D921FA">
      <w:pPr>
        <w:spacing w:after="120" w:line="276" w:lineRule="auto"/>
        <w:jc w:val="both"/>
        <w:rPr>
          <w:rFonts w:ascii="Arial" w:hAnsi="Arial" w:cs="Arial"/>
          <w:b/>
          <w:color w:val="000000" w:themeColor="text1"/>
          <w:szCs w:val="24"/>
          <w:u w:val="single"/>
          <w:lang w:val="cs-CZ" w:eastAsia="de-AT"/>
        </w:rPr>
      </w:pPr>
    </w:p>
    <w:p w14:paraId="50286E67" w14:textId="7AD7FA47" w:rsidR="00D921FA" w:rsidRPr="0055589B" w:rsidRDefault="005A7D2E" w:rsidP="00D921FA">
      <w:pPr>
        <w:spacing w:after="120" w:line="276" w:lineRule="auto"/>
        <w:jc w:val="both"/>
        <w:rPr>
          <w:rFonts w:ascii="Arial" w:hAnsi="Arial" w:cs="Arial"/>
          <w:b/>
          <w:color w:val="000000" w:themeColor="text1"/>
          <w:szCs w:val="24"/>
          <w:u w:val="single"/>
          <w:lang w:val="cs-CZ" w:eastAsia="de-AT"/>
        </w:rPr>
      </w:pPr>
      <w:r>
        <w:rPr>
          <w:rFonts w:ascii="Arial" w:hAnsi="Arial" w:cs="Arial"/>
          <w:b/>
          <w:color w:val="000000" w:themeColor="text1"/>
          <w:szCs w:val="24"/>
          <w:u w:val="single"/>
          <w:lang w:val="cs-CZ" w:eastAsia="de-AT"/>
        </w:rPr>
        <w:t xml:space="preserve">7.12.1.1 </w:t>
      </w:r>
      <w:r w:rsidR="0010158D" w:rsidRPr="0055589B">
        <w:rPr>
          <w:rFonts w:ascii="Arial" w:hAnsi="Arial" w:cs="Arial"/>
          <w:b/>
          <w:color w:val="000000" w:themeColor="text1"/>
          <w:szCs w:val="24"/>
          <w:u w:val="single"/>
          <w:lang w:val="cs-CZ" w:eastAsia="de-AT"/>
        </w:rPr>
        <w:t>Absolutní K</w:t>
      </w:r>
      <w:r w:rsidR="00D921FA" w:rsidRPr="0055589B">
        <w:rPr>
          <w:rFonts w:ascii="Arial" w:hAnsi="Arial" w:cs="Arial"/>
          <w:b/>
          <w:color w:val="000000" w:themeColor="text1"/>
          <w:szCs w:val="24"/>
          <w:u w:val="single"/>
          <w:lang w:val="cs-CZ" w:eastAsia="de-AT"/>
        </w:rPr>
        <w:t>nock-in-</w:t>
      </w:r>
      <w:r w:rsidR="00995E80" w:rsidRPr="0055589B">
        <w:rPr>
          <w:rFonts w:ascii="Arial" w:hAnsi="Arial" w:cs="Arial"/>
          <w:b/>
          <w:color w:val="000000" w:themeColor="text1"/>
          <w:szCs w:val="24"/>
          <w:u w:val="single"/>
          <w:lang w:val="cs-CZ" w:eastAsia="de-AT"/>
        </w:rPr>
        <w:t>k</w:t>
      </w:r>
      <w:r w:rsidR="0010158D" w:rsidRPr="0055589B">
        <w:rPr>
          <w:rFonts w:ascii="Arial" w:hAnsi="Arial" w:cs="Arial"/>
          <w:b/>
          <w:color w:val="000000" w:themeColor="text1"/>
          <w:szCs w:val="24"/>
          <w:u w:val="single"/>
          <w:lang w:val="cs-CZ" w:eastAsia="de-AT"/>
        </w:rPr>
        <w:t>ritéria</w:t>
      </w:r>
      <w:r w:rsidR="00D921FA" w:rsidRPr="0055589B">
        <w:rPr>
          <w:rFonts w:ascii="Arial" w:hAnsi="Arial" w:cs="Arial"/>
          <w:b/>
          <w:color w:val="000000" w:themeColor="text1"/>
          <w:szCs w:val="24"/>
          <w:u w:val="single"/>
          <w:lang w:val="cs-CZ" w:eastAsia="de-AT"/>
        </w:rPr>
        <w:t>:</w:t>
      </w:r>
    </w:p>
    <w:p w14:paraId="3A20539A" w14:textId="1ED0F667" w:rsidR="00D921FA" w:rsidRPr="0055589B" w:rsidRDefault="00D921FA" w:rsidP="00D921FA">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Limit pro Knock-in-</w:t>
      </w:r>
      <w:r w:rsidR="00995E80" w:rsidRPr="0055589B">
        <w:rPr>
          <w:rFonts w:ascii="Arial" w:hAnsi="Arial" w:cs="Arial"/>
          <w:color w:val="000000" w:themeColor="text1"/>
          <w:szCs w:val="24"/>
          <w:lang w:val="cs-CZ" w:eastAsia="de-AT"/>
        </w:rPr>
        <w:t>k</w:t>
      </w:r>
      <w:r w:rsidR="0010158D" w:rsidRPr="0055589B">
        <w:rPr>
          <w:rFonts w:ascii="Arial" w:hAnsi="Arial" w:cs="Arial"/>
          <w:color w:val="000000" w:themeColor="text1"/>
          <w:szCs w:val="24"/>
          <w:lang w:val="cs-CZ" w:eastAsia="de-AT"/>
        </w:rPr>
        <w:t>ritérium</w:t>
      </w:r>
      <w:r w:rsidRPr="0055589B">
        <w:rPr>
          <w:rFonts w:ascii="Arial" w:hAnsi="Arial" w:cs="Arial"/>
          <w:color w:val="000000" w:themeColor="text1"/>
          <w:szCs w:val="24"/>
          <w:lang w:val="cs-CZ" w:eastAsia="de-AT"/>
        </w:rPr>
        <w:t xml:space="preserve"> je definován jako:</w:t>
      </w:r>
    </w:p>
    <w:p w14:paraId="05340594" w14:textId="08B44C3B" w:rsidR="00D921FA" w:rsidRPr="0055589B" w:rsidRDefault="00D921FA" w:rsidP="0055589B">
      <w:pPr>
        <w:pStyle w:val="Odstavecseseznamem"/>
        <w:numPr>
          <w:ilvl w:val="0"/>
          <w:numId w:val="30"/>
        </w:num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Absolutní </w:t>
      </w:r>
      <w:r w:rsidR="0010158D" w:rsidRPr="0055589B">
        <w:rPr>
          <w:rFonts w:ascii="Arial" w:hAnsi="Arial" w:cs="Arial"/>
          <w:color w:val="000000" w:themeColor="text1"/>
          <w:szCs w:val="24"/>
          <w:lang w:val="cs-CZ" w:eastAsia="de-AT"/>
        </w:rPr>
        <w:t>pokles</w:t>
      </w:r>
      <w:r w:rsidRPr="0055589B">
        <w:rPr>
          <w:rFonts w:ascii="Arial" w:hAnsi="Arial" w:cs="Arial"/>
          <w:color w:val="000000" w:themeColor="text1"/>
          <w:szCs w:val="24"/>
          <w:lang w:val="cs-CZ" w:eastAsia="de-AT"/>
        </w:rPr>
        <w:t xml:space="preserve"> </w:t>
      </w:r>
      <w:r w:rsidR="0010158D" w:rsidRPr="0055589B">
        <w:rPr>
          <w:rFonts w:ascii="Arial" w:hAnsi="Arial" w:cs="Arial"/>
          <w:color w:val="000000" w:themeColor="text1"/>
          <w:szCs w:val="24"/>
          <w:lang w:val="cs-CZ" w:eastAsia="de-AT"/>
        </w:rPr>
        <w:t xml:space="preserve">fondu nebo standardizovaného portfolia </w:t>
      </w:r>
      <w:r w:rsidRPr="0055589B">
        <w:rPr>
          <w:rFonts w:ascii="Arial" w:hAnsi="Arial" w:cs="Arial"/>
          <w:color w:val="000000" w:themeColor="text1"/>
          <w:szCs w:val="24"/>
          <w:lang w:val="cs-CZ" w:eastAsia="de-AT"/>
        </w:rPr>
        <w:t>v</w:t>
      </w:r>
      <w:r w:rsidR="0010158D"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 musí být menší než maximální absolutní</w:t>
      </w:r>
      <w:r w:rsidR="0010158D" w:rsidRPr="0055589B">
        <w:rPr>
          <w:rFonts w:ascii="Arial" w:hAnsi="Arial" w:cs="Arial"/>
          <w:color w:val="000000" w:themeColor="text1"/>
          <w:szCs w:val="24"/>
          <w:lang w:val="cs-CZ" w:eastAsia="de-AT"/>
        </w:rPr>
        <w:t xml:space="preserve"> pokles </w:t>
      </w:r>
      <w:r w:rsidRPr="0055589B">
        <w:rPr>
          <w:rFonts w:ascii="Arial" w:hAnsi="Arial" w:cs="Arial"/>
          <w:color w:val="000000" w:themeColor="text1"/>
          <w:szCs w:val="24"/>
          <w:lang w:val="cs-CZ" w:eastAsia="de-AT"/>
        </w:rPr>
        <w:t>v</w:t>
      </w:r>
      <w:r w:rsidR="0010158D"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w:t>
      </w:r>
    </w:p>
    <w:p w14:paraId="37C6AEF2" w14:textId="661DA94D" w:rsidR="00D921FA" w:rsidRPr="0055589B" w:rsidRDefault="00D921FA" w:rsidP="00D921FA">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Maximální </w:t>
      </w:r>
      <w:r w:rsidR="0010158D" w:rsidRPr="0055589B">
        <w:rPr>
          <w:rFonts w:ascii="Arial" w:hAnsi="Arial" w:cs="Arial"/>
          <w:color w:val="000000" w:themeColor="text1"/>
          <w:szCs w:val="24"/>
          <w:lang w:val="cs-CZ" w:eastAsia="de-AT"/>
        </w:rPr>
        <w:t>absolutní</w:t>
      </w:r>
      <w:r w:rsidRPr="0055589B">
        <w:rPr>
          <w:rFonts w:ascii="Arial" w:hAnsi="Arial" w:cs="Arial"/>
          <w:color w:val="000000" w:themeColor="text1"/>
          <w:szCs w:val="24"/>
          <w:lang w:val="cs-CZ" w:eastAsia="de-AT"/>
        </w:rPr>
        <w:t xml:space="preserve"> </w:t>
      </w:r>
      <w:r w:rsidR="0010158D" w:rsidRPr="0055589B">
        <w:rPr>
          <w:rFonts w:ascii="Arial" w:hAnsi="Arial" w:cs="Arial"/>
          <w:color w:val="000000" w:themeColor="text1"/>
          <w:szCs w:val="24"/>
          <w:lang w:val="cs-CZ" w:eastAsia="de-AT"/>
        </w:rPr>
        <w:t xml:space="preserve">pokles </w:t>
      </w:r>
      <w:r w:rsidRPr="0055589B">
        <w:rPr>
          <w:rFonts w:ascii="Arial" w:hAnsi="Arial" w:cs="Arial"/>
          <w:color w:val="000000" w:themeColor="text1"/>
          <w:szCs w:val="24"/>
          <w:lang w:val="cs-CZ" w:eastAsia="de-AT"/>
        </w:rPr>
        <w:t xml:space="preserve">musí být stanovena individuálně pro každý fond s ohledem na </w:t>
      </w:r>
      <w:r w:rsidR="0055589B" w:rsidRPr="0055589B">
        <w:rPr>
          <w:rFonts w:ascii="Arial" w:hAnsi="Arial" w:cs="Arial"/>
          <w:color w:val="000000" w:themeColor="text1"/>
          <w:szCs w:val="24"/>
          <w:lang w:val="cs-CZ" w:eastAsia="de-AT"/>
        </w:rPr>
        <w:t>odlišné rizikové</w:t>
      </w:r>
      <w:r w:rsidR="00995E80" w:rsidRPr="0055589B">
        <w:rPr>
          <w:rFonts w:ascii="Arial" w:hAnsi="Arial" w:cs="Arial"/>
          <w:color w:val="000000" w:themeColor="text1"/>
          <w:szCs w:val="24"/>
          <w:lang w:val="cs-CZ" w:eastAsia="de-AT"/>
        </w:rPr>
        <w:t xml:space="preserve"> profily</w:t>
      </w:r>
      <w:r w:rsidRPr="0055589B">
        <w:rPr>
          <w:rFonts w:ascii="Arial" w:hAnsi="Arial" w:cs="Arial"/>
          <w:color w:val="000000" w:themeColor="text1"/>
          <w:szCs w:val="24"/>
          <w:lang w:val="cs-CZ" w:eastAsia="de-AT"/>
        </w:rPr>
        <w:t xml:space="preserve"> a </w:t>
      </w:r>
      <w:r w:rsidR="0010158D" w:rsidRPr="0055589B">
        <w:rPr>
          <w:rFonts w:ascii="Arial" w:hAnsi="Arial" w:cs="Arial"/>
          <w:color w:val="000000" w:themeColor="text1"/>
          <w:szCs w:val="24"/>
          <w:lang w:val="cs-CZ" w:eastAsia="de-AT"/>
        </w:rPr>
        <w:t>výnos</w:t>
      </w:r>
      <w:r w:rsidRPr="0055589B">
        <w:rPr>
          <w:rFonts w:ascii="Arial" w:hAnsi="Arial" w:cs="Arial"/>
          <w:color w:val="000000" w:themeColor="text1"/>
          <w:szCs w:val="24"/>
          <w:lang w:val="cs-CZ" w:eastAsia="de-AT"/>
        </w:rPr>
        <w:t xml:space="preserve"> každého fondu.</w:t>
      </w:r>
    </w:p>
    <w:p w14:paraId="5083279C" w14:textId="3C879BEA" w:rsidR="00D921FA" w:rsidRPr="0055589B" w:rsidRDefault="00D921FA" w:rsidP="00D921FA">
      <w:pPr>
        <w:spacing w:after="120" w:line="276" w:lineRule="auto"/>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Záměr</w:t>
      </w:r>
      <w:r w:rsidR="008E0341" w:rsidRPr="0055589B">
        <w:rPr>
          <w:rFonts w:ascii="Arial" w:hAnsi="Arial" w:cs="Arial"/>
          <w:color w:val="000000" w:themeColor="text1"/>
          <w:szCs w:val="24"/>
          <w:lang w:val="cs-CZ" w:eastAsia="de-AT"/>
        </w:rPr>
        <w:t>em je zabránit dalším ztrátám</w:t>
      </w:r>
      <w:r w:rsidR="00995E80" w:rsidRPr="0055589B">
        <w:rPr>
          <w:rFonts w:ascii="Arial" w:hAnsi="Arial" w:cs="Arial"/>
          <w:color w:val="000000" w:themeColor="text1"/>
          <w:szCs w:val="24"/>
          <w:lang w:val="cs-CZ" w:eastAsia="de-AT"/>
        </w:rPr>
        <w:t>, je-</w:t>
      </w:r>
      <w:r w:rsidR="0055589B" w:rsidRPr="0055589B">
        <w:rPr>
          <w:rFonts w:ascii="Arial" w:hAnsi="Arial" w:cs="Arial"/>
          <w:color w:val="000000" w:themeColor="text1"/>
          <w:szCs w:val="24"/>
          <w:lang w:val="cs-CZ" w:eastAsia="de-AT"/>
        </w:rPr>
        <w:t>li dosaženo</w:t>
      </w:r>
      <w:r w:rsidRPr="0055589B">
        <w:rPr>
          <w:rFonts w:ascii="Arial" w:hAnsi="Arial" w:cs="Arial"/>
          <w:color w:val="000000" w:themeColor="text1"/>
          <w:szCs w:val="24"/>
          <w:lang w:val="cs-CZ" w:eastAsia="de-AT"/>
        </w:rPr>
        <w:t xml:space="preserve"> maximálního absolutního </w:t>
      </w:r>
      <w:r w:rsidR="008E0341" w:rsidRPr="0055589B">
        <w:rPr>
          <w:rFonts w:ascii="Arial" w:hAnsi="Arial" w:cs="Arial"/>
          <w:color w:val="000000" w:themeColor="text1"/>
          <w:szCs w:val="24"/>
          <w:lang w:val="cs-CZ" w:eastAsia="de-AT"/>
        </w:rPr>
        <w:t>poklesu</w:t>
      </w:r>
      <w:r w:rsidR="00995E80" w:rsidRPr="0055589B">
        <w:rPr>
          <w:rFonts w:ascii="Arial" w:hAnsi="Arial" w:cs="Arial"/>
          <w:color w:val="000000" w:themeColor="text1"/>
          <w:szCs w:val="24"/>
          <w:lang w:val="cs-CZ" w:eastAsia="de-AT"/>
        </w:rPr>
        <w:t>,</w:t>
      </w:r>
      <w:r w:rsidRPr="0055589B">
        <w:rPr>
          <w:rFonts w:ascii="Arial" w:hAnsi="Arial" w:cs="Arial"/>
          <w:color w:val="000000" w:themeColor="text1"/>
          <w:szCs w:val="24"/>
          <w:lang w:val="cs-CZ" w:eastAsia="de-AT"/>
        </w:rPr>
        <w:t xml:space="preserve"> fond nebo portfoli</w:t>
      </w:r>
      <w:r w:rsidR="00995E80" w:rsidRPr="0055589B">
        <w:rPr>
          <w:rFonts w:ascii="Arial" w:hAnsi="Arial" w:cs="Arial"/>
          <w:color w:val="000000" w:themeColor="text1"/>
          <w:szCs w:val="24"/>
          <w:lang w:val="cs-CZ" w:eastAsia="de-AT"/>
        </w:rPr>
        <w:t>o manažer</w:t>
      </w:r>
      <w:r w:rsidRPr="0055589B">
        <w:rPr>
          <w:rFonts w:ascii="Arial" w:hAnsi="Arial" w:cs="Arial"/>
          <w:color w:val="000000" w:themeColor="text1"/>
          <w:szCs w:val="24"/>
          <w:lang w:val="cs-CZ" w:eastAsia="de-AT"/>
        </w:rPr>
        <w:t xml:space="preserve"> nesmí od tohoto okamžiku podstoupit žádná další rizika.</w:t>
      </w:r>
    </w:p>
    <w:p w14:paraId="0209CC1E" w14:textId="7E8DA41E" w:rsidR="0010158D" w:rsidRPr="0055589B" w:rsidRDefault="0010158D" w:rsidP="007F006A">
      <w:pPr>
        <w:spacing w:after="120" w:line="276" w:lineRule="auto"/>
        <w:jc w:val="both"/>
        <w:rPr>
          <w:rFonts w:ascii="Arial" w:eastAsia="Times New Roman" w:hAnsi="Arial" w:cs="Arial"/>
          <w:color w:val="000000" w:themeColor="text1"/>
          <w:szCs w:val="24"/>
          <w:lang w:val="cs-CZ" w:eastAsia="de-AT"/>
        </w:rPr>
      </w:pPr>
    </w:p>
    <w:p w14:paraId="34FAA7B6" w14:textId="21886D2A" w:rsidR="0010158D" w:rsidRPr="0055589B" w:rsidRDefault="00B32070" w:rsidP="0010158D">
      <w:pPr>
        <w:spacing w:after="120" w:line="276" w:lineRule="auto"/>
        <w:jc w:val="both"/>
        <w:rPr>
          <w:rFonts w:ascii="Arial" w:eastAsia="Times New Roman" w:hAnsi="Arial" w:cs="Arial"/>
          <w:b/>
          <w:color w:val="000000" w:themeColor="text1"/>
          <w:szCs w:val="24"/>
          <w:u w:val="single"/>
          <w:lang w:val="cs-CZ" w:eastAsia="de-AT"/>
        </w:rPr>
      </w:pPr>
      <w:r>
        <w:rPr>
          <w:rFonts w:ascii="Arial" w:eastAsia="Times New Roman" w:hAnsi="Arial" w:cs="Arial"/>
          <w:b/>
          <w:color w:val="000000" w:themeColor="text1"/>
          <w:szCs w:val="24"/>
          <w:u w:val="single"/>
          <w:lang w:val="cs-CZ" w:eastAsia="de-AT"/>
        </w:rPr>
        <w:t xml:space="preserve">7.12.1.2 </w:t>
      </w:r>
      <w:r w:rsidR="0010158D" w:rsidRPr="0055589B">
        <w:rPr>
          <w:rFonts w:ascii="Arial" w:eastAsia="Times New Roman" w:hAnsi="Arial" w:cs="Arial"/>
          <w:b/>
          <w:color w:val="000000" w:themeColor="text1"/>
          <w:szCs w:val="24"/>
          <w:u w:val="single"/>
          <w:lang w:val="cs-CZ" w:eastAsia="de-AT"/>
        </w:rPr>
        <w:t>Knock-in-</w:t>
      </w:r>
      <w:r w:rsidR="00995E80" w:rsidRPr="0055589B">
        <w:rPr>
          <w:rFonts w:ascii="Arial" w:eastAsia="Times New Roman" w:hAnsi="Arial" w:cs="Arial"/>
          <w:b/>
          <w:color w:val="000000" w:themeColor="text1"/>
          <w:szCs w:val="24"/>
          <w:u w:val="single"/>
          <w:lang w:val="cs-CZ" w:eastAsia="de-AT"/>
        </w:rPr>
        <w:t>k</w:t>
      </w:r>
      <w:r w:rsidR="0010158D" w:rsidRPr="0055589B">
        <w:rPr>
          <w:rFonts w:ascii="Arial" w:eastAsia="Times New Roman" w:hAnsi="Arial" w:cs="Arial"/>
          <w:b/>
          <w:color w:val="000000" w:themeColor="text1"/>
          <w:szCs w:val="24"/>
          <w:u w:val="single"/>
          <w:lang w:val="cs-CZ" w:eastAsia="de-AT"/>
        </w:rPr>
        <w:t>ritérium s ohledem na</w:t>
      </w:r>
      <w:r w:rsidR="00013128" w:rsidRPr="0055589B">
        <w:rPr>
          <w:rFonts w:ascii="Arial" w:eastAsia="Times New Roman" w:hAnsi="Arial" w:cs="Arial"/>
          <w:b/>
          <w:color w:val="000000" w:themeColor="text1"/>
          <w:szCs w:val="24"/>
          <w:u w:val="single"/>
          <w:lang w:val="cs-CZ" w:eastAsia="de-AT"/>
        </w:rPr>
        <w:t xml:space="preserve"> Srovnávací</w:t>
      </w:r>
      <w:r w:rsidR="008E0341" w:rsidRPr="0055589B">
        <w:rPr>
          <w:rFonts w:ascii="Arial" w:eastAsia="Times New Roman" w:hAnsi="Arial" w:cs="Arial"/>
          <w:b/>
          <w:color w:val="000000" w:themeColor="text1"/>
          <w:szCs w:val="24"/>
          <w:u w:val="single"/>
          <w:lang w:val="cs-CZ" w:eastAsia="de-AT"/>
        </w:rPr>
        <w:t xml:space="preserve"> skupinu fondů </w:t>
      </w:r>
      <w:r w:rsidR="0010158D" w:rsidRPr="0055589B">
        <w:rPr>
          <w:rFonts w:ascii="Arial" w:eastAsia="Times New Roman" w:hAnsi="Arial" w:cs="Arial"/>
          <w:b/>
          <w:color w:val="000000" w:themeColor="text1"/>
          <w:szCs w:val="24"/>
          <w:u w:val="single"/>
          <w:lang w:val="cs-CZ" w:eastAsia="de-AT"/>
        </w:rPr>
        <w:t>nebo standardizovaná portfolia:</w:t>
      </w:r>
    </w:p>
    <w:p w14:paraId="0F00C677" w14:textId="52A7E66C" w:rsidR="0010158D" w:rsidRPr="0055589B" w:rsidRDefault="0010158D" w:rsidP="0010158D">
      <w:pPr>
        <w:spacing w:after="120" w:line="276" w:lineRule="auto"/>
        <w:jc w:val="both"/>
        <w:rPr>
          <w:rFonts w:ascii="Arial" w:eastAsia="Times New Roman" w:hAnsi="Arial" w:cs="Arial"/>
          <w:color w:val="000000" w:themeColor="text1"/>
          <w:szCs w:val="24"/>
          <w:lang w:val="cs-CZ" w:eastAsia="de-AT"/>
        </w:rPr>
      </w:pPr>
      <w:r w:rsidRPr="0055589B">
        <w:rPr>
          <w:rFonts w:ascii="Arial" w:eastAsia="Times New Roman" w:hAnsi="Arial" w:cs="Arial"/>
          <w:color w:val="000000" w:themeColor="text1"/>
          <w:szCs w:val="24"/>
          <w:lang w:val="cs-CZ" w:eastAsia="de-AT"/>
        </w:rPr>
        <w:t>Limit pro Knock-in-</w:t>
      </w:r>
      <w:r w:rsidR="00995E80" w:rsidRPr="0055589B">
        <w:rPr>
          <w:rFonts w:ascii="Arial" w:eastAsia="Times New Roman" w:hAnsi="Arial" w:cs="Arial"/>
          <w:color w:val="000000" w:themeColor="text1"/>
          <w:szCs w:val="24"/>
          <w:lang w:val="cs-CZ" w:eastAsia="de-AT"/>
        </w:rPr>
        <w:t>k</w:t>
      </w:r>
      <w:r w:rsidRPr="0055589B">
        <w:rPr>
          <w:rFonts w:ascii="Arial" w:eastAsia="Times New Roman" w:hAnsi="Arial" w:cs="Arial"/>
          <w:color w:val="000000" w:themeColor="text1"/>
          <w:szCs w:val="24"/>
          <w:lang w:val="cs-CZ" w:eastAsia="de-AT"/>
        </w:rPr>
        <w:t>ritérium je definován jako:</w:t>
      </w:r>
    </w:p>
    <w:p w14:paraId="2BCA7270" w14:textId="0E3F9E45" w:rsidR="0010158D" w:rsidRPr="0055589B" w:rsidRDefault="0010158D" w:rsidP="0055589B">
      <w:pPr>
        <w:pStyle w:val="Odstavecseseznamem"/>
        <w:numPr>
          <w:ilvl w:val="0"/>
          <w:numId w:val="30"/>
        </w:numPr>
        <w:spacing w:after="120" w:line="276" w:lineRule="auto"/>
        <w:jc w:val="both"/>
        <w:rPr>
          <w:rFonts w:ascii="Arial" w:eastAsia="Times New Roman" w:hAnsi="Arial" w:cs="Arial"/>
          <w:color w:val="000000" w:themeColor="text1"/>
          <w:szCs w:val="24"/>
          <w:lang w:val="cs-CZ" w:eastAsia="de-AT"/>
        </w:rPr>
      </w:pPr>
      <w:r w:rsidRPr="0055589B">
        <w:rPr>
          <w:rFonts w:ascii="Arial" w:eastAsia="Times New Roman" w:hAnsi="Arial" w:cs="Arial"/>
          <w:color w:val="000000" w:themeColor="text1"/>
          <w:szCs w:val="24"/>
          <w:lang w:val="cs-CZ" w:eastAsia="de-AT"/>
        </w:rPr>
        <w:t xml:space="preserve">volatilita fondu nebo standardizovaného portfolia musí být stejná nebo menší než volatilita přiřazené </w:t>
      </w:r>
      <w:r w:rsidR="00D543E2" w:rsidRPr="0055589B">
        <w:rPr>
          <w:rFonts w:ascii="Arial" w:eastAsia="Times New Roman" w:hAnsi="Arial" w:cs="Arial"/>
          <w:color w:val="000000" w:themeColor="text1"/>
          <w:szCs w:val="24"/>
          <w:lang w:val="cs-CZ" w:eastAsia="de-AT"/>
        </w:rPr>
        <w:t>Srovnávací</w:t>
      </w:r>
      <w:r w:rsidR="008E0341" w:rsidRPr="0055589B">
        <w:rPr>
          <w:rFonts w:ascii="Arial" w:eastAsia="Times New Roman" w:hAnsi="Arial" w:cs="Arial"/>
          <w:color w:val="000000" w:themeColor="text1"/>
          <w:szCs w:val="24"/>
          <w:lang w:val="cs-CZ" w:eastAsia="de-AT"/>
        </w:rPr>
        <w:t xml:space="preserve"> </w:t>
      </w:r>
      <w:r w:rsidRPr="0055589B">
        <w:rPr>
          <w:rFonts w:ascii="Arial" w:eastAsia="Times New Roman" w:hAnsi="Arial" w:cs="Arial"/>
          <w:color w:val="000000" w:themeColor="text1"/>
          <w:szCs w:val="24"/>
          <w:lang w:val="cs-CZ" w:eastAsia="de-AT"/>
        </w:rPr>
        <w:t xml:space="preserve">skupiny </w:t>
      </w:r>
      <w:r w:rsidR="008E0341" w:rsidRPr="0055589B">
        <w:rPr>
          <w:rFonts w:ascii="Arial" w:eastAsia="Times New Roman" w:hAnsi="Arial" w:cs="Arial"/>
          <w:color w:val="000000" w:themeColor="text1"/>
          <w:szCs w:val="24"/>
          <w:lang w:val="cs-CZ" w:eastAsia="de-AT"/>
        </w:rPr>
        <w:t>fondů</w:t>
      </w:r>
      <w:r w:rsidRPr="0055589B">
        <w:rPr>
          <w:rFonts w:ascii="Arial" w:eastAsia="Times New Roman" w:hAnsi="Arial" w:cs="Arial"/>
          <w:color w:val="000000" w:themeColor="text1"/>
          <w:szCs w:val="24"/>
          <w:lang w:val="cs-CZ" w:eastAsia="de-AT"/>
        </w:rPr>
        <w:t xml:space="preserve"> nebo standardizovan</w:t>
      </w:r>
      <w:r w:rsidR="008E0341" w:rsidRPr="0055589B">
        <w:rPr>
          <w:rFonts w:ascii="Arial" w:eastAsia="Times New Roman" w:hAnsi="Arial" w:cs="Arial"/>
          <w:color w:val="000000" w:themeColor="text1"/>
          <w:szCs w:val="24"/>
          <w:lang w:val="cs-CZ" w:eastAsia="de-AT"/>
        </w:rPr>
        <w:t xml:space="preserve">ých </w:t>
      </w:r>
      <w:r w:rsidR="00126B85" w:rsidRPr="0055589B">
        <w:rPr>
          <w:rFonts w:ascii="Arial" w:eastAsia="Times New Roman" w:hAnsi="Arial" w:cs="Arial"/>
          <w:color w:val="000000" w:themeColor="text1"/>
          <w:szCs w:val="24"/>
          <w:lang w:val="cs-CZ" w:eastAsia="de-AT"/>
        </w:rPr>
        <w:t>portfolií</w:t>
      </w:r>
      <w:r w:rsidRPr="0055589B">
        <w:rPr>
          <w:rFonts w:ascii="Arial" w:eastAsia="Times New Roman" w:hAnsi="Arial" w:cs="Arial"/>
          <w:color w:val="000000" w:themeColor="text1"/>
          <w:szCs w:val="24"/>
          <w:lang w:val="cs-CZ" w:eastAsia="de-AT"/>
        </w:rPr>
        <w:t xml:space="preserve"> vynásobená </w:t>
      </w:r>
      <w:r w:rsidR="00126B85" w:rsidRPr="0055589B">
        <w:rPr>
          <w:rFonts w:ascii="Arial" w:eastAsia="Times New Roman" w:hAnsi="Arial" w:cs="Arial"/>
          <w:color w:val="000000" w:themeColor="text1"/>
          <w:szCs w:val="24"/>
          <w:lang w:val="cs-CZ" w:eastAsia="de-AT"/>
        </w:rPr>
        <w:t>individualizovaným</w:t>
      </w:r>
      <w:r w:rsidR="008E0341" w:rsidRPr="0055589B">
        <w:rPr>
          <w:rFonts w:ascii="Arial" w:eastAsia="Times New Roman" w:hAnsi="Arial" w:cs="Arial"/>
          <w:color w:val="000000" w:themeColor="text1"/>
          <w:szCs w:val="24"/>
          <w:lang w:val="cs-CZ" w:eastAsia="de-AT"/>
        </w:rPr>
        <w:t xml:space="preserve"> faktorem (“F</w:t>
      </w:r>
      <w:r w:rsidRPr="0055589B">
        <w:rPr>
          <w:rFonts w:ascii="Arial" w:eastAsia="Times New Roman" w:hAnsi="Arial" w:cs="Arial"/>
          <w:color w:val="000000" w:themeColor="text1"/>
          <w:szCs w:val="24"/>
          <w:lang w:val="cs-CZ" w:eastAsia="de-AT"/>
        </w:rPr>
        <w:t>aktor</w:t>
      </w:r>
      <w:r w:rsidR="008E0341" w:rsidRPr="0055589B">
        <w:rPr>
          <w:rFonts w:ascii="Arial" w:eastAsia="Times New Roman" w:hAnsi="Arial" w:cs="Arial"/>
          <w:color w:val="000000" w:themeColor="text1"/>
          <w:szCs w:val="24"/>
          <w:lang w:val="cs-CZ" w:eastAsia="de-AT"/>
        </w:rPr>
        <w:t>”</w:t>
      </w:r>
      <w:r w:rsidRPr="0055589B">
        <w:rPr>
          <w:rFonts w:ascii="Arial" w:eastAsia="Times New Roman" w:hAnsi="Arial" w:cs="Arial"/>
          <w:color w:val="000000" w:themeColor="text1"/>
          <w:szCs w:val="24"/>
          <w:lang w:val="cs-CZ" w:eastAsia="de-AT"/>
        </w:rPr>
        <w:t>).</w:t>
      </w:r>
    </w:p>
    <w:p w14:paraId="1094F6CD" w14:textId="01066386" w:rsidR="0010158D" w:rsidRPr="0055589B" w:rsidRDefault="0010158D" w:rsidP="0010158D">
      <w:pPr>
        <w:spacing w:after="120" w:line="276" w:lineRule="auto"/>
        <w:jc w:val="both"/>
        <w:rPr>
          <w:rFonts w:ascii="Arial" w:eastAsia="Times New Roman" w:hAnsi="Arial" w:cs="Arial"/>
          <w:color w:val="000000" w:themeColor="text1"/>
          <w:szCs w:val="24"/>
          <w:lang w:val="cs-CZ" w:eastAsia="de-AT"/>
        </w:rPr>
      </w:pPr>
      <w:r w:rsidRPr="0055589B">
        <w:rPr>
          <w:rFonts w:ascii="Arial" w:eastAsia="Times New Roman" w:hAnsi="Arial" w:cs="Arial"/>
          <w:color w:val="000000" w:themeColor="text1"/>
          <w:szCs w:val="24"/>
          <w:lang w:val="cs-CZ" w:eastAsia="de-AT"/>
        </w:rPr>
        <w:t>Faktor musí být stanoven individuálně pro každý fond nebo skupinu fondů, aby se zohlednily různé rizikové a výnosové charakteristiky každého fondu.</w:t>
      </w:r>
    </w:p>
    <w:p w14:paraId="3DCCCE38" w14:textId="39A77929" w:rsidR="0010158D" w:rsidRPr="0055589B" w:rsidRDefault="008E0341" w:rsidP="0010158D">
      <w:pPr>
        <w:spacing w:after="120" w:line="276" w:lineRule="auto"/>
        <w:jc w:val="both"/>
        <w:rPr>
          <w:rFonts w:ascii="Arial" w:eastAsia="Times New Roman" w:hAnsi="Arial" w:cs="Arial"/>
          <w:color w:val="000000" w:themeColor="text1"/>
          <w:szCs w:val="24"/>
          <w:lang w:val="cs-CZ" w:eastAsia="de-AT"/>
        </w:rPr>
      </w:pPr>
      <w:r w:rsidRPr="0055589B">
        <w:rPr>
          <w:rFonts w:ascii="Arial" w:eastAsia="Times New Roman" w:hAnsi="Arial" w:cs="Arial"/>
          <w:color w:val="000000" w:themeColor="text1"/>
          <w:szCs w:val="24"/>
          <w:lang w:val="cs-CZ" w:eastAsia="de-AT"/>
        </w:rPr>
        <w:t>V</w:t>
      </w:r>
      <w:r w:rsidR="0010158D" w:rsidRPr="0055589B">
        <w:rPr>
          <w:rFonts w:ascii="Arial" w:eastAsia="Times New Roman" w:hAnsi="Arial" w:cs="Arial"/>
          <w:color w:val="000000" w:themeColor="text1"/>
          <w:szCs w:val="24"/>
          <w:lang w:val="cs-CZ" w:eastAsia="de-AT"/>
        </w:rPr>
        <w:t xml:space="preserve">olatilita </w:t>
      </w:r>
      <w:r w:rsidRPr="0055589B">
        <w:rPr>
          <w:rFonts w:ascii="Arial" w:eastAsia="Times New Roman" w:hAnsi="Arial" w:cs="Arial"/>
          <w:color w:val="000000" w:themeColor="text1"/>
          <w:szCs w:val="24"/>
          <w:lang w:val="cs-CZ" w:eastAsia="de-AT"/>
        </w:rPr>
        <w:t xml:space="preserve">daného </w:t>
      </w:r>
      <w:r w:rsidR="0010158D" w:rsidRPr="0055589B">
        <w:rPr>
          <w:rFonts w:ascii="Arial" w:eastAsia="Times New Roman" w:hAnsi="Arial" w:cs="Arial"/>
          <w:color w:val="000000" w:themeColor="text1"/>
          <w:szCs w:val="24"/>
          <w:lang w:val="cs-CZ" w:eastAsia="de-AT"/>
        </w:rPr>
        <w:t xml:space="preserve">fondu nebo standardizovaného portfolia a </w:t>
      </w:r>
      <w:r w:rsidR="00013128" w:rsidRPr="0055589B">
        <w:rPr>
          <w:rFonts w:ascii="Arial" w:eastAsia="Times New Roman" w:hAnsi="Arial" w:cs="Arial"/>
          <w:color w:val="000000" w:themeColor="text1"/>
          <w:szCs w:val="24"/>
          <w:lang w:val="cs-CZ" w:eastAsia="de-AT"/>
        </w:rPr>
        <w:t>Srovnávací</w:t>
      </w:r>
      <w:r w:rsidRPr="0055589B">
        <w:rPr>
          <w:rFonts w:ascii="Arial" w:eastAsia="Times New Roman" w:hAnsi="Arial" w:cs="Arial"/>
          <w:color w:val="000000" w:themeColor="text1"/>
          <w:szCs w:val="24"/>
          <w:lang w:val="cs-CZ" w:eastAsia="de-AT"/>
        </w:rPr>
        <w:t xml:space="preserve"> skupiny </w:t>
      </w:r>
      <w:r w:rsidR="0010158D" w:rsidRPr="0055589B">
        <w:rPr>
          <w:rFonts w:ascii="Arial" w:eastAsia="Times New Roman" w:hAnsi="Arial" w:cs="Arial"/>
          <w:color w:val="000000" w:themeColor="text1"/>
          <w:szCs w:val="24"/>
          <w:lang w:val="cs-CZ" w:eastAsia="de-AT"/>
        </w:rPr>
        <w:t>bude průběžně sledována každý pracovní den. Pokud je dosaženo úrovně Knock-in-</w:t>
      </w:r>
      <w:r w:rsidRPr="0055589B">
        <w:rPr>
          <w:rFonts w:ascii="Arial" w:eastAsia="Times New Roman" w:hAnsi="Arial" w:cs="Arial"/>
          <w:color w:val="000000" w:themeColor="text1"/>
          <w:szCs w:val="24"/>
          <w:lang w:val="cs-CZ" w:eastAsia="de-AT"/>
        </w:rPr>
        <w:t>Kritéria (tj. v</w:t>
      </w:r>
      <w:r w:rsidR="0010158D" w:rsidRPr="0055589B">
        <w:rPr>
          <w:rFonts w:ascii="Arial" w:eastAsia="Times New Roman" w:hAnsi="Arial" w:cs="Arial"/>
          <w:color w:val="000000" w:themeColor="text1"/>
          <w:szCs w:val="24"/>
          <w:lang w:val="cs-CZ" w:eastAsia="de-AT"/>
        </w:rPr>
        <w:t xml:space="preserve">olatilita fondu nebo standardizovaného portfolia je větší než volatilita </w:t>
      </w:r>
      <w:r w:rsidR="00013128" w:rsidRPr="0055589B">
        <w:rPr>
          <w:rFonts w:ascii="Arial" w:eastAsia="Times New Roman" w:hAnsi="Arial" w:cs="Arial"/>
          <w:color w:val="000000" w:themeColor="text1"/>
          <w:szCs w:val="24"/>
          <w:lang w:val="cs-CZ" w:eastAsia="de-AT"/>
        </w:rPr>
        <w:t>Srovnávací</w:t>
      </w:r>
      <w:r w:rsidRPr="0055589B">
        <w:rPr>
          <w:rFonts w:ascii="Arial" w:eastAsia="Times New Roman" w:hAnsi="Arial" w:cs="Arial"/>
          <w:color w:val="000000" w:themeColor="text1"/>
          <w:szCs w:val="24"/>
          <w:lang w:val="cs-CZ" w:eastAsia="de-AT"/>
        </w:rPr>
        <w:t xml:space="preserve"> skupiny vynásobená F</w:t>
      </w:r>
      <w:r w:rsidR="0010158D" w:rsidRPr="0055589B">
        <w:rPr>
          <w:rFonts w:ascii="Arial" w:eastAsia="Times New Roman" w:hAnsi="Arial" w:cs="Arial"/>
          <w:color w:val="000000" w:themeColor="text1"/>
          <w:szCs w:val="24"/>
          <w:lang w:val="cs-CZ" w:eastAsia="de-AT"/>
        </w:rPr>
        <w:t xml:space="preserve">aktorem), musí správce fondu nebo portfolia přijmout vhodná opatření ke snížení volatility fondu nebo standardizované portfolio vůči své </w:t>
      </w:r>
      <w:r w:rsidR="00D543E2" w:rsidRPr="0055589B">
        <w:rPr>
          <w:rFonts w:ascii="Arial" w:eastAsia="Times New Roman" w:hAnsi="Arial" w:cs="Arial"/>
          <w:color w:val="000000" w:themeColor="text1"/>
          <w:szCs w:val="24"/>
          <w:lang w:val="cs-CZ" w:eastAsia="de-AT"/>
        </w:rPr>
        <w:t>Srovnávací</w:t>
      </w:r>
      <w:r w:rsidRPr="0055589B">
        <w:rPr>
          <w:rFonts w:ascii="Arial" w:eastAsia="Times New Roman" w:hAnsi="Arial" w:cs="Arial"/>
          <w:color w:val="000000" w:themeColor="text1"/>
          <w:szCs w:val="24"/>
          <w:lang w:val="cs-CZ" w:eastAsia="de-AT"/>
        </w:rPr>
        <w:t xml:space="preserve"> skupině</w:t>
      </w:r>
      <w:r w:rsidR="0010158D" w:rsidRPr="0055589B">
        <w:rPr>
          <w:rFonts w:ascii="Arial" w:eastAsia="Times New Roman" w:hAnsi="Arial" w:cs="Arial"/>
          <w:color w:val="000000" w:themeColor="text1"/>
          <w:szCs w:val="24"/>
          <w:lang w:val="cs-CZ" w:eastAsia="de-AT"/>
        </w:rPr>
        <w:t>.</w:t>
      </w:r>
    </w:p>
    <w:p w14:paraId="75101993" w14:textId="1E68259A" w:rsidR="0010158D" w:rsidRPr="0055589B" w:rsidRDefault="0010158D" w:rsidP="0010158D">
      <w:pPr>
        <w:spacing w:after="120" w:line="276" w:lineRule="auto"/>
        <w:jc w:val="both"/>
        <w:rPr>
          <w:rFonts w:ascii="Arial" w:eastAsia="Times New Roman" w:hAnsi="Arial" w:cs="Arial"/>
          <w:color w:val="000000" w:themeColor="text1"/>
          <w:szCs w:val="24"/>
          <w:lang w:val="cs-CZ" w:eastAsia="de-AT"/>
        </w:rPr>
      </w:pPr>
      <w:r w:rsidRPr="0055589B">
        <w:rPr>
          <w:rFonts w:ascii="Arial" w:eastAsia="Times New Roman" w:hAnsi="Arial" w:cs="Arial"/>
          <w:color w:val="000000" w:themeColor="text1"/>
          <w:szCs w:val="24"/>
          <w:lang w:val="cs-CZ" w:eastAsia="de-AT"/>
        </w:rPr>
        <w:t>Při provádění těchto opatření musí správce fondu nebo portfolia vzít v úvahu:</w:t>
      </w:r>
    </w:p>
    <w:p w14:paraId="05B21770" w14:textId="1C7745E9" w:rsidR="0010158D" w:rsidRPr="0055589B" w:rsidRDefault="0010158D" w:rsidP="0055589B">
      <w:pPr>
        <w:pStyle w:val="Odstavecseseznamem"/>
        <w:numPr>
          <w:ilvl w:val="0"/>
          <w:numId w:val="30"/>
        </w:numPr>
        <w:spacing w:after="120" w:line="276" w:lineRule="auto"/>
        <w:jc w:val="both"/>
        <w:rPr>
          <w:rFonts w:ascii="Arial" w:eastAsia="Times New Roman" w:hAnsi="Arial" w:cs="Arial"/>
          <w:color w:val="000000" w:themeColor="text1"/>
          <w:szCs w:val="24"/>
          <w:lang w:val="cs-CZ" w:eastAsia="de-AT"/>
        </w:rPr>
      </w:pPr>
      <w:r w:rsidRPr="0055589B">
        <w:rPr>
          <w:rFonts w:ascii="Arial" w:eastAsia="Times New Roman" w:hAnsi="Arial" w:cs="Arial"/>
          <w:color w:val="000000" w:themeColor="text1"/>
          <w:szCs w:val="24"/>
          <w:lang w:val="cs-CZ" w:eastAsia="de-AT"/>
        </w:rPr>
        <w:t>cíle a investiční politiku fondu nebo standardizovaného portfolia</w:t>
      </w:r>
    </w:p>
    <w:p w14:paraId="1C39E10E" w14:textId="26C1C1A1" w:rsidR="0010158D" w:rsidRPr="0055589B" w:rsidRDefault="0010158D" w:rsidP="0055589B">
      <w:pPr>
        <w:pStyle w:val="Odstavecseseznamem"/>
        <w:numPr>
          <w:ilvl w:val="0"/>
          <w:numId w:val="30"/>
        </w:numPr>
        <w:spacing w:after="120" w:line="276" w:lineRule="auto"/>
        <w:jc w:val="both"/>
        <w:rPr>
          <w:rFonts w:ascii="Arial" w:eastAsia="Times New Roman" w:hAnsi="Arial" w:cs="Arial"/>
          <w:color w:val="000000" w:themeColor="text1"/>
          <w:szCs w:val="24"/>
          <w:lang w:val="cs-CZ" w:eastAsia="de-AT"/>
        </w:rPr>
      </w:pPr>
      <w:r w:rsidRPr="0055589B">
        <w:rPr>
          <w:rFonts w:ascii="Arial" w:eastAsia="Times New Roman" w:hAnsi="Arial" w:cs="Arial"/>
          <w:color w:val="000000" w:themeColor="text1"/>
          <w:szCs w:val="24"/>
          <w:lang w:val="cs-CZ" w:eastAsia="de-AT"/>
        </w:rPr>
        <w:t>povinnost spravovat fond v zájmu investorů</w:t>
      </w:r>
    </w:p>
    <w:p w14:paraId="737BA6DB" w14:textId="6E9A82B2" w:rsidR="0010158D" w:rsidRPr="0055589B" w:rsidRDefault="0010158D" w:rsidP="0055589B">
      <w:pPr>
        <w:pStyle w:val="Odstavecseseznamem"/>
        <w:numPr>
          <w:ilvl w:val="0"/>
          <w:numId w:val="30"/>
        </w:numPr>
        <w:spacing w:after="120" w:line="276" w:lineRule="auto"/>
        <w:jc w:val="both"/>
        <w:rPr>
          <w:rFonts w:ascii="Arial" w:eastAsia="Times New Roman" w:hAnsi="Arial" w:cs="Arial"/>
          <w:color w:val="000000" w:themeColor="text1"/>
          <w:szCs w:val="24"/>
          <w:lang w:val="cs-CZ" w:eastAsia="de-AT"/>
        </w:rPr>
      </w:pPr>
      <w:r w:rsidRPr="0055589B">
        <w:rPr>
          <w:rFonts w:ascii="Arial" w:eastAsia="Times New Roman" w:hAnsi="Arial" w:cs="Arial"/>
          <w:color w:val="000000" w:themeColor="text1"/>
          <w:szCs w:val="24"/>
          <w:lang w:val="cs-CZ" w:eastAsia="de-AT"/>
        </w:rPr>
        <w:t xml:space="preserve">právní požadavky </w:t>
      </w:r>
      <w:r w:rsidR="008E0341" w:rsidRPr="0055589B">
        <w:rPr>
          <w:rFonts w:ascii="Arial" w:eastAsia="Times New Roman" w:hAnsi="Arial" w:cs="Arial"/>
          <w:color w:val="000000" w:themeColor="text1"/>
          <w:szCs w:val="24"/>
          <w:lang w:val="cs-CZ" w:eastAsia="de-AT"/>
        </w:rPr>
        <w:t>týkající se daného fondu</w:t>
      </w:r>
    </w:p>
    <w:p w14:paraId="70A1385A" w14:textId="6B421A35" w:rsidR="0010158D" w:rsidRPr="0055589B" w:rsidRDefault="0010158D" w:rsidP="0055589B">
      <w:pPr>
        <w:pStyle w:val="Odstavecseseznamem"/>
        <w:numPr>
          <w:ilvl w:val="0"/>
          <w:numId w:val="30"/>
        </w:numPr>
        <w:spacing w:after="120" w:line="276" w:lineRule="auto"/>
        <w:jc w:val="both"/>
        <w:rPr>
          <w:rFonts w:ascii="Arial" w:eastAsia="Times New Roman" w:hAnsi="Arial" w:cs="Arial"/>
          <w:color w:val="000000" w:themeColor="text1"/>
          <w:szCs w:val="24"/>
          <w:lang w:val="cs-CZ" w:eastAsia="de-AT"/>
        </w:rPr>
      </w:pPr>
      <w:r w:rsidRPr="0055589B">
        <w:rPr>
          <w:rFonts w:ascii="Arial" w:eastAsia="Times New Roman" w:hAnsi="Arial" w:cs="Arial"/>
          <w:color w:val="000000" w:themeColor="text1"/>
          <w:szCs w:val="24"/>
          <w:lang w:val="cs-CZ" w:eastAsia="de-AT"/>
        </w:rPr>
        <w:t>povinnost udržovat určitý rizikový profil</w:t>
      </w:r>
    </w:p>
    <w:p w14:paraId="7FEB4661" w14:textId="77777777" w:rsidR="0010158D" w:rsidRPr="0055589B" w:rsidRDefault="0010158D" w:rsidP="007F006A">
      <w:pPr>
        <w:spacing w:after="120" w:line="276" w:lineRule="auto"/>
        <w:jc w:val="both"/>
        <w:rPr>
          <w:rFonts w:ascii="Arial" w:eastAsia="Times New Roman" w:hAnsi="Arial" w:cs="Arial"/>
          <w:color w:val="000000" w:themeColor="text1"/>
          <w:szCs w:val="24"/>
          <w:lang w:val="cs-CZ" w:eastAsia="de-AT"/>
        </w:rPr>
      </w:pPr>
    </w:p>
    <w:p w14:paraId="065CEBF1" w14:textId="14EAED3A" w:rsidR="00224561" w:rsidRPr="0055589B" w:rsidRDefault="007E7C09" w:rsidP="006033BF">
      <w:pPr>
        <w:pStyle w:val="Nadpis3"/>
        <w:rPr>
          <w:rFonts w:eastAsia="Times New Roman"/>
          <w:color w:val="000000" w:themeColor="text1"/>
          <w:lang w:val="cs-CZ"/>
        </w:rPr>
      </w:pPr>
      <w:r w:rsidRPr="0055589B">
        <w:rPr>
          <w:color w:val="000000" w:themeColor="text1"/>
          <w:lang w:val="cs-CZ"/>
        </w:rPr>
        <w:t xml:space="preserve"> </w:t>
      </w:r>
      <w:r w:rsidR="008239FC" w:rsidRPr="0055589B">
        <w:rPr>
          <w:color w:val="000000" w:themeColor="text1"/>
          <w:lang w:val="cs-CZ"/>
        </w:rPr>
        <w:t xml:space="preserve"> </w:t>
      </w:r>
      <w:bookmarkStart w:id="50" w:name="_Toc108689218"/>
      <w:r w:rsidR="00224561" w:rsidRPr="0055589B">
        <w:rPr>
          <w:color w:val="000000" w:themeColor="text1"/>
          <w:lang w:val="cs-CZ"/>
        </w:rPr>
        <w:t>Kvalitativní kritéria (knock</w:t>
      </w:r>
      <w:r w:rsidR="00224561" w:rsidRPr="0055589B">
        <w:rPr>
          <w:rFonts w:ascii="Cambria Math" w:hAnsi="Cambria Math" w:cs="Cambria Math"/>
          <w:color w:val="000000" w:themeColor="text1"/>
          <w:lang w:val="cs-CZ"/>
        </w:rPr>
        <w:t>‐</w:t>
      </w:r>
      <w:r w:rsidR="00490B03" w:rsidRPr="0055589B">
        <w:rPr>
          <w:color w:val="000000" w:themeColor="text1"/>
          <w:lang w:val="cs-CZ"/>
        </w:rPr>
        <w:t>out</w:t>
      </w:r>
      <w:r w:rsidR="00D05D21" w:rsidRPr="0055589B">
        <w:rPr>
          <w:color w:val="000000" w:themeColor="text1"/>
          <w:lang w:val="cs-CZ"/>
        </w:rPr>
        <w:t>, s ukončením po dosažení limitu</w:t>
      </w:r>
      <w:r w:rsidR="00224561" w:rsidRPr="0055589B">
        <w:rPr>
          <w:color w:val="000000" w:themeColor="text1"/>
          <w:lang w:val="cs-CZ"/>
        </w:rPr>
        <w:t>)</w:t>
      </w:r>
      <w:bookmarkEnd w:id="50"/>
    </w:p>
    <w:p w14:paraId="35D4430F" w14:textId="48BAEFB6" w:rsidR="00224561" w:rsidRPr="0055589B" w:rsidRDefault="00224561" w:rsidP="007F006A">
      <w:pPr>
        <w:spacing w:after="120" w:line="276" w:lineRule="auto"/>
        <w:ind w:left="709"/>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Kvalitativní kritéria </w:t>
      </w:r>
      <w:proofErr w:type="gramStart"/>
      <w:r w:rsidRPr="0055589B">
        <w:rPr>
          <w:rFonts w:ascii="Arial" w:hAnsi="Arial" w:cs="Arial"/>
          <w:color w:val="000000" w:themeColor="text1"/>
          <w:szCs w:val="24"/>
          <w:lang w:val="cs-CZ" w:eastAsia="de-AT"/>
        </w:rPr>
        <w:t>slouží</w:t>
      </w:r>
      <w:proofErr w:type="gramEnd"/>
      <w:r w:rsidRPr="0055589B">
        <w:rPr>
          <w:rFonts w:ascii="Arial" w:hAnsi="Arial" w:cs="Arial"/>
          <w:color w:val="000000" w:themeColor="text1"/>
          <w:szCs w:val="24"/>
          <w:lang w:val="cs-CZ" w:eastAsia="de-AT"/>
        </w:rPr>
        <w:t xml:space="preserve"> jako knock</w:t>
      </w:r>
      <w:r w:rsidR="00D055CF" w:rsidRPr="0055589B">
        <w:rPr>
          <w:rFonts w:ascii="Arial" w:hAnsi="Arial" w:cs="Arial"/>
          <w:color w:val="000000" w:themeColor="text1"/>
          <w:szCs w:val="24"/>
          <w:lang w:val="cs-CZ" w:eastAsia="de-AT"/>
        </w:rPr>
        <w:t xml:space="preserve">-out </w:t>
      </w:r>
      <w:r w:rsidRPr="0055589B">
        <w:rPr>
          <w:rFonts w:ascii="Arial" w:hAnsi="Arial" w:cs="Arial"/>
          <w:color w:val="000000" w:themeColor="text1"/>
          <w:szCs w:val="24"/>
          <w:lang w:val="cs-CZ" w:eastAsia="de-AT"/>
        </w:rPr>
        <w:t xml:space="preserve">kritéria pro všechny zaměstnance a členy </w:t>
      </w:r>
      <w:r w:rsidR="00D055CF" w:rsidRPr="0055589B">
        <w:rPr>
          <w:rFonts w:ascii="Arial" w:hAnsi="Arial" w:cs="Arial"/>
          <w:color w:val="000000" w:themeColor="text1"/>
          <w:szCs w:val="24"/>
          <w:lang w:val="cs-CZ" w:eastAsia="de-AT"/>
        </w:rPr>
        <w:t>P</w:t>
      </w:r>
      <w:r w:rsidR="005401C8" w:rsidRPr="0055589B">
        <w:rPr>
          <w:rFonts w:ascii="Arial" w:hAnsi="Arial" w:cs="Arial"/>
          <w:color w:val="000000" w:themeColor="text1"/>
          <w:szCs w:val="24"/>
          <w:lang w:val="cs-CZ" w:eastAsia="de-AT"/>
        </w:rPr>
        <w:t>ředstavenstva</w:t>
      </w:r>
      <w:r w:rsidRPr="0055589B">
        <w:rPr>
          <w:rFonts w:ascii="Arial" w:hAnsi="Arial" w:cs="Arial"/>
          <w:color w:val="000000" w:themeColor="text1"/>
          <w:szCs w:val="24"/>
          <w:lang w:val="cs-CZ" w:eastAsia="de-AT"/>
        </w:rPr>
        <w:t xml:space="preserve"> </w:t>
      </w:r>
      <w:r w:rsidR="00D055CF"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 xml:space="preserve">polečnosti a také pro ty zaměstnance a členy </w:t>
      </w:r>
      <w:r w:rsidR="007E4DE3" w:rsidRPr="0055589B">
        <w:rPr>
          <w:rFonts w:ascii="Arial" w:hAnsi="Arial" w:cs="Arial"/>
          <w:color w:val="000000" w:themeColor="text1"/>
          <w:szCs w:val="24"/>
          <w:lang w:val="cs-CZ" w:eastAsia="de-AT"/>
        </w:rPr>
        <w:t>Představenst</w:t>
      </w:r>
      <w:r w:rsidR="005401C8" w:rsidRPr="0055589B">
        <w:rPr>
          <w:rFonts w:ascii="Arial" w:hAnsi="Arial" w:cs="Arial"/>
          <w:color w:val="000000" w:themeColor="text1"/>
          <w:szCs w:val="24"/>
          <w:lang w:val="cs-CZ" w:eastAsia="de-AT"/>
        </w:rPr>
        <w:t>va</w:t>
      </w:r>
      <w:r w:rsidRPr="0055589B">
        <w:rPr>
          <w:rFonts w:ascii="Arial" w:hAnsi="Arial" w:cs="Arial"/>
          <w:color w:val="000000" w:themeColor="text1"/>
          <w:szCs w:val="24"/>
          <w:lang w:val="cs-CZ" w:eastAsia="de-AT"/>
        </w:rPr>
        <w:t>, kte</w:t>
      </w:r>
      <w:r w:rsidR="00D055CF" w:rsidRPr="0055589B">
        <w:rPr>
          <w:rFonts w:ascii="Arial" w:hAnsi="Arial" w:cs="Arial"/>
          <w:color w:val="000000" w:themeColor="text1"/>
          <w:szCs w:val="24"/>
          <w:lang w:val="cs-CZ" w:eastAsia="de-AT"/>
        </w:rPr>
        <w:t>rým by jinak vznikal nárok na p</w:t>
      </w:r>
      <w:r w:rsidRPr="0055589B">
        <w:rPr>
          <w:rFonts w:ascii="Arial" w:hAnsi="Arial" w:cs="Arial"/>
          <w:color w:val="000000" w:themeColor="text1"/>
          <w:szCs w:val="24"/>
          <w:lang w:val="cs-CZ" w:eastAsia="de-AT"/>
        </w:rPr>
        <w:t xml:space="preserve">ohyblivou odměnu </w:t>
      </w:r>
      <w:r w:rsidR="00D055CF" w:rsidRPr="0055589B">
        <w:rPr>
          <w:rFonts w:ascii="Arial" w:hAnsi="Arial" w:cs="Arial"/>
          <w:color w:val="000000" w:themeColor="text1"/>
          <w:szCs w:val="24"/>
          <w:lang w:val="cs-CZ" w:eastAsia="de-AT"/>
        </w:rPr>
        <w:t>díky splnění knock-in kritérií. Dojde-li k porušené některé z níže uvedených zásad, přijdou nejméně o část bonusu</w:t>
      </w:r>
      <w:r w:rsidRPr="0055589B">
        <w:rPr>
          <w:rFonts w:ascii="Arial" w:hAnsi="Arial" w:cs="Arial"/>
          <w:color w:val="000000" w:themeColor="text1"/>
          <w:szCs w:val="24"/>
          <w:lang w:val="cs-CZ" w:eastAsia="de-AT"/>
        </w:rPr>
        <w:t>:</w:t>
      </w:r>
    </w:p>
    <w:p w14:paraId="2B1D6D5E" w14:textId="2C66DB04" w:rsidR="00224561" w:rsidRPr="0055589B" w:rsidRDefault="00224561" w:rsidP="00224561">
      <w:pPr>
        <w:numPr>
          <w:ilvl w:val="0"/>
          <w:numId w:val="21"/>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Každé přičitatelné </w:t>
      </w:r>
      <w:r w:rsidR="00A57643" w:rsidRPr="0055589B">
        <w:rPr>
          <w:rFonts w:ascii="Arial" w:hAnsi="Arial" w:cs="Arial"/>
          <w:color w:val="000000" w:themeColor="text1"/>
          <w:lang w:val="cs-CZ" w:eastAsia="de-AT"/>
        </w:rPr>
        <w:t xml:space="preserve">přímé </w:t>
      </w:r>
      <w:r w:rsidRPr="0055589B">
        <w:rPr>
          <w:rFonts w:ascii="Arial" w:hAnsi="Arial" w:cs="Arial"/>
          <w:color w:val="000000" w:themeColor="text1"/>
          <w:lang w:val="cs-CZ" w:eastAsia="de-AT"/>
        </w:rPr>
        <w:t>aktivní porušení jakéhokoli</w:t>
      </w:r>
      <w:r w:rsidR="00A57643" w:rsidRPr="0055589B">
        <w:rPr>
          <w:rFonts w:ascii="Arial" w:hAnsi="Arial" w:cs="Arial"/>
          <w:color w:val="000000" w:themeColor="text1"/>
          <w:lang w:val="cs-CZ" w:eastAsia="de-AT"/>
        </w:rPr>
        <w:t>v</w:t>
      </w:r>
      <w:r w:rsidRPr="0055589B">
        <w:rPr>
          <w:rFonts w:ascii="Arial" w:hAnsi="Arial" w:cs="Arial"/>
          <w:color w:val="000000" w:themeColor="text1"/>
          <w:lang w:val="cs-CZ" w:eastAsia="de-AT"/>
        </w:rPr>
        <w:t xml:space="preserve"> limitu fondu – bez ohledu na to, zda zisk nebo ztráta způsobí snížení </w:t>
      </w:r>
      <w:r w:rsidR="00A57643" w:rsidRPr="0055589B">
        <w:rPr>
          <w:rFonts w:ascii="Arial" w:hAnsi="Arial" w:cs="Arial"/>
          <w:color w:val="000000" w:themeColor="text1"/>
          <w:lang w:val="cs-CZ" w:eastAsia="de-AT"/>
        </w:rPr>
        <w:t xml:space="preserve">bonusu </w:t>
      </w:r>
      <w:r w:rsidR="00187820">
        <w:rPr>
          <w:rFonts w:ascii="Arial" w:hAnsi="Arial" w:cs="Arial"/>
          <w:color w:val="000000" w:themeColor="text1"/>
          <w:lang w:val="cs-CZ" w:eastAsia="de-AT"/>
        </w:rPr>
        <w:t>až o</w:t>
      </w:r>
      <w:r w:rsidRPr="0055589B">
        <w:rPr>
          <w:rFonts w:ascii="Arial" w:hAnsi="Arial" w:cs="Arial"/>
          <w:color w:val="000000" w:themeColor="text1"/>
          <w:lang w:val="cs-CZ" w:eastAsia="de-AT"/>
        </w:rPr>
        <w:t xml:space="preserve"> 50</w:t>
      </w:r>
      <w:r w:rsidR="00A57643" w:rsidRPr="0055589B">
        <w:rPr>
          <w:rFonts w:ascii="Arial" w:hAnsi="Arial" w:cs="Arial"/>
          <w:color w:val="000000" w:themeColor="text1"/>
          <w:lang w:val="cs-CZ" w:eastAsia="de-AT"/>
        </w:rPr>
        <w:t xml:space="preserve"> </w:t>
      </w:r>
      <w:r w:rsidRPr="0055589B">
        <w:rPr>
          <w:rFonts w:ascii="Arial" w:hAnsi="Arial" w:cs="Arial"/>
          <w:color w:val="000000" w:themeColor="text1"/>
          <w:lang w:val="cs-CZ" w:eastAsia="de-AT"/>
        </w:rPr>
        <w:t xml:space="preserve">% za </w:t>
      </w:r>
      <w:r w:rsidR="00A57643" w:rsidRPr="0055589B">
        <w:rPr>
          <w:rFonts w:ascii="Arial" w:hAnsi="Arial" w:cs="Arial"/>
          <w:color w:val="000000" w:themeColor="text1"/>
          <w:lang w:val="cs-CZ" w:eastAsia="de-AT"/>
        </w:rPr>
        <w:t xml:space="preserve">každé </w:t>
      </w:r>
      <w:r w:rsidRPr="0055589B">
        <w:rPr>
          <w:rFonts w:ascii="Arial" w:hAnsi="Arial" w:cs="Arial"/>
          <w:color w:val="000000" w:themeColor="text1"/>
          <w:lang w:val="cs-CZ" w:eastAsia="de-AT"/>
        </w:rPr>
        <w:t xml:space="preserve">porušení (v závislosti na tom, </w:t>
      </w:r>
      <w:r w:rsidR="00A57643" w:rsidRPr="0055589B">
        <w:rPr>
          <w:rFonts w:ascii="Arial" w:hAnsi="Arial" w:cs="Arial"/>
          <w:color w:val="000000" w:themeColor="text1"/>
          <w:lang w:val="cs-CZ" w:eastAsia="de-AT"/>
        </w:rPr>
        <w:t xml:space="preserve">o </w:t>
      </w:r>
      <w:r w:rsidRPr="0055589B">
        <w:rPr>
          <w:rFonts w:ascii="Arial" w:hAnsi="Arial" w:cs="Arial"/>
          <w:color w:val="000000" w:themeColor="text1"/>
          <w:lang w:val="cs-CZ" w:eastAsia="de-AT"/>
        </w:rPr>
        <w:t>jak závažné porušení</w:t>
      </w:r>
      <w:r w:rsidR="00A57643" w:rsidRPr="0055589B">
        <w:rPr>
          <w:rFonts w:ascii="Arial" w:hAnsi="Arial" w:cs="Arial"/>
          <w:color w:val="000000" w:themeColor="text1"/>
          <w:lang w:val="cs-CZ" w:eastAsia="de-AT"/>
        </w:rPr>
        <w:t xml:space="preserve"> jde</w:t>
      </w:r>
      <w:r w:rsidRPr="0055589B">
        <w:rPr>
          <w:rFonts w:ascii="Arial" w:hAnsi="Arial" w:cs="Arial"/>
          <w:color w:val="000000" w:themeColor="text1"/>
          <w:lang w:val="cs-CZ" w:eastAsia="de-AT"/>
        </w:rPr>
        <w:t>);</w:t>
      </w:r>
    </w:p>
    <w:p w14:paraId="22F97D9A" w14:textId="7A403963" w:rsidR="00224561" w:rsidRPr="0055589B" w:rsidRDefault="00224561" w:rsidP="00224561">
      <w:pPr>
        <w:numPr>
          <w:ilvl w:val="0"/>
          <w:numId w:val="21"/>
        </w:num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Každé porušení pravidla </w:t>
      </w:r>
      <w:r w:rsidR="00A57643" w:rsidRPr="0055589B">
        <w:rPr>
          <w:rFonts w:ascii="Arial" w:hAnsi="Arial" w:cs="Arial"/>
          <w:color w:val="000000" w:themeColor="text1"/>
          <w:lang w:val="cs-CZ" w:eastAsia="de-AT"/>
        </w:rPr>
        <w:t xml:space="preserve">compliance vede ke snížení bonusu </w:t>
      </w:r>
      <w:r w:rsidR="00187820">
        <w:rPr>
          <w:rFonts w:ascii="Arial" w:hAnsi="Arial" w:cs="Arial"/>
          <w:color w:val="000000" w:themeColor="text1"/>
          <w:lang w:val="cs-CZ" w:eastAsia="de-AT"/>
        </w:rPr>
        <w:t>až o</w:t>
      </w:r>
      <w:r w:rsidRPr="0055589B">
        <w:rPr>
          <w:rFonts w:ascii="Arial" w:hAnsi="Arial" w:cs="Arial"/>
          <w:color w:val="000000" w:themeColor="text1"/>
          <w:lang w:val="cs-CZ" w:eastAsia="de-AT"/>
        </w:rPr>
        <w:t xml:space="preserve"> 100</w:t>
      </w:r>
      <w:r w:rsidR="00A57643" w:rsidRPr="0055589B">
        <w:rPr>
          <w:rFonts w:ascii="Arial" w:hAnsi="Arial" w:cs="Arial"/>
          <w:color w:val="000000" w:themeColor="text1"/>
          <w:lang w:val="cs-CZ" w:eastAsia="de-AT"/>
        </w:rPr>
        <w:t xml:space="preserve"> </w:t>
      </w:r>
      <w:r w:rsidRPr="0055589B">
        <w:rPr>
          <w:rFonts w:ascii="Arial" w:hAnsi="Arial" w:cs="Arial"/>
          <w:color w:val="000000" w:themeColor="text1"/>
          <w:lang w:val="cs-CZ" w:eastAsia="de-AT"/>
        </w:rPr>
        <w:t xml:space="preserve">% za </w:t>
      </w:r>
      <w:r w:rsidR="00A57643" w:rsidRPr="0055589B">
        <w:rPr>
          <w:rFonts w:ascii="Arial" w:hAnsi="Arial" w:cs="Arial"/>
          <w:color w:val="000000" w:themeColor="text1"/>
          <w:lang w:val="cs-CZ" w:eastAsia="de-AT"/>
        </w:rPr>
        <w:t xml:space="preserve">každé </w:t>
      </w:r>
      <w:r w:rsidRPr="0055589B">
        <w:rPr>
          <w:rFonts w:ascii="Arial" w:hAnsi="Arial" w:cs="Arial"/>
          <w:color w:val="000000" w:themeColor="text1"/>
          <w:lang w:val="cs-CZ" w:eastAsia="de-AT"/>
        </w:rPr>
        <w:t>porušení (v závislosti na tom,</w:t>
      </w:r>
      <w:r w:rsidR="00A57643" w:rsidRPr="0055589B">
        <w:rPr>
          <w:rFonts w:ascii="Arial" w:hAnsi="Arial" w:cs="Arial"/>
          <w:color w:val="000000" w:themeColor="text1"/>
          <w:lang w:val="cs-CZ" w:eastAsia="de-AT"/>
        </w:rPr>
        <w:t xml:space="preserve"> o</w:t>
      </w:r>
      <w:r w:rsidRPr="0055589B">
        <w:rPr>
          <w:rFonts w:ascii="Arial" w:hAnsi="Arial" w:cs="Arial"/>
          <w:color w:val="000000" w:themeColor="text1"/>
          <w:lang w:val="cs-CZ" w:eastAsia="de-AT"/>
        </w:rPr>
        <w:t xml:space="preserve"> jak závažné porušení</w:t>
      </w:r>
      <w:r w:rsidR="00A57643" w:rsidRPr="0055589B">
        <w:rPr>
          <w:rFonts w:ascii="Arial" w:hAnsi="Arial" w:cs="Arial"/>
          <w:color w:val="000000" w:themeColor="text1"/>
          <w:lang w:val="cs-CZ" w:eastAsia="de-AT"/>
        </w:rPr>
        <w:t xml:space="preserve"> jde</w:t>
      </w:r>
      <w:r w:rsidRPr="0055589B">
        <w:rPr>
          <w:rFonts w:ascii="Arial" w:hAnsi="Arial" w:cs="Arial"/>
          <w:color w:val="000000" w:themeColor="text1"/>
          <w:lang w:val="cs-CZ" w:eastAsia="de-AT"/>
        </w:rPr>
        <w:t>).</w:t>
      </w:r>
    </w:p>
    <w:p w14:paraId="5854373D" w14:textId="2D9B2B0B" w:rsidR="00224561" w:rsidRPr="0055589B" w:rsidRDefault="00224561" w:rsidP="007F006A">
      <w:p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szCs w:val="24"/>
          <w:lang w:val="cs-CZ" w:eastAsia="de-AT"/>
        </w:rPr>
        <w:t>Příslušné údaje sled</w:t>
      </w:r>
      <w:r w:rsidR="00E61AA4" w:rsidRPr="0055589B">
        <w:rPr>
          <w:rFonts w:ascii="Arial" w:hAnsi="Arial" w:cs="Arial"/>
          <w:color w:val="000000" w:themeColor="text1"/>
          <w:szCs w:val="24"/>
          <w:lang w:val="cs-CZ" w:eastAsia="de-AT"/>
        </w:rPr>
        <w:t>uje odpovědná Divize pro řízení r</w:t>
      </w:r>
      <w:r w:rsidRPr="0055589B">
        <w:rPr>
          <w:rFonts w:ascii="Arial" w:hAnsi="Arial" w:cs="Arial"/>
          <w:color w:val="000000" w:themeColor="text1"/>
          <w:szCs w:val="24"/>
          <w:lang w:val="cs-CZ" w:eastAsia="de-AT"/>
        </w:rPr>
        <w:t>izik</w:t>
      </w:r>
      <w:r w:rsidR="00E61AA4"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w:t>
      </w:r>
      <w:r w:rsidR="00E61AA4" w:rsidRPr="0055589B">
        <w:rPr>
          <w:rFonts w:ascii="Arial" w:hAnsi="Arial" w:cs="Arial"/>
          <w:color w:val="000000" w:themeColor="text1"/>
          <w:szCs w:val="24"/>
          <w:lang w:val="cs-CZ" w:eastAsia="de-AT"/>
        </w:rPr>
        <w:t xml:space="preserve"> pracovník </w:t>
      </w:r>
      <w:r w:rsidRPr="0055589B">
        <w:rPr>
          <w:rFonts w:ascii="Arial" w:hAnsi="Arial" w:cs="Arial"/>
          <w:color w:val="000000" w:themeColor="text1"/>
          <w:szCs w:val="24"/>
          <w:lang w:val="cs-CZ" w:eastAsia="de-AT"/>
        </w:rPr>
        <w:t xml:space="preserve">compliance </w:t>
      </w:r>
      <w:r w:rsidR="00E61AA4" w:rsidRPr="0055589B">
        <w:rPr>
          <w:rFonts w:ascii="Arial" w:hAnsi="Arial" w:cs="Arial"/>
          <w:color w:val="000000" w:themeColor="text1"/>
          <w:szCs w:val="24"/>
          <w:lang w:val="cs-CZ" w:eastAsia="de-AT"/>
        </w:rPr>
        <w:t>a sděluje je Podv</w:t>
      </w:r>
      <w:r w:rsidRPr="0055589B">
        <w:rPr>
          <w:rFonts w:ascii="Arial" w:hAnsi="Arial" w:cs="Arial"/>
          <w:color w:val="000000" w:themeColor="text1"/>
          <w:szCs w:val="24"/>
          <w:lang w:val="cs-CZ" w:eastAsia="de-AT"/>
        </w:rPr>
        <w:t xml:space="preserve">ýboru pro odměňování. </w:t>
      </w:r>
    </w:p>
    <w:p w14:paraId="31D80524" w14:textId="541D391E" w:rsidR="00224561" w:rsidRPr="0055589B" w:rsidRDefault="008406FB"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Dohled nad v</w:t>
      </w:r>
      <w:r w:rsidR="00224561" w:rsidRPr="0055589B">
        <w:rPr>
          <w:rFonts w:ascii="Arial" w:hAnsi="Arial" w:cs="Arial"/>
          <w:color w:val="000000" w:themeColor="text1"/>
          <w:szCs w:val="24"/>
          <w:lang w:val="cs-CZ" w:eastAsia="de-AT"/>
        </w:rPr>
        <w:t>ýkon</w:t>
      </w:r>
      <w:r w:rsidRPr="0055589B">
        <w:rPr>
          <w:rFonts w:ascii="Arial" w:hAnsi="Arial" w:cs="Arial"/>
          <w:color w:val="000000" w:themeColor="text1"/>
          <w:szCs w:val="24"/>
          <w:lang w:val="cs-CZ" w:eastAsia="de-AT"/>
        </w:rPr>
        <w:t>y</w:t>
      </w:r>
      <w:r w:rsidR="00EE57B4"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 xml:space="preserve">jednotlivých </w:t>
      </w:r>
      <w:r w:rsidR="00EE57B4" w:rsidRPr="0055589B">
        <w:rPr>
          <w:rFonts w:ascii="Arial" w:hAnsi="Arial" w:cs="Arial"/>
          <w:color w:val="000000" w:themeColor="text1"/>
          <w:szCs w:val="24"/>
          <w:lang w:val="cs-CZ" w:eastAsia="de-AT"/>
        </w:rPr>
        <w:t>správc</w:t>
      </w:r>
      <w:r w:rsidRPr="0055589B">
        <w:rPr>
          <w:rFonts w:ascii="Arial" w:hAnsi="Arial" w:cs="Arial"/>
          <w:color w:val="000000" w:themeColor="text1"/>
          <w:szCs w:val="24"/>
          <w:lang w:val="cs-CZ" w:eastAsia="de-AT"/>
        </w:rPr>
        <w:t>ů</w:t>
      </w:r>
      <w:r w:rsidR="00EE57B4" w:rsidRPr="0055589B">
        <w:rPr>
          <w:rFonts w:ascii="Arial" w:hAnsi="Arial" w:cs="Arial"/>
          <w:color w:val="000000" w:themeColor="text1"/>
          <w:szCs w:val="24"/>
          <w:lang w:val="cs-CZ" w:eastAsia="de-AT"/>
        </w:rPr>
        <w:t xml:space="preserve"> fondů i výkony </w:t>
      </w:r>
      <w:r w:rsidR="00224561" w:rsidRPr="0055589B">
        <w:rPr>
          <w:rFonts w:ascii="Arial" w:hAnsi="Arial" w:cs="Arial"/>
          <w:color w:val="000000" w:themeColor="text1"/>
          <w:szCs w:val="24"/>
          <w:lang w:val="cs-CZ" w:eastAsia="de-AT"/>
        </w:rPr>
        <w:t xml:space="preserve">zaměstnanců spravujících standardizovaná portfolia </w:t>
      </w:r>
      <w:r w:rsidRPr="0055589B">
        <w:rPr>
          <w:rFonts w:ascii="Arial" w:hAnsi="Arial" w:cs="Arial"/>
          <w:color w:val="000000" w:themeColor="text1"/>
          <w:szCs w:val="24"/>
          <w:lang w:val="cs-CZ" w:eastAsia="de-AT"/>
        </w:rPr>
        <w:t xml:space="preserve">související s </w:t>
      </w:r>
      <w:r w:rsidR="00224561" w:rsidRPr="0055589B">
        <w:rPr>
          <w:rFonts w:ascii="Arial" w:hAnsi="Arial" w:cs="Arial"/>
          <w:color w:val="000000" w:themeColor="text1"/>
          <w:szCs w:val="24"/>
          <w:lang w:val="cs-CZ" w:eastAsia="de-AT"/>
        </w:rPr>
        <w:t>knock-</w:t>
      </w:r>
      <w:r w:rsidR="00224561" w:rsidRPr="0055589B">
        <w:rPr>
          <w:rFonts w:ascii="Cambria Math" w:hAnsi="Cambria Math" w:cs="Cambria Math"/>
          <w:color w:val="000000" w:themeColor="text1"/>
          <w:szCs w:val="24"/>
          <w:lang w:val="cs-CZ" w:eastAsia="de-AT"/>
        </w:rPr>
        <w:t>‐</w:t>
      </w:r>
      <w:r w:rsidR="00224561" w:rsidRPr="0055589B">
        <w:rPr>
          <w:rFonts w:ascii="Arial" w:hAnsi="Arial" w:cs="Arial"/>
          <w:color w:val="000000" w:themeColor="text1"/>
          <w:szCs w:val="24"/>
          <w:lang w:val="cs-CZ" w:eastAsia="de-AT"/>
        </w:rPr>
        <w:t>in a knock</w:t>
      </w:r>
      <w:r w:rsidRPr="0055589B">
        <w:rPr>
          <w:rFonts w:ascii="Arial" w:hAnsi="Arial" w:cs="Arial"/>
          <w:color w:val="000000" w:themeColor="text1"/>
          <w:szCs w:val="24"/>
          <w:lang w:val="cs-CZ" w:eastAsia="de-AT"/>
        </w:rPr>
        <w:t>-out kritérii provádí Podvý</w:t>
      </w:r>
      <w:r w:rsidR="00224561" w:rsidRPr="0055589B">
        <w:rPr>
          <w:rFonts w:ascii="Arial" w:hAnsi="Arial" w:cs="Arial"/>
          <w:color w:val="000000" w:themeColor="text1"/>
          <w:szCs w:val="24"/>
          <w:lang w:val="cs-CZ" w:eastAsia="de-AT"/>
        </w:rPr>
        <w:t xml:space="preserve">bor pro odměňování a </w:t>
      </w:r>
      <w:r w:rsidRPr="0055589B">
        <w:rPr>
          <w:rFonts w:ascii="Arial" w:hAnsi="Arial" w:cs="Arial"/>
          <w:color w:val="000000" w:themeColor="text1"/>
          <w:szCs w:val="24"/>
          <w:lang w:val="cs-CZ" w:eastAsia="de-AT"/>
        </w:rPr>
        <w:t>V</w:t>
      </w:r>
      <w:r w:rsidR="00224561" w:rsidRPr="0055589B">
        <w:rPr>
          <w:rFonts w:ascii="Arial" w:hAnsi="Arial" w:cs="Arial"/>
          <w:color w:val="000000" w:themeColor="text1"/>
          <w:szCs w:val="24"/>
          <w:lang w:val="cs-CZ" w:eastAsia="de-AT"/>
        </w:rPr>
        <w:t xml:space="preserve">ýbor pro odměňování. Tato zpráva obsahuje také </w:t>
      </w:r>
      <w:r w:rsidR="001D4475" w:rsidRPr="0055589B">
        <w:rPr>
          <w:rFonts w:ascii="Arial" w:hAnsi="Arial" w:cs="Arial"/>
          <w:color w:val="000000" w:themeColor="text1"/>
          <w:szCs w:val="24"/>
          <w:lang w:val="cs-CZ" w:eastAsia="de-AT"/>
        </w:rPr>
        <w:t>vše</w:t>
      </w:r>
      <w:r w:rsidR="00224561" w:rsidRPr="0055589B">
        <w:rPr>
          <w:rFonts w:ascii="Arial" w:hAnsi="Arial" w:cs="Arial"/>
          <w:color w:val="000000" w:themeColor="text1"/>
          <w:szCs w:val="24"/>
          <w:lang w:val="cs-CZ" w:eastAsia="de-AT"/>
        </w:rPr>
        <w:t>obecný přehled</w:t>
      </w:r>
      <w:r w:rsidR="001D4475" w:rsidRPr="0055589B">
        <w:rPr>
          <w:rFonts w:ascii="Arial" w:hAnsi="Arial" w:cs="Arial"/>
          <w:color w:val="000000" w:themeColor="text1"/>
          <w:szCs w:val="24"/>
          <w:lang w:val="cs-CZ" w:eastAsia="de-AT"/>
        </w:rPr>
        <w:t xml:space="preserve"> </w:t>
      </w:r>
      <w:r w:rsidR="00224561" w:rsidRPr="0055589B">
        <w:rPr>
          <w:rFonts w:ascii="Arial" w:hAnsi="Arial" w:cs="Arial"/>
          <w:color w:val="000000" w:themeColor="text1"/>
          <w:szCs w:val="24"/>
          <w:lang w:val="cs-CZ" w:eastAsia="de-AT"/>
        </w:rPr>
        <w:t>obecné</w:t>
      </w:r>
      <w:r w:rsidR="00D76F49" w:rsidRPr="0055589B">
        <w:rPr>
          <w:rFonts w:ascii="Arial" w:hAnsi="Arial" w:cs="Arial"/>
          <w:color w:val="000000" w:themeColor="text1"/>
          <w:szCs w:val="24"/>
          <w:lang w:val="cs-CZ" w:eastAsia="de-AT"/>
        </w:rPr>
        <w:t xml:space="preserve"> implementace </w:t>
      </w:r>
      <w:r w:rsidR="00224561" w:rsidRPr="0055589B">
        <w:rPr>
          <w:rFonts w:ascii="Arial" w:hAnsi="Arial" w:cs="Arial"/>
          <w:color w:val="000000" w:themeColor="text1"/>
          <w:szCs w:val="24"/>
          <w:lang w:val="cs-CZ" w:eastAsia="de-AT"/>
        </w:rPr>
        <w:t xml:space="preserve">zásad stanovených </w:t>
      </w:r>
      <w:r w:rsidR="00D76F49" w:rsidRPr="0055589B">
        <w:rPr>
          <w:rFonts w:ascii="Arial" w:hAnsi="Arial" w:cs="Arial"/>
          <w:color w:val="000000" w:themeColor="text1"/>
          <w:szCs w:val="24"/>
          <w:lang w:val="cs-CZ" w:eastAsia="de-AT"/>
        </w:rPr>
        <w:t xml:space="preserve">touto politikou </w:t>
      </w:r>
      <w:r w:rsidR="00224561" w:rsidRPr="0055589B">
        <w:rPr>
          <w:rFonts w:ascii="Arial" w:hAnsi="Arial" w:cs="Arial"/>
          <w:color w:val="000000" w:themeColor="text1"/>
          <w:szCs w:val="24"/>
          <w:lang w:val="cs-CZ" w:eastAsia="de-AT"/>
        </w:rPr>
        <w:t xml:space="preserve">i </w:t>
      </w:r>
      <w:r w:rsidR="00D76F49" w:rsidRPr="0055589B">
        <w:rPr>
          <w:rFonts w:ascii="Arial" w:hAnsi="Arial" w:cs="Arial"/>
          <w:color w:val="000000" w:themeColor="text1"/>
          <w:szCs w:val="24"/>
          <w:lang w:val="cs-CZ" w:eastAsia="de-AT"/>
        </w:rPr>
        <w:t xml:space="preserve">výplaty bonusů pracovníkům podstupujícím rizika. </w:t>
      </w:r>
      <w:r w:rsidR="00224561" w:rsidRPr="0055589B">
        <w:rPr>
          <w:rFonts w:ascii="Arial" w:hAnsi="Arial" w:cs="Arial"/>
          <w:color w:val="000000" w:themeColor="text1"/>
          <w:szCs w:val="24"/>
          <w:lang w:val="cs-CZ" w:eastAsia="de-AT"/>
        </w:rPr>
        <w:t xml:space="preserve">Tato zpráva bude dále obsahovat informace o </w:t>
      </w:r>
      <w:r w:rsidR="00D76F49" w:rsidRPr="0055589B">
        <w:rPr>
          <w:rFonts w:ascii="Arial" w:hAnsi="Arial" w:cs="Arial"/>
          <w:color w:val="000000" w:themeColor="text1"/>
          <w:szCs w:val="24"/>
          <w:lang w:val="cs-CZ" w:eastAsia="de-AT"/>
        </w:rPr>
        <w:t xml:space="preserve">výplatě variabilní odměny a veškeré informace, u nichž platí povinnost zveřejnění. </w:t>
      </w:r>
      <w:r w:rsidR="00224561" w:rsidRPr="0055589B">
        <w:rPr>
          <w:rFonts w:ascii="Arial" w:hAnsi="Arial" w:cs="Arial"/>
          <w:color w:val="000000" w:themeColor="text1"/>
          <w:szCs w:val="24"/>
          <w:lang w:val="cs-CZ" w:eastAsia="de-AT"/>
        </w:rPr>
        <w:t xml:space="preserve">Výbor pro odměňování bude shromažďovat </w:t>
      </w:r>
      <w:r w:rsidR="00224561" w:rsidRPr="0055589B">
        <w:rPr>
          <w:rFonts w:ascii="Arial" w:hAnsi="Arial" w:cs="Arial"/>
          <w:color w:val="000000" w:themeColor="text1"/>
          <w:szCs w:val="24"/>
          <w:lang w:val="cs-CZ" w:eastAsia="de-AT"/>
        </w:rPr>
        <w:lastRenderedPageBreak/>
        <w:t xml:space="preserve">obdržené informace a </w:t>
      </w:r>
      <w:r w:rsidR="00D76F49" w:rsidRPr="0055589B">
        <w:rPr>
          <w:rFonts w:ascii="Arial" w:hAnsi="Arial" w:cs="Arial"/>
          <w:color w:val="000000" w:themeColor="text1"/>
          <w:szCs w:val="24"/>
          <w:lang w:val="cs-CZ" w:eastAsia="de-AT"/>
        </w:rPr>
        <w:t xml:space="preserve">doplňovat je o </w:t>
      </w:r>
      <w:r w:rsidR="00224561" w:rsidRPr="0055589B">
        <w:rPr>
          <w:rFonts w:ascii="Arial" w:hAnsi="Arial" w:cs="Arial"/>
          <w:color w:val="000000" w:themeColor="text1"/>
          <w:szCs w:val="24"/>
          <w:lang w:val="cs-CZ" w:eastAsia="de-AT"/>
        </w:rPr>
        <w:t>informace</w:t>
      </w:r>
      <w:r w:rsidR="00D76F49" w:rsidRPr="0055589B">
        <w:rPr>
          <w:rFonts w:ascii="Arial" w:hAnsi="Arial" w:cs="Arial"/>
          <w:color w:val="000000" w:themeColor="text1"/>
          <w:szCs w:val="24"/>
          <w:lang w:val="cs-CZ" w:eastAsia="de-AT"/>
        </w:rPr>
        <w:t xml:space="preserve"> nezbytné </w:t>
      </w:r>
      <w:r w:rsidR="00224561" w:rsidRPr="0055589B">
        <w:rPr>
          <w:rFonts w:ascii="Arial" w:hAnsi="Arial" w:cs="Arial"/>
          <w:color w:val="000000" w:themeColor="text1"/>
          <w:szCs w:val="24"/>
          <w:lang w:val="cs-CZ" w:eastAsia="de-AT"/>
        </w:rPr>
        <w:t xml:space="preserve">k tomu, aby </w:t>
      </w:r>
      <w:r w:rsidR="00D76F49" w:rsidRPr="0055589B">
        <w:rPr>
          <w:rFonts w:ascii="Arial" w:hAnsi="Arial" w:cs="Arial"/>
          <w:color w:val="000000" w:themeColor="text1"/>
          <w:szCs w:val="24"/>
          <w:lang w:val="cs-CZ" w:eastAsia="de-AT"/>
        </w:rPr>
        <w:t>S</w:t>
      </w:r>
      <w:r w:rsidR="00224561" w:rsidRPr="0055589B">
        <w:rPr>
          <w:rFonts w:ascii="Arial" w:hAnsi="Arial" w:cs="Arial"/>
          <w:color w:val="000000" w:themeColor="text1"/>
          <w:szCs w:val="24"/>
          <w:lang w:val="cs-CZ" w:eastAsia="de-AT"/>
        </w:rPr>
        <w:t xml:space="preserve">polečnost </w:t>
      </w:r>
      <w:r w:rsidR="00D76F49" w:rsidRPr="0055589B">
        <w:rPr>
          <w:rFonts w:ascii="Arial" w:hAnsi="Arial" w:cs="Arial"/>
          <w:color w:val="000000" w:themeColor="text1"/>
          <w:szCs w:val="24"/>
          <w:lang w:val="cs-CZ" w:eastAsia="de-AT"/>
        </w:rPr>
        <w:t xml:space="preserve">mohla </w:t>
      </w:r>
      <w:r w:rsidR="00224561" w:rsidRPr="0055589B">
        <w:rPr>
          <w:rFonts w:ascii="Arial" w:hAnsi="Arial" w:cs="Arial"/>
          <w:color w:val="000000" w:themeColor="text1"/>
          <w:szCs w:val="24"/>
          <w:lang w:val="cs-CZ" w:eastAsia="de-AT"/>
        </w:rPr>
        <w:t xml:space="preserve">vykonávat svou funkci </w:t>
      </w:r>
      <w:r w:rsidR="00256AC5" w:rsidRPr="0055589B">
        <w:rPr>
          <w:rFonts w:ascii="Arial" w:hAnsi="Arial" w:cs="Arial"/>
          <w:color w:val="000000" w:themeColor="text1"/>
          <w:szCs w:val="24"/>
          <w:lang w:val="cs-CZ" w:eastAsia="de-AT"/>
        </w:rPr>
        <w:t>správy</w:t>
      </w:r>
      <w:r w:rsidR="00224561" w:rsidRPr="0055589B">
        <w:rPr>
          <w:rFonts w:ascii="Arial" w:hAnsi="Arial" w:cs="Arial"/>
          <w:color w:val="000000" w:themeColor="text1"/>
          <w:szCs w:val="24"/>
          <w:lang w:val="cs-CZ" w:eastAsia="de-AT"/>
        </w:rPr>
        <w:t xml:space="preserve">. </w:t>
      </w:r>
    </w:p>
    <w:p w14:paraId="4749F1B9" w14:textId="77777777" w:rsidR="00224561" w:rsidRPr="0055589B" w:rsidRDefault="00224561" w:rsidP="00694A20">
      <w:pPr>
        <w:pStyle w:val="Nadpis1"/>
        <w:rPr>
          <w:rFonts w:eastAsia="Times New Roman"/>
          <w:color w:val="000000" w:themeColor="text1"/>
          <w:lang w:val="cs-CZ"/>
        </w:rPr>
      </w:pPr>
      <w:bookmarkStart w:id="51" w:name="_Toc108689219"/>
      <w:bookmarkStart w:id="52" w:name="_Toc427853421"/>
      <w:r w:rsidRPr="0055589B">
        <w:rPr>
          <w:color w:val="000000" w:themeColor="text1"/>
          <w:lang w:val="cs-CZ"/>
        </w:rPr>
        <w:t>Zvláštní zásady odměňování</w:t>
      </w:r>
      <w:bookmarkEnd w:id="51"/>
    </w:p>
    <w:p w14:paraId="7ACB1028" w14:textId="20CD5785"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Zvláštní zásady odměňování se vztahují na </w:t>
      </w:r>
      <w:r w:rsidR="00DA52FA" w:rsidRPr="0055589B">
        <w:rPr>
          <w:rFonts w:ascii="Arial" w:hAnsi="Arial" w:cs="Arial"/>
          <w:color w:val="000000" w:themeColor="text1"/>
          <w:szCs w:val="24"/>
          <w:lang w:val="cs-CZ" w:eastAsia="de-AT"/>
        </w:rPr>
        <w:t>pohybliv</w:t>
      </w:r>
      <w:r w:rsidRPr="0055589B">
        <w:rPr>
          <w:rFonts w:ascii="Arial" w:hAnsi="Arial" w:cs="Arial"/>
          <w:color w:val="000000" w:themeColor="text1"/>
          <w:szCs w:val="24"/>
          <w:lang w:val="cs-CZ" w:eastAsia="de-AT"/>
        </w:rPr>
        <w:t xml:space="preserve">ou </w:t>
      </w:r>
      <w:r w:rsidR="00256AC5" w:rsidRPr="0055589B">
        <w:rPr>
          <w:rFonts w:ascii="Arial" w:hAnsi="Arial" w:cs="Arial"/>
          <w:color w:val="000000" w:themeColor="text1"/>
          <w:szCs w:val="24"/>
          <w:lang w:val="cs-CZ" w:eastAsia="de-AT"/>
        </w:rPr>
        <w:t xml:space="preserve">složku </w:t>
      </w:r>
      <w:r w:rsidRPr="0055589B">
        <w:rPr>
          <w:rFonts w:ascii="Arial" w:hAnsi="Arial" w:cs="Arial"/>
          <w:color w:val="000000" w:themeColor="text1"/>
          <w:szCs w:val="24"/>
          <w:lang w:val="cs-CZ" w:eastAsia="de-AT"/>
        </w:rPr>
        <w:t>odměn</w:t>
      </w:r>
      <w:r w:rsidR="00256AC5" w:rsidRPr="0055589B">
        <w:rPr>
          <w:rFonts w:ascii="Arial" w:hAnsi="Arial" w:cs="Arial"/>
          <w:color w:val="000000" w:themeColor="text1"/>
          <w:szCs w:val="24"/>
          <w:lang w:val="cs-CZ" w:eastAsia="de-AT"/>
        </w:rPr>
        <w:t>y pracovníků podstupujících rizika.</w:t>
      </w:r>
    </w:p>
    <w:p w14:paraId="5B37D972" w14:textId="4EAE9C6E" w:rsidR="00224561" w:rsidRPr="0055589B" w:rsidRDefault="00224561" w:rsidP="006033BF">
      <w:pPr>
        <w:pStyle w:val="Nadpis2"/>
        <w:rPr>
          <w:rFonts w:eastAsia="Times New Roman"/>
          <w:color w:val="000000" w:themeColor="text1"/>
          <w:lang w:val="cs-CZ"/>
        </w:rPr>
      </w:pPr>
      <w:bookmarkStart w:id="53" w:name="_Toc108689220"/>
      <w:r w:rsidRPr="0055589B">
        <w:rPr>
          <w:color w:val="000000" w:themeColor="text1"/>
          <w:lang w:val="cs-CZ"/>
        </w:rPr>
        <w:t xml:space="preserve">Výpočet </w:t>
      </w:r>
      <w:r w:rsidR="00256AC5" w:rsidRPr="0055589B">
        <w:rPr>
          <w:color w:val="000000" w:themeColor="text1"/>
          <w:lang w:val="cs-CZ"/>
        </w:rPr>
        <w:t xml:space="preserve">variabilní </w:t>
      </w:r>
      <w:r w:rsidRPr="0055589B">
        <w:rPr>
          <w:color w:val="000000" w:themeColor="text1"/>
          <w:lang w:val="cs-CZ"/>
        </w:rPr>
        <w:t>odměny</w:t>
      </w:r>
      <w:bookmarkEnd w:id="53"/>
    </w:p>
    <w:p w14:paraId="089DE1A1" w14:textId="15717613"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Výplata </w:t>
      </w:r>
      <w:r w:rsidR="00D37EE4" w:rsidRPr="0055589B">
        <w:rPr>
          <w:rFonts w:ascii="Arial" w:hAnsi="Arial" w:cs="Arial"/>
          <w:color w:val="000000" w:themeColor="text1"/>
          <w:szCs w:val="24"/>
          <w:lang w:val="cs-CZ" w:eastAsia="de-AT"/>
        </w:rPr>
        <w:t>variabilní</w:t>
      </w:r>
      <w:r w:rsidRPr="0055589B">
        <w:rPr>
          <w:rFonts w:ascii="Arial" w:hAnsi="Arial" w:cs="Arial"/>
          <w:color w:val="000000" w:themeColor="text1"/>
          <w:szCs w:val="24"/>
          <w:lang w:val="cs-CZ" w:eastAsia="de-AT"/>
        </w:rPr>
        <w:t xml:space="preserve"> odměny</w:t>
      </w:r>
      <w:r w:rsidR="00D37EE4" w:rsidRPr="0055589B">
        <w:rPr>
          <w:rFonts w:ascii="Arial" w:hAnsi="Arial" w:cs="Arial"/>
          <w:color w:val="000000" w:themeColor="text1"/>
          <w:szCs w:val="24"/>
          <w:lang w:val="cs-CZ" w:eastAsia="de-AT"/>
        </w:rPr>
        <w:t xml:space="preserve"> pracovníků podstupujících rizika </w:t>
      </w:r>
      <w:r w:rsidRPr="0055589B">
        <w:rPr>
          <w:rFonts w:ascii="Arial" w:hAnsi="Arial" w:cs="Arial"/>
          <w:color w:val="000000" w:themeColor="text1"/>
          <w:szCs w:val="24"/>
          <w:lang w:val="cs-CZ" w:eastAsia="de-AT"/>
        </w:rPr>
        <w:t xml:space="preserve">se řídí zásadami stanovenými v této </w:t>
      </w:r>
      <w:r w:rsidR="009A7A57" w:rsidRPr="0055589B">
        <w:rPr>
          <w:rFonts w:ascii="Arial" w:hAnsi="Arial" w:cs="Arial"/>
          <w:color w:val="000000" w:themeColor="text1"/>
          <w:szCs w:val="24"/>
          <w:lang w:val="cs-CZ" w:eastAsia="de-AT"/>
        </w:rPr>
        <w:t>P</w:t>
      </w:r>
      <w:r w:rsidRPr="0055589B">
        <w:rPr>
          <w:rFonts w:ascii="Arial" w:hAnsi="Arial" w:cs="Arial"/>
          <w:color w:val="000000" w:themeColor="text1"/>
          <w:szCs w:val="24"/>
          <w:lang w:val="cs-CZ" w:eastAsia="de-AT"/>
        </w:rPr>
        <w:t>olitice odměňování</w:t>
      </w:r>
      <w:r w:rsidR="00443B6D" w:rsidRPr="0055589B">
        <w:rPr>
          <w:rFonts w:ascii="Arial" w:hAnsi="Arial" w:cs="Arial"/>
          <w:color w:val="000000" w:themeColor="text1"/>
          <w:szCs w:val="24"/>
          <w:lang w:val="cs-CZ" w:eastAsia="de-AT"/>
        </w:rPr>
        <w:t>. Z</w:t>
      </w:r>
      <w:r w:rsidRPr="0055589B">
        <w:rPr>
          <w:rFonts w:ascii="Arial" w:hAnsi="Arial" w:cs="Arial"/>
          <w:color w:val="000000" w:themeColor="text1"/>
          <w:szCs w:val="24"/>
          <w:lang w:val="cs-CZ" w:eastAsia="de-AT"/>
        </w:rPr>
        <w:t xml:space="preserve">ahrnuje </w:t>
      </w:r>
      <w:r w:rsidR="00634898" w:rsidRPr="0055589B">
        <w:rPr>
          <w:rFonts w:ascii="Arial" w:hAnsi="Arial" w:cs="Arial"/>
          <w:color w:val="000000" w:themeColor="text1"/>
          <w:szCs w:val="24"/>
          <w:lang w:val="cs-CZ" w:eastAsia="de-AT"/>
        </w:rPr>
        <w:t xml:space="preserve">rovněž </w:t>
      </w:r>
      <w:r w:rsidRPr="0055589B">
        <w:rPr>
          <w:rFonts w:ascii="Arial" w:hAnsi="Arial" w:cs="Arial"/>
          <w:color w:val="000000" w:themeColor="text1"/>
          <w:szCs w:val="24"/>
          <w:lang w:val="cs-CZ" w:eastAsia="de-AT"/>
        </w:rPr>
        <w:t xml:space="preserve">specifika </w:t>
      </w:r>
      <w:r w:rsidR="00634898" w:rsidRPr="0055589B">
        <w:rPr>
          <w:rFonts w:ascii="Arial" w:hAnsi="Arial" w:cs="Arial"/>
          <w:color w:val="000000" w:themeColor="text1"/>
          <w:szCs w:val="24"/>
          <w:lang w:val="cs-CZ" w:eastAsia="de-AT"/>
        </w:rPr>
        <w:t xml:space="preserve">vztahující se na </w:t>
      </w:r>
      <w:r w:rsidRPr="0055589B">
        <w:rPr>
          <w:rFonts w:ascii="Arial" w:hAnsi="Arial" w:cs="Arial"/>
          <w:color w:val="000000" w:themeColor="text1"/>
          <w:szCs w:val="24"/>
          <w:lang w:val="cs-CZ" w:eastAsia="de-AT"/>
        </w:rPr>
        <w:t xml:space="preserve">investiční správcovské společnosti. Úpravy výpočtu </w:t>
      </w:r>
      <w:r w:rsidR="00DA52FA" w:rsidRPr="0055589B">
        <w:rPr>
          <w:rFonts w:ascii="Arial" w:hAnsi="Arial" w:cs="Arial"/>
          <w:color w:val="000000" w:themeColor="text1"/>
          <w:szCs w:val="24"/>
          <w:lang w:val="cs-CZ" w:eastAsia="de-AT"/>
        </w:rPr>
        <w:t>pohybliv</w:t>
      </w:r>
      <w:r w:rsidRPr="0055589B">
        <w:rPr>
          <w:rFonts w:ascii="Arial" w:hAnsi="Arial" w:cs="Arial"/>
          <w:color w:val="000000" w:themeColor="text1"/>
          <w:szCs w:val="24"/>
          <w:lang w:val="cs-CZ" w:eastAsia="de-AT"/>
        </w:rPr>
        <w:t xml:space="preserve">é </w:t>
      </w:r>
      <w:r w:rsidR="00EE64EB" w:rsidRPr="0055589B">
        <w:rPr>
          <w:rFonts w:ascii="Arial" w:hAnsi="Arial" w:cs="Arial"/>
          <w:color w:val="000000" w:themeColor="text1"/>
          <w:szCs w:val="24"/>
          <w:lang w:val="cs-CZ" w:eastAsia="de-AT"/>
        </w:rPr>
        <w:t xml:space="preserve">složky </w:t>
      </w:r>
      <w:r w:rsidRPr="0055589B">
        <w:rPr>
          <w:rFonts w:ascii="Arial" w:hAnsi="Arial" w:cs="Arial"/>
          <w:color w:val="000000" w:themeColor="text1"/>
          <w:szCs w:val="24"/>
          <w:lang w:val="cs-CZ" w:eastAsia="de-AT"/>
        </w:rPr>
        <w:t>mzdy se týkají především m</w:t>
      </w:r>
      <w:r w:rsidR="00EE64EB" w:rsidRPr="0055589B">
        <w:rPr>
          <w:rFonts w:ascii="Arial" w:hAnsi="Arial" w:cs="Arial"/>
          <w:color w:val="000000" w:themeColor="text1"/>
          <w:szCs w:val="24"/>
          <w:lang w:val="cs-CZ" w:eastAsia="de-AT"/>
        </w:rPr>
        <w:t>ěř</w:t>
      </w:r>
      <w:r w:rsidR="00E12A0D" w:rsidRPr="0055589B">
        <w:rPr>
          <w:rFonts w:ascii="Arial" w:hAnsi="Arial" w:cs="Arial"/>
          <w:color w:val="000000" w:themeColor="text1"/>
          <w:szCs w:val="24"/>
          <w:lang w:val="cs-CZ" w:eastAsia="de-AT"/>
        </w:rPr>
        <w:t xml:space="preserve">ítek výkonnosti zohledňujících rizika, která jsou stanovena níže a která umožňují nastavit </w:t>
      </w:r>
      <w:r w:rsidRPr="0055589B">
        <w:rPr>
          <w:rFonts w:ascii="Arial" w:hAnsi="Arial" w:cs="Arial"/>
          <w:color w:val="000000" w:themeColor="text1"/>
          <w:szCs w:val="24"/>
          <w:lang w:val="cs-CZ" w:eastAsia="de-AT"/>
        </w:rPr>
        <w:t xml:space="preserve">odměňování správců fondů </w:t>
      </w:r>
      <w:r w:rsidR="00E12A0D" w:rsidRPr="0055589B">
        <w:rPr>
          <w:rFonts w:ascii="Arial" w:hAnsi="Arial" w:cs="Arial"/>
          <w:color w:val="000000" w:themeColor="text1"/>
          <w:szCs w:val="24"/>
          <w:lang w:val="cs-CZ" w:eastAsia="de-AT"/>
        </w:rPr>
        <w:t xml:space="preserve">podle </w:t>
      </w:r>
      <w:r w:rsidRPr="0055589B">
        <w:rPr>
          <w:rFonts w:ascii="Arial" w:hAnsi="Arial" w:cs="Arial"/>
          <w:color w:val="000000" w:themeColor="text1"/>
          <w:szCs w:val="24"/>
          <w:lang w:val="cs-CZ" w:eastAsia="de-AT"/>
        </w:rPr>
        <w:t>rizikový</w:t>
      </w:r>
      <w:r w:rsidR="00E12A0D" w:rsidRPr="0055589B">
        <w:rPr>
          <w:rFonts w:ascii="Arial" w:hAnsi="Arial" w:cs="Arial"/>
          <w:color w:val="000000" w:themeColor="text1"/>
          <w:szCs w:val="24"/>
          <w:lang w:val="cs-CZ" w:eastAsia="de-AT"/>
        </w:rPr>
        <w:t>ch</w:t>
      </w:r>
      <w:r w:rsidRPr="0055589B">
        <w:rPr>
          <w:rFonts w:ascii="Arial" w:hAnsi="Arial" w:cs="Arial"/>
          <w:color w:val="000000" w:themeColor="text1"/>
          <w:szCs w:val="24"/>
          <w:lang w:val="cs-CZ" w:eastAsia="de-AT"/>
        </w:rPr>
        <w:t xml:space="preserve"> profil</w:t>
      </w:r>
      <w:r w:rsidR="00E12A0D" w:rsidRPr="0055589B">
        <w:rPr>
          <w:rFonts w:ascii="Arial" w:hAnsi="Arial" w:cs="Arial"/>
          <w:color w:val="000000" w:themeColor="text1"/>
          <w:szCs w:val="24"/>
          <w:lang w:val="cs-CZ" w:eastAsia="de-AT"/>
        </w:rPr>
        <w:t>ů</w:t>
      </w:r>
      <w:r w:rsidRPr="0055589B">
        <w:rPr>
          <w:rFonts w:ascii="Arial" w:hAnsi="Arial" w:cs="Arial"/>
          <w:color w:val="000000" w:themeColor="text1"/>
          <w:szCs w:val="24"/>
          <w:lang w:val="cs-CZ" w:eastAsia="de-AT"/>
        </w:rPr>
        <w:t xml:space="preserve"> a investiční strategi</w:t>
      </w:r>
      <w:r w:rsidR="00E12A0D" w:rsidRPr="0055589B">
        <w:rPr>
          <w:rFonts w:ascii="Arial" w:hAnsi="Arial" w:cs="Arial"/>
          <w:color w:val="000000" w:themeColor="text1"/>
          <w:szCs w:val="24"/>
          <w:lang w:val="cs-CZ" w:eastAsia="de-AT"/>
        </w:rPr>
        <w:t>e</w:t>
      </w:r>
      <w:r w:rsidRPr="0055589B">
        <w:rPr>
          <w:rFonts w:ascii="Arial" w:hAnsi="Arial" w:cs="Arial"/>
          <w:color w:val="000000" w:themeColor="text1"/>
          <w:szCs w:val="24"/>
          <w:lang w:val="cs-CZ" w:eastAsia="de-AT"/>
        </w:rPr>
        <w:t xml:space="preserve"> investiční</w:t>
      </w:r>
      <w:r w:rsidR="00E12A0D" w:rsidRPr="0055589B">
        <w:rPr>
          <w:rFonts w:ascii="Arial" w:hAnsi="Arial" w:cs="Arial"/>
          <w:color w:val="000000" w:themeColor="text1"/>
          <w:szCs w:val="24"/>
          <w:lang w:val="cs-CZ" w:eastAsia="de-AT"/>
        </w:rPr>
        <w:t>ch</w:t>
      </w:r>
      <w:r w:rsidRPr="0055589B">
        <w:rPr>
          <w:rFonts w:ascii="Arial" w:hAnsi="Arial" w:cs="Arial"/>
          <w:color w:val="000000" w:themeColor="text1"/>
          <w:szCs w:val="24"/>
          <w:lang w:val="cs-CZ" w:eastAsia="de-AT"/>
        </w:rPr>
        <w:t xml:space="preserve"> fondů, které spravují.</w:t>
      </w:r>
    </w:p>
    <w:p w14:paraId="2BE59097" w14:textId="7ED15BCC"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Souvislost mezi </w:t>
      </w:r>
      <w:r w:rsidR="00E12A0D" w:rsidRPr="0055589B">
        <w:rPr>
          <w:rFonts w:ascii="Arial" w:hAnsi="Arial" w:cs="Arial"/>
          <w:color w:val="000000" w:themeColor="text1"/>
          <w:szCs w:val="24"/>
          <w:lang w:val="cs-CZ" w:eastAsia="de-AT"/>
        </w:rPr>
        <w:t>výkonností i</w:t>
      </w:r>
      <w:r w:rsidRPr="0055589B">
        <w:rPr>
          <w:rFonts w:ascii="Arial" w:hAnsi="Arial" w:cs="Arial"/>
          <w:color w:val="000000" w:themeColor="text1"/>
          <w:szCs w:val="24"/>
          <w:lang w:val="cs-CZ" w:eastAsia="de-AT"/>
        </w:rPr>
        <w:t xml:space="preserve">nvestičního fondu spravovaného určitým správcem fondu a jeho </w:t>
      </w:r>
      <w:r w:rsidR="00DA52FA" w:rsidRPr="0055589B">
        <w:rPr>
          <w:rFonts w:ascii="Arial" w:hAnsi="Arial" w:cs="Arial"/>
          <w:color w:val="000000" w:themeColor="text1"/>
          <w:szCs w:val="24"/>
          <w:lang w:val="cs-CZ" w:eastAsia="de-AT"/>
        </w:rPr>
        <w:t>pohybliv</w:t>
      </w:r>
      <w:r w:rsidRPr="0055589B">
        <w:rPr>
          <w:rFonts w:ascii="Arial" w:hAnsi="Arial" w:cs="Arial"/>
          <w:color w:val="000000" w:themeColor="text1"/>
          <w:szCs w:val="24"/>
          <w:lang w:val="cs-CZ" w:eastAsia="de-AT"/>
        </w:rPr>
        <w:t xml:space="preserve">ou odměnou </w:t>
      </w:r>
      <w:r w:rsidR="00CB34F3" w:rsidRPr="0055589B">
        <w:rPr>
          <w:rFonts w:ascii="Arial" w:hAnsi="Arial" w:cs="Arial"/>
          <w:color w:val="000000" w:themeColor="text1"/>
          <w:szCs w:val="24"/>
          <w:lang w:val="cs-CZ" w:eastAsia="de-AT"/>
        </w:rPr>
        <w:t xml:space="preserve">se odráží v cílech </w:t>
      </w:r>
      <w:r w:rsidRPr="0055589B">
        <w:rPr>
          <w:rFonts w:ascii="Arial" w:hAnsi="Arial" w:cs="Arial"/>
          <w:color w:val="000000" w:themeColor="text1"/>
          <w:szCs w:val="24"/>
          <w:lang w:val="cs-CZ" w:eastAsia="de-AT"/>
        </w:rPr>
        <w:t xml:space="preserve">stanovených v každoročních </w:t>
      </w:r>
      <w:r w:rsidR="00CB34F3" w:rsidRPr="0055589B">
        <w:rPr>
          <w:rFonts w:ascii="Arial" w:hAnsi="Arial" w:cs="Arial"/>
          <w:color w:val="000000" w:themeColor="text1"/>
          <w:szCs w:val="24"/>
          <w:lang w:val="cs-CZ" w:eastAsia="de-AT"/>
        </w:rPr>
        <w:t xml:space="preserve">hodnoticích </w:t>
      </w:r>
      <w:r w:rsidRPr="0055589B">
        <w:rPr>
          <w:rFonts w:ascii="Arial" w:hAnsi="Arial" w:cs="Arial"/>
          <w:color w:val="000000" w:themeColor="text1"/>
          <w:szCs w:val="24"/>
          <w:lang w:val="cs-CZ" w:eastAsia="de-AT"/>
        </w:rPr>
        <w:t>pohovorech s příslušným</w:t>
      </w:r>
      <w:r w:rsidR="00CB34F3" w:rsidRPr="0055589B">
        <w:rPr>
          <w:rFonts w:ascii="Arial" w:hAnsi="Arial" w:cs="Arial"/>
          <w:color w:val="000000" w:themeColor="text1"/>
          <w:szCs w:val="24"/>
          <w:lang w:val="cs-CZ" w:eastAsia="de-AT"/>
        </w:rPr>
        <w:t>i</w:t>
      </w:r>
      <w:r w:rsidRPr="0055589B">
        <w:rPr>
          <w:rFonts w:ascii="Arial" w:hAnsi="Arial" w:cs="Arial"/>
          <w:color w:val="000000" w:themeColor="text1"/>
          <w:szCs w:val="24"/>
          <w:lang w:val="cs-CZ" w:eastAsia="de-AT"/>
        </w:rPr>
        <w:t xml:space="preserve"> zaměstnanc</w:t>
      </w:r>
      <w:r w:rsidR="00CB34F3" w:rsidRPr="0055589B">
        <w:rPr>
          <w:rFonts w:ascii="Arial" w:hAnsi="Arial" w:cs="Arial"/>
          <w:color w:val="000000" w:themeColor="text1"/>
          <w:szCs w:val="24"/>
          <w:lang w:val="cs-CZ" w:eastAsia="de-AT"/>
        </w:rPr>
        <w:t>i</w:t>
      </w:r>
      <w:r w:rsidRPr="0055589B">
        <w:rPr>
          <w:rFonts w:ascii="Arial" w:hAnsi="Arial" w:cs="Arial"/>
          <w:color w:val="000000" w:themeColor="text1"/>
          <w:szCs w:val="24"/>
          <w:lang w:val="cs-CZ" w:eastAsia="de-AT"/>
        </w:rPr>
        <w:t xml:space="preserve"> a </w:t>
      </w:r>
      <w:r w:rsidR="00CB34F3" w:rsidRPr="0055589B">
        <w:rPr>
          <w:rFonts w:ascii="Arial" w:hAnsi="Arial" w:cs="Arial"/>
          <w:color w:val="000000" w:themeColor="text1"/>
          <w:szCs w:val="24"/>
          <w:lang w:val="cs-CZ" w:eastAsia="de-AT"/>
        </w:rPr>
        <w:t xml:space="preserve">je sladěna s požadavky daného </w:t>
      </w:r>
      <w:r w:rsidRPr="0055589B">
        <w:rPr>
          <w:rFonts w:ascii="Arial" w:hAnsi="Arial" w:cs="Arial"/>
          <w:color w:val="000000" w:themeColor="text1"/>
          <w:szCs w:val="24"/>
          <w:lang w:val="cs-CZ" w:eastAsia="de-AT"/>
        </w:rPr>
        <w:t>investičního fondu. Hodnocení výkonnosti správc</w:t>
      </w:r>
      <w:r w:rsidR="00CB34F3" w:rsidRPr="0055589B">
        <w:rPr>
          <w:rFonts w:ascii="Arial" w:hAnsi="Arial" w:cs="Arial"/>
          <w:color w:val="000000" w:themeColor="text1"/>
          <w:szCs w:val="24"/>
          <w:lang w:val="cs-CZ" w:eastAsia="de-AT"/>
        </w:rPr>
        <w:t>ů</w:t>
      </w:r>
      <w:r w:rsidRPr="0055589B">
        <w:rPr>
          <w:rFonts w:ascii="Arial" w:hAnsi="Arial" w:cs="Arial"/>
          <w:color w:val="000000" w:themeColor="text1"/>
          <w:szCs w:val="24"/>
          <w:lang w:val="cs-CZ" w:eastAsia="de-AT"/>
        </w:rPr>
        <w:t xml:space="preserve"> fondů </w:t>
      </w:r>
      <w:r w:rsidR="00CB34F3" w:rsidRPr="0055589B">
        <w:rPr>
          <w:rFonts w:ascii="Arial" w:hAnsi="Arial" w:cs="Arial"/>
          <w:color w:val="000000" w:themeColor="text1"/>
          <w:szCs w:val="24"/>
          <w:lang w:val="cs-CZ" w:eastAsia="de-AT"/>
        </w:rPr>
        <w:t>rovněž</w:t>
      </w:r>
      <w:r w:rsidRPr="0055589B">
        <w:rPr>
          <w:rFonts w:ascii="Arial" w:hAnsi="Arial" w:cs="Arial"/>
          <w:color w:val="000000" w:themeColor="text1"/>
          <w:szCs w:val="24"/>
          <w:lang w:val="cs-CZ" w:eastAsia="de-AT"/>
        </w:rPr>
        <w:t xml:space="preserve"> zohledňuje životní</w:t>
      </w:r>
      <w:r w:rsidR="00CB34F3" w:rsidRPr="0055589B">
        <w:rPr>
          <w:rFonts w:ascii="Cambria Math" w:hAnsi="Cambria Math" w:cs="Cambria Math"/>
          <w:color w:val="000000" w:themeColor="text1"/>
          <w:szCs w:val="24"/>
          <w:lang w:val="cs-CZ" w:eastAsia="de-AT"/>
        </w:rPr>
        <w:t xml:space="preserve"> </w:t>
      </w:r>
      <w:r w:rsidRPr="0055589B">
        <w:rPr>
          <w:rFonts w:ascii="Arial" w:hAnsi="Arial" w:cs="Arial"/>
          <w:color w:val="000000" w:themeColor="text1"/>
          <w:szCs w:val="24"/>
          <w:lang w:val="cs-CZ" w:eastAsia="de-AT"/>
        </w:rPr>
        <w:t>cykl</w:t>
      </w:r>
      <w:r w:rsidR="00CB34F3" w:rsidRPr="0055589B">
        <w:rPr>
          <w:rFonts w:ascii="Arial" w:hAnsi="Arial" w:cs="Arial"/>
          <w:color w:val="000000" w:themeColor="text1"/>
          <w:szCs w:val="24"/>
          <w:lang w:val="cs-CZ" w:eastAsia="de-AT"/>
        </w:rPr>
        <w:t xml:space="preserve">us </w:t>
      </w:r>
      <w:r w:rsidRPr="0055589B">
        <w:rPr>
          <w:rFonts w:ascii="Arial" w:hAnsi="Arial" w:cs="Arial"/>
          <w:color w:val="000000" w:themeColor="text1"/>
          <w:szCs w:val="24"/>
          <w:lang w:val="cs-CZ" w:eastAsia="de-AT"/>
        </w:rPr>
        <w:t>spravovaného AIF/</w:t>
      </w:r>
      <w:r w:rsidR="00C05D6C" w:rsidRPr="0055589B">
        <w:rPr>
          <w:rFonts w:ascii="Arial" w:hAnsi="Arial" w:cs="Arial"/>
          <w:color w:val="000000" w:themeColor="text1"/>
          <w:szCs w:val="24"/>
          <w:lang w:val="cs-CZ" w:eastAsia="de-AT"/>
        </w:rPr>
        <w:t>SKIPCP</w:t>
      </w:r>
      <w:r w:rsidRPr="0055589B">
        <w:rPr>
          <w:rFonts w:ascii="Arial" w:hAnsi="Arial" w:cs="Arial"/>
          <w:color w:val="000000" w:themeColor="text1"/>
          <w:szCs w:val="24"/>
          <w:lang w:val="cs-CZ" w:eastAsia="de-AT"/>
        </w:rPr>
        <w:t>, a představuje</w:t>
      </w:r>
      <w:r w:rsidR="00CB34F3" w:rsidRPr="0055589B">
        <w:rPr>
          <w:rFonts w:ascii="Arial" w:hAnsi="Arial" w:cs="Arial"/>
          <w:color w:val="000000" w:themeColor="text1"/>
          <w:szCs w:val="24"/>
          <w:lang w:val="cs-CZ" w:eastAsia="de-AT"/>
        </w:rPr>
        <w:t xml:space="preserve"> tak dlouhodobé </w:t>
      </w:r>
      <w:r w:rsidRPr="0055589B">
        <w:rPr>
          <w:rFonts w:ascii="Arial" w:hAnsi="Arial" w:cs="Arial"/>
          <w:color w:val="000000" w:themeColor="text1"/>
          <w:szCs w:val="24"/>
          <w:lang w:val="cs-CZ" w:eastAsia="de-AT"/>
        </w:rPr>
        <w:t xml:space="preserve">hodnocení výkonnosti, </w:t>
      </w:r>
      <w:r w:rsidR="00CB34F3" w:rsidRPr="0055589B">
        <w:rPr>
          <w:rFonts w:ascii="Arial" w:hAnsi="Arial" w:cs="Arial"/>
          <w:color w:val="000000" w:themeColor="text1"/>
          <w:szCs w:val="24"/>
          <w:lang w:val="cs-CZ" w:eastAsia="de-AT"/>
        </w:rPr>
        <w:t xml:space="preserve">které je </w:t>
      </w:r>
      <w:r w:rsidRPr="0055589B">
        <w:rPr>
          <w:rFonts w:ascii="Arial" w:hAnsi="Arial" w:cs="Arial"/>
          <w:color w:val="000000" w:themeColor="text1"/>
          <w:szCs w:val="24"/>
          <w:lang w:val="cs-CZ" w:eastAsia="de-AT"/>
        </w:rPr>
        <w:t>podrobně popsáno níže.</w:t>
      </w:r>
    </w:p>
    <w:p w14:paraId="20E8C60D" w14:textId="04150A54" w:rsidR="00224561" w:rsidRPr="0055589B" w:rsidRDefault="001D161A" w:rsidP="006033BF">
      <w:pPr>
        <w:pStyle w:val="Nadpis2"/>
        <w:rPr>
          <w:rFonts w:eastAsia="Times New Roman"/>
          <w:color w:val="000000" w:themeColor="text1"/>
          <w:lang w:val="cs-CZ"/>
        </w:rPr>
      </w:pPr>
      <w:bookmarkStart w:id="54" w:name="_Toc108689221"/>
      <w:r w:rsidRPr="0055589B">
        <w:rPr>
          <w:color w:val="000000" w:themeColor="text1"/>
          <w:lang w:val="cs-CZ"/>
        </w:rPr>
        <w:t>D</w:t>
      </w:r>
      <w:r w:rsidR="007312DF" w:rsidRPr="0055589B">
        <w:rPr>
          <w:color w:val="000000" w:themeColor="text1"/>
          <w:lang w:val="cs-CZ"/>
        </w:rPr>
        <w:t>oba</w:t>
      </w:r>
      <w:r w:rsidRPr="0055589B">
        <w:rPr>
          <w:color w:val="000000" w:themeColor="text1"/>
          <w:lang w:val="cs-CZ"/>
        </w:rPr>
        <w:t xml:space="preserve"> o</w:t>
      </w:r>
      <w:r w:rsidR="00C00C05" w:rsidRPr="0055589B">
        <w:rPr>
          <w:color w:val="000000" w:themeColor="text1"/>
          <w:lang w:val="cs-CZ"/>
        </w:rPr>
        <w:t>dklad</w:t>
      </w:r>
      <w:r w:rsidRPr="0055589B">
        <w:rPr>
          <w:color w:val="000000" w:themeColor="text1"/>
          <w:lang w:val="cs-CZ"/>
        </w:rPr>
        <w:t>u</w:t>
      </w:r>
      <w:bookmarkEnd w:id="54"/>
      <w:r w:rsidR="00C00C05" w:rsidRPr="0055589B">
        <w:rPr>
          <w:color w:val="000000" w:themeColor="text1"/>
          <w:lang w:val="cs-CZ"/>
        </w:rPr>
        <w:t xml:space="preserve"> </w:t>
      </w:r>
    </w:p>
    <w:p w14:paraId="1D02A85B" w14:textId="3F8BC508" w:rsidR="00224561" w:rsidRPr="0055589B" w:rsidRDefault="004405EC"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Výplata </w:t>
      </w:r>
      <w:r w:rsidR="00224561" w:rsidRPr="0055589B">
        <w:rPr>
          <w:rFonts w:ascii="Arial" w:hAnsi="Arial" w:cs="Arial"/>
          <w:color w:val="000000" w:themeColor="text1"/>
          <w:szCs w:val="24"/>
          <w:lang w:val="cs-CZ" w:eastAsia="de-AT"/>
        </w:rPr>
        <w:t>40</w:t>
      </w:r>
      <w:r w:rsidR="00061FEC" w:rsidRPr="0055589B">
        <w:rPr>
          <w:rFonts w:ascii="Arial" w:hAnsi="Arial" w:cs="Arial"/>
          <w:color w:val="000000" w:themeColor="text1"/>
          <w:szCs w:val="24"/>
          <w:lang w:val="cs-CZ" w:eastAsia="de-AT"/>
        </w:rPr>
        <w:t xml:space="preserve"> </w:t>
      </w:r>
      <w:r w:rsidR="00224561" w:rsidRPr="0055589B">
        <w:rPr>
          <w:rFonts w:ascii="Arial" w:hAnsi="Arial" w:cs="Arial"/>
          <w:color w:val="000000" w:themeColor="text1"/>
          <w:szCs w:val="24"/>
          <w:lang w:val="cs-CZ" w:eastAsia="de-AT"/>
        </w:rPr>
        <w:t>% pohyblivé složky odměny je odložen</w:t>
      </w:r>
      <w:r w:rsidRPr="0055589B">
        <w:rPr>
          <w:rFonts w:ascii="Arial" w:hAnsi="Arial" w:cs="Arial"/>
          <w:color w:val="000000" w:themeColor="text1"/>
          <w:szCs w:val="24"/>
          <w:lang w:val="cs-CZ" w:eastAsia="de-AT"/>
        </w:rPr>
        <w:t xml:space="preserve">a a probíhá ve formě </w:t>
      </w:r>
      <w:r w:rsidR="00224561" w:rsidRPr="0055589B">
        <w:rPr>
          <w:rFonts w:ascii="Arial" w:hAnsi="Arial" w:cs="Arial"/>
          <w:color w:val="000000" w:themeColor="text1"/>
          <w:szCs w:val="24"/>
          <w:lang w:val="cs-CZ" w:eastAsia="de-AT"/>
        </w:rPr>
        <w:t>stejn</w:t>
      </w:r>
      <w:r w:rsidRPr="0055589B">
        <w:rPr>
          <w:rFonts w:ascii="Arial" w:hAnsi="Arial" w:cs="Arial"/>
          <w:color w:val="000000" w:themeColor="text1"/>
          <w:szCs w:val="24"/>
          <w:lang w:val="cs-CZ" w:eastAsia="de-AT"/>
        </w:rPr>
        <w:t xml:space="preserve">ě vysokých splátek vyplácených </w:t>
      </w:r>
      <w:r w:rsidR="00224561" w:rsidRPr="0055589B">
        <w:rPr>
          <w:rFonts w:ascii="Arial" w:hAnsi="Arial" w:cs="Arial"/>
          <w:color w:val="000000" w:themeColor="text1"/>
          <w:szCs w:val="24"/>
          <w:lang w:val="cs-CZ" w:eastAsia="de-AT"/>
        </w:rPr>
        <w:t>po dobu 3 let. 60</w:t>
      </w:r>
      <w:r w:rsidRPr="0055589B">
        <w:rPr>
          <w:rFonts w:ascii="Arial" w:hAnsi="Arial" w:cs="Arial"/>
          <w:color w:val="000000" w:themeColor="text1"/>
          <w:szCs w:val="24"/>
          <w:lang w:val="cs-CZ" w:eastAsia="de-AT"/>
        </w:rPr>
        <w:t> </w:t>
      </w:r>
      <w:r w:rsidR="00224561" w:rsidRPr="0055589B">
        <w:rPr>
          <w:rFonts w:ascii="Arial" w:hAnsi="Arial" w:cs="Arial"/>
          <w:color w:val="000000" w:themeColor="text1"/>
          <w:szCs w:val="24"/>
          <w:lang w:val="cs-CZ" w:eastAsia="de-AT"/>
        </w:rPr>
        <w:t xml:space="preserve">% pohyblivé odměny </w:t>
      </w:r>
      <w:r w:rsidRPr="0055589B">
        <w:rPr>
          <w:rFonts w:ascii="Arial" w:hAnsi="Arial" w:cs="Arial"/>
          <w:color w:val="000000" w:themeColor="text1"/>
          <w:szCs w:val="24"/>
          <w:lang w:val="cs-CZ" w:eastAsia="de-AT"/>
        </w:rPr>
        <w:t xml:space="preserve">se proto </w:t>
      </w:r>
      <w:r w:rsidR="00224561" w:rsidRPr="0055589B">
        <w:rPr>
          <w:rFonts w:ascii="Arial" w:hAnsi="Arial" w:cs="Arial"/>
          <w:color w:val="000000" w:themeColor="text1"/>
          <w:szCs w:val="24"/>
          <w:lang w:val="cs-CZ" w:eastAsia="de-AT"/>
        </w:rPr>
        <w:t xml:space="preserve">vyplácí v roce následujícím po </w:t>
      </w:r>
      <w:r w:rsidRPr="0055589B">
        <w:rPr>
          <w:rFonts w:ascii="Arial" w:hAnsi="Arial" w:cs="Arial"/>
          <w:color w:val="000000" w:themeColor="text1"/>
          <w:szCs w:val="24"/>
          <w:lang w:val="cs-CZ" w:eastAsia="de-AT"/>
        </w:rPr>
        <w:t xml:space="preserve">hodnoceném </w:t>
      </w:r>
      <w:r w:rsidR="00224561" w:rsidRPr="0055589B">
        <w:rPr>
          <w:rFonts w:ascii="Arial" w:hAnsi="Arial" w:cs="Arial"/>
          <w:color w:val="000000" w:themeColor="text1"/>
          <w:szCs w:val="24"/>
          <w:lang w:val="cs-CZ" w:eastAsia="de-AT"/>
        </w:rPr>
        <w:t xml:space="preserve">období </w:t>
      </w:r>
      <w:r w:rsidRPr="0055589B">
        <w:rPr>
          <w:rFonts w:ascii="Arial" w:hAnsi="Arial" w:cs="Arial"/>
          <w:color w:val="000000" w:themeColor="text1"/>
          <w:szCs w:val="24"/>
          <w:lang w:val="cs-CZ" w:eastAsia="de-AT"/>
        </w:rPr>
        <w:t>ve formě p</w:t>
      </w:r>
      <w:r w:rsidR="00224561" w:rsidRPr="0055589B">
        <w:rPr>
          <w:rFonts w:ascii="Arial" w:hAnsi="Arial" w:cs="Arial"/>
          <w:color w:val="000000" w:themeColor="text1"/>
          <w:szCs w:val="24"/>
          <w:lang w:val="cs-CZ" w:eastAsia="de-AT"/>
        </w:rPr>
        <w:t xml:space="preserve">ředem </w:t>
      </w:r>
      <w:r w:rsidRPr="0055589B">
        <w:rPr>
          <w:rFonts w:ascii="Arial" w:hAnsi="Arial" w:cs="Arial"/>
          <w:color w:val="000000" w:themeColor="text1"/>
          <w:szCs w:val="24"/>
          <w:lang w:val="cs-CZ" w:eastAsia="de-AT"/>
        </w:rPr>
        <w:t xml:space="preserve">vyplácené </w:t>
      </w:r>
      <w:r w:rsidR="00224561" w:rsidRPr="0055589B">
        <w:rPr>
          <w:rFonts w:ascii="Arial" w:hAnsi="Arial" w:cs="Arial"/>
          <w:color w:val="000000" w:themeColor="text1"/>
          <w:szCs w:val="24"/>
          <w:lang w:val="cs-CZ" w:eastAsia="de-AT"/>
        </w:rPr>
        <w:t>částk</w:t>
      </w:r>
      <w:r w:rsidRPr="0055589B">
        <w:rPr>
          <w:rFonts w:ascii="Arial" w:hAnsi="Arial" w:cs="Arial"/>
          <w:color w:val="000000" w:themeColor="text1"/>
          <w:szCs w:val="24"/>
          <w:lang w:val="cs-CZ" w:eastAsia="de-AT"/>
        </w:rPr>
        <w:t>y</w:t>
      </w:r>
      <w:r w:rsidR="00224561" w:rsidRPr="0055589B">
        <w:rPr>
          <w:rFonts w:ascii="Arial" w:hAnsi="Arial" w:cs="Arial"/>
          <w:color w:val="000000" w:themeColor="text1"/>
          <w:szCs w:val="24"/>
          <w:lang w:val="cs-CZ" w:eastAsia="de-AT"/>
        </w:rPr>
        <w:t xml:space="preserve">, </w:t>
      </w:r>
      <w:r w:rsidR="007312DF" w:rsidRPr="0055589B">
        <w:rPr>
          <w:rFonts w:ascii="Arial" w:hAnsi="Arial" w:cs="Arial"/>
          <w:color w:val="000000" w:themeColor="text1"/>
          <w:szCs w:val="24"/>
          <w:lang w:val="cs-CZ" w:eastAsia="de-AT"/>
        </w:rPr>
        <w:t xml:space="preserve">kromě případů, kdy </w:t>
      </w:r>
      <w:r w:rsidR="00224561" w:rsidRPr="0055589B">
        <w:rPr>
          <w:rFonts w:ascii="Arial" w:hAnsi="Arial" w:cs="Arial"/>
          <w:color w:val="000000" w:themeColor="text1"/>
          <w:szCs w:val="24"/>
          <w:lang w:val="cs-CZ" w:eastAsia="de-AT"/>
        </w:rPr>
        <w:t>celkov</w:t>
      </w:r>
      <w:r w:rsidR="007312DF" w:rsidRPr="0055589B">
        <w:rPr>
          <w:rFonts w:ascii="Arial" w:hAnsi="Arial" w:cs="Arial"/>
          <w:color w:val="000000" w:themeColor="text1"/>
          <w:szCs w:val="24"/>
          <w:lang w:val="cs-CZ" w:eastAsia="de-AT"/>
        </w:rPr>
        <w:t>ý</w:t>
      </w:r>
      <w:r w:rsidR="00224561" w:rsidRPr="0055589B">
        <w:rPr>
          <w:rFonts w:ascii="Arial" w:hAnsi="Arial" w:cs="Arial"/>
          <w:color w:val="000000" w:themeColor="text1"/>
          <w:szCs w:val="24"/>
          <w:lang w:val="cs-CZ" w:eastAsia="de-AT"/>
        </w:rPr>
        <w:t xml:space="preserve"> bonu</w:t>
      </w:r>
      <w:r w:rsidR="007312DF" w:rsidRPr="0055589B">
        <w:rPr>
          <w:rFonts w:ascii="Arial" w:hAnsi="Arial" w:cs="Arial"/>
          <w:color w:val="000000" w:themeColor="text1"/>
          <w:szCs w:val="24"/>
          <w:lang w:val="cs-CZ" w:eastAsia="de-AT"/>
        </w:rPr>
        <w:t>s</w:t>
      </w:r>
      <w:r w:rsidR="00224561" w:rsidRPr="0055589B">
        <w:rPr>
          <w:rFonts w:ascii="Arial" w:hAnsi="Arial" w:cs="Arial"/>
          <w:color w:val="000000" w:themeColor="text1"/>
          <w:szCs w:val="24"/>
          <w:lang w:val="cs-CZ" w:eastAsia="de-AT"/>
        </w:rPr>
        <w:t xml:space="preserve"> přesahuje </w:t>
      </w:r>
      <w:r w:rsidR="007312DF" w:rsidRPr="0055589B">
        <w:rPr>
          <w:rFonts w:ascii="Arial" w:hAnsi="Arial" w:cs="Arial"/>
          <w:color w:val="000000" w:themeColor="text1"/>
          <w:szCs w:val="24"/>
          <w:lang w:val="cs-CZ" w:eastAsia="de-AT"/>
        </w:rPr>
        <w:t xml:space="preserve">částku </w:t>
      </w:r>
      <w:r w:rsidR="00224561" w:rsidRPr="0055589B">
        <w:rPr>
          <w:rFonts w:ascii="Arial" w:hAnsi="Arial" w:cs="Arial"/>
          <w:color w:val="000000" w:themeColor="text1"/>
          <w:szCs w:val="24"/>
          <w:lang w:val="cs-CZ" w:eastAsia="de-AT"/>
        </w:rPr>
        <w:t>150 000 EUR.</w:t>
      </w:r>
      <w:r w:rsidR="00224561" w:rsidRPr="0055589B">
        <w:rPr>
          <w:rFonts w:ascii="Arial" w:hAnsi="Arial" w:cs="Arial"/>
          <w:color w:val="000000" w:themeColor="text1"/>
          <w:szCs w:val="24"/>
          <w:vertAlign w:val="superscript"/>
          <w:lang w:val="cs-CZ" w:eastAsia="de-AT"/>
        </w:rPr>
        <w:footnoteReference w:id="4"/>
      </w:r>
      <w:r w:rsidR="00224561" w:rsidRPr="0055589B">
        <w:rPr>
          <w:rFonts w:ascii="Arial" w:hAnsi="Arial" w:cs="Arial"/>
          <w:color w:val="000000" w:themeColor="text1"/>
          <w:szCs w:val="24"/>
          <w:lang w:val="cs-CZ" w:eastAsia="de-AT"/>
        </w:rPr>
        <w:t xml:space="preserve"> V</w:t>
      </w:r>
      <w:r w:rsidR="007312DF" w:rsidRPr="0055589B">
        <w:rPr>
          <w:rFonts w:ascii="Arial" w:hAnsi="Arial" w:cs="Arial"/>
          <w:color w:val="000000" w:themeColor="text1"/>
          <w:szCs w:val="24"/>
          <w:lang w:val="cs-CZ" w:eastAsia="de-AT"/>
        </w:rPr>
        <w:t> </w:t>
      </w:r>
      <w:r w:rsidR="00224561" w:rsidRPr="0055589B">
        <w:rPr>
          <w:rFonts w:ascii="Arial" w:hAnsi="Arial" w:cs="Arial"/>
          <w:color w:val="000000" w:themeColor="text1"/>
          <w:szCs w:val="24"/>
          <w:lang w:val="cs-CZ" w:eastAsia="de-AT"/>
        </w:rPr>
        <w:t>t</w:t>
      </w:r>
      <w:r w:rsidR="007312DF" w:rsidRPr="0055589B">
        <w:rPr>
          <w:rFonts w:ascii="Arial" w:hAnsi="Arial" w:cs="Arial"/>
          <w:color w:val="000000" w:themeColor="text1"/>
          <w:szCs w:val="24"/>
          <w:lang w:val="cs-CZ" w:eastAsia="de-AT"/>
        </w:rPr>
        <w:t xml:space="preserve">akovém případě dochází k odkladu </w:t>
      </w:r>
      <w:r w:rsidR="00224561" w:rsidRPr="0055589B">
        <w:rPr>
          <w:rFonts w:ascii="Arial" w:hAnsi="Arial" w:cs="Arial"/>
          <w:color w:val="000000" w:themeColor="text1"/>
          <w:szCs w:val="24"/>
          <w:lang w:val="cs-CZ" w:eastAsia="de-AT"/>
        </w:rPr>
        <w:t>60</w:t>
      </w:r>
      <w:r w:rsidR="007312DF" w:rsidRPr="0055589B">
        <w:rPr>
          <w:rFonts w:ascii="Arial" w:hAnsi="Arial" w:cs="Arial"/>
          <w:color w:val="000000" w:themeColor="text1"/>
          <w:szCs w:val="24"/>
          <w:lang w:val="cs-CZ" w:eastAsia="de-AT"/>
        </w:rPr>
        <w:t> </w:t>
      </w:r>
      <w:r w:rsidR="00224561" w:rsidRPr="0055589B">
        <w:rPr>
          <w:rFonts w:ascii="Arial" w:hAnsi="Arial" w:cs="Arial"/>
          <w:color w:val="000000" w:themeColor="text1"/>
          <w:szCs w:val="24"/>
          <w:lang w:val="cs-CZ" w:eastAsia="de-AT"/>
        </w:rPr>
        <w:t>% pohyblivé složky odměny.</w:t>
      </w:r>
    </w:p>
    <w:p w14:paraId="0A01776A" w14:textId="13FFA116" w:rsidR="00224561" w:rsidRPr="0055589B" w:rsidRDefault="00224561" w:rsidP="007F006A">
      <w:pPr>
        <w:autoSpaceDE w:val="0"/>
        <w:autoSpaceDN w:val="0"/>
        <w:adjustRightInd w:val="0"/>
        <w:spacing w:after="0" w:line="240"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Před v</w:t>
      </w:r>
      <w:r w:rsidR="009830A9" w:rsidRPr="0055589B">
        <w:rPr>
          <w:rFonts w:ascii="Arial" w:hAnsi="Arial" w:cs="Arial"/>
          <w:color w:val="000000" w:themeColor="text1"/>
          <w:szCs w:val="24"/>
          <w:lang w:val="cs-CZ" w:eastAsia="de-AT"/>
        </w:rPr>
        <w:t xml:space="preserve">ýplatou </w:t>
      </w:r>
      <w:r w:rsidRPr="0055589B">
        <w:rPr>
          <w:rFonts w:ascii="Arial" w:hAnsi="Arial" w:cs="Arial"/>
          <w:color w:val="000000" w:themeColor="text1"/>
          <w:szCs w:val="24"/>
          <w:lang w:val="cs-CZ" w:eastAsia="de-AT"/>
        </w:rPr>
        <w:t>odložené části se provádí nové posouzení výkonnosti a v případě potřeby se provede úprava rizika</w:t>
      </w:r>
      <w:r w:rsidR="009830A9" w:rsidRPr="0055589B">
        <w:rPr>
          <w:rFonts w:ascii="Arial" w:hAnsi="Arial" w:cs="Arial"/>
          <w:color w:val="000000" w:themeColor="text1"/>
          <w:szCs w:val="24"/>
          <w:lang w:val="cs-CZ" w:eastAsia="de-AT"/>
        </w:rPr>
        <w:t xml:space="preserve"> s clem nastavit </w:t>
      </w:r>
      <w:r w:rsidR="00DA52FA" w:rsidRPr="0055589B">
        <w:rPr>
          <w:rFonts w:ascii="Arial" w:hAnsi="Arial" w:cs="Arial"/>
          <w:color w:val="000000" w:themeColor="text1"/>
          <w:szCs w:val="24"/>
          <w:lang w:val="cs-CZ" w:eastAsia="de-AT"/>
        </w:rPr>
        <w:t>pohybliv</w:t>
      </w:r>
      <w:r w:rsidR="009830A9" w:rsidRPr="0055589B">
        <w:rPr>
          <w:rFonts w:ascii="Arial" w:hAnsi="Arial" w:cs="Arial"/>
          <w:color w:val="000000" w:themeColor="text1"/>
          <w:szCs w:val="24"/>
          <w:lang w:val="cs-CZ" w:eastAsia="de-AT"/>
        </w:rPr>
        <w:t>ou</w:t>
      </w:r>
      <w:r w:rsidRPr="0055589B">
        <w:rPr>
          <w:rFonts w:ascii="Arial" w:hAnsi="Arial" w:cs="Arial"/>
          <w:color w:val="000000" w:themeColor="text1"/>
          <w:szCs w:val="24"/>
          <w:lang w:val="cs-CZ" w:eastAsia="de-AT"/>
        </w:rPr>
        <w:t xml:space="preserve"> odměn</w:t>
      </w:r>
      <w:r w:rsidR="009830A9" w:rsidRPr="0055589B">
        <w:rPr>
          <w:rFonts w:ascii="Arial" w:hAnsi="Arial" w:cs="Arial"/>
          <w:color w:val="000000" w:themeColor="text1"/>
          <w:szCs w:val="24"/>
          <w:lang w:val="cs-CZ" w:eastAsia="de-AT"/>
        </w:rPr>
        <w:t xml:space="preserve">u v souladu s riziky a zohlednit chyby v hodnocení výkonnosti a rizik, </w:t>
      </w:r>
      <w:r w:rsidRPr="0055589B">
        <w:rPr>
          <w:rFonts w:ascii="Arial" w:hAnsi="Arial" w:cs="Arial"/>
          <w:color w:val="000000" w:themeColor="text1"/>
          <w:szCs w:val="24"/>
          <w:lang w:val="cs-CZ" w:eastAsia="de-AT"/>
        </w:rPr>
        <w:t>kter</w:t>
      </w:r>
      <w:r w:rsidR="009830A9" w:rsidRPr="0055589B">
        <w:rPr>
          <w:rFonts w:ascii="Arial" w:hAnsi="Arial" w:cs="Arial"/>
          <w:color w:val="000000" w:themeColor="text1"/>
          <w:szCs w:val="24"/>
          <w:lang w:val="cs-CZ" w:eastAsia="de-AT"/>
        </w:rPr>
        <w:t>é</w:t>
      </w:r>
      <w:r w:rsidRPr="0055589B">
        <w:rPr>
          <w:rFonts w:ascii="Arial" w:hAnsi="Arial" w:cs="Arial"/>
          <w:color w:val="000000" w:themeColor="text1"/>
          <w:szCs w:val="24"/>
          <w:lang w:val="cs-CZ" w:eastAsia="de-AT"/>
        </w:rPr>
        <w:t xml:space="preserve"> se objevil</w:t>
      </w:r>
      <w:r w:rsidR="009830A9" w:rsidRPr="0055589B">
        <w:rPr>
          <w:rFonts w:ascii="Arial" w:hAnsi="Arial" w:cs="Arial"/>
          <w:color w:val="000000" w:themeColor="text1"/>
          <w:szCs w:val="24"/>
          <w:lang w:val="cs-CZ" w:eastAsia="de-AT"/>
        </w:rPr>
        <w:t>y</w:t>
      </w:r>
      <w:r w:rsidR="001E17B1" w:rsidRPr="0055589B">
        <w:rPr>
          <w:rFonts w:ascii="Arial" w:hAnsi="Arial" w:cs="Arial"/>
          <w:color w:val="000000" w:themeColor="text1"/>
          <w:szCs w:val="24"/>
          <w:lang w:val="cs-CZ" w:eastAsia="de-AT"/>
        </w:rPr>
        <w:t xml:space="preserve"> poté, co byla zaměstnancům přiznána </w:t>
      </w:r>
      <w:r w:rsidRPr="0055589B">
        <w:rPr>
          <w:rFonts w:ascii="Arial" w:hAnsi="Arial" w:cs="Arial"/>
          <w:color w:val="000000" w:themeColor="text1"/>
          <w:szCs w:val="24"/>
          <w:lang w:val="cs-CZ" w:eastAsia="de-AT"/>
        </w:rPr>
        <w:t>pohybliv</w:t>
      </w:r>
      <w:r w:rsidR="001E17B1" w:rsidRPr="0055589B">
        <w:rPr>
          <w:rFonts w:ascii="Arial" w:hAnsi="Arial" w:cs="Arial"/>
          <w:color w:val="000000" w:themeColor="text1"/>
          <w:szCs w:val="24"/>
          <w:lang w:val="cs-CZ" w:eastAsia="de-AT"/>
        </w:rPr>
        <w:t>á</w:t>
      </w:r>
      <w:r w:rsidRPr="0055589B">
        <w:rPr>
          <w:rFonts w:ascii="Arial" w:hAnsi="Arial" w:cs="Arial"/>
          <w:color w:val="000000" w:themeColor="text1"/>
          <w:szCs w:val="24"/>
          <w:lang w:val="cs-CZ" w:eastAsia="de-AT"/>
        </w:rPr>
        <w:t xml:space="preserve"> složk</w:t>
      </w:r>
      <w:r w:rsidR="001E17B1" w:rsidRPr="0055589B">
        <w:rPr>
          <w:rFonts w:ascii="Arial" w:hAnsi="Arial" w:cs="Arial"/>
          <w:color w:val="000000" w:themeColor="text1"/>
          <w:szCs w:val="24"/>
          <w:lang w:val="cs-CZ" w:eastAsia="de-AT"/>
        </w:rPr>
        <w:t>a</w:t>
      </w:r>
      <w:r w:rsidRPr="0055589B">
        <w:rPr>
          <w:rFonts w:ascii="Arial" w:hAnsi="Arial" w:cs="Arial"/>
          <w:color w:val="000000" w:themeColor="text1"/>
          <w:szCs w:val="24"/>
          <w:lang w:val="cs-CZ" w:eastAsia="de-AT"/>
        </w:rPr>
        <w:t xml:space="preserve"> odměn</w:t>
      </w:r>
      <w:r w:rsidR="001E17B1" w:rsidRPr="0055589B">
        <w:rPr>
          <w:rFonts w:ascii="Arial" w:hAnsi="Arial" w:cs="Arial"/>
          <w:color w:val="000000" w:themeColor="text1"/>
          <w:szCs w:val="24"/>
          <w:lang w:val="cs-CZ" w:eastAsia="de-AT"/>
        </w:rPr>
        <w:t>y</w:t>
      </w:r>
      <w:r w:rsidRPr="0055589B">
        <w:rPr>
          <w:rFonts w:ascii="Arial" w:hAnsi="Arial" w:cs="Arial"/>
          <w:color w:val="000000" w:themeColor="text1"/>
          <w:szCs w:val="24"/>
          <w:lang w:val="cs-CZ" w:eastAsia="de-AT"/>
        </w:rPr>
        <w:t xml:space="preserve">. </w:t>
      </w:r>
    </w:p>
    <w:p w14:paraId="754ED481" w14:textId="77777777"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p>
    <w:p w14:paraId="6C3B3F23" w14:textId="1C43C32A" w:rsidR="00224561" w:rsidRPr="0055589B" w:rsidRDefault="001E17B1" w:rsidP="006033BF">
      <w:pPr>
        <w:pStyle w:val="Nadpis2"/>
        <w:rPr>
          <w:rFonts w:eastAsia="Times New Roman"/>
          <w:color w:val="000000" w:themeColor="text1"/>
          <w:lang w:val="cs-CZ"/>
        </w:rPr>
      </w:pPr>
      <w:bookmarkStart w:id="55" w:name="_Toc108689222"/>
      <w:r w:rsidRPr="0055589B">
        <w:rPr>
          <w:color w:val="000000" w:themeColor="text1"/>
          <w:lang w:val="cs-CZ"/>
        </w:rPr>
        <w:t>Nepeněžité instrumenty</w:t>
      </w:r>
      <w:bookmarkEnd w:id="55"/>
      <w:r w:rsidRPr="0055589B">
        <w:rPr>
          <w:color w:val="000000" w:themeColor="text1"/>
          <w:lang w:val="cs-CZ"/>
        </w:rPr>
        <w:t xml:space="preserve"> </w:t>
      </w:r>
    </w:p>
    <w:p w14:paraId="37F21FAC" w14:textId="59CB875E"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50</w:t>
      </w:r>
      <w:r w:rsidR="001E17B1" w:rsidRPr="0055589B">
        <w:rPr>
          <w:rFonts w:ascii="Arial" w:hAnsi="Arial" w:cs="Arial"/>
          <w:color w:val="000000" w:themeColor="text1"/>
          <w:szCs w:val="24"/>
          <w:lang w:val="cs-CZ" w:eastAsia="de-AT"/>
        </w:rPr>
        <w:t> </w:t>
      </w:r>
      <w:r w:rsidRPr="0055589B">
        <w:rPr>
          <w:rFonts w:ascii="Arial" w:hAnsi="Arial" w:cs="Arial"/>
          <w:color w:val="000000" w:themeColor="text1"/>
          <w:szCs w:val="24"/>
          <w:lang w:val="cs-CZ" w:eastAsia="de-AT"/>
        </w:rPr>
        <w:t xml:space="preserve">% </w:t>
      </w:r>
      <w:r w:rsidR="001E17B1" w:rsidRPr="0055589B">
        <w:rPr>
          <w:rFonts w:ascii="Arial" w:hAnsi="Arial" w:cs="Arial"/>
          <w:color w:val="000000" w:themeColor="text1"/>
          <w:szCs w:val="24"/>
          <w:lang w:val="cs-CZ" w:eastAsia="de-AT"/>
        </w:rPr>
        <w:t xml:space="preserve">variabilní </w:t>
      </w:r>
      <w:r w:rsidRPr="0055589B">
        <w:rPr>
          <w:rFonts w:ascii="Arial" w:hAnsi="Arial" w:cs="Arial"/>
          <w:color w:val="000000" w:themeColor="text1"/>
          <w:szCs w:val="24"/>
          <w:lang w:val="cs-CZ" w:eastAsia="de-AT"/>
        </w:rPr>
        <w:t>odměny p</w:t>
      </w:r>
      <w:r w:rsidR="001E17B1" w:rsidRPr="0055589B">
        <w:rPr>
          <w:rFonts w:ascii="Arial" w:hAnsi="Arial" w:cs="Arial"/>
          <w:color w:val="000000" w:themeColor="text1"/>
          <w:szCs w:val="24"/>
          <w:lang w:val="cs-CZ" w:eastAsia="de-AT"/>
        </w:rPr>
        <w:t xml:space="preserve">racovníků podstupujících rizika, </w:t>
      </w:r>
      <w:r w:rsidRPr="0055589B">
        <w:rPr>
          <w:rFonts w:ascii="Arial" w:hAnsi="Arial" w:cs="Arial"/>
          <w:color w:val="000000" w:themeColor="text1"/>
          <w:szCs w:val="24"/>
          <w:lang w:val="cs-CZ" w:eastAsia="de-AT"/>
        </w:rPr>
        <w:t>kteří se přímo podílejí na správě fondů nebo portfolií</w:t>
      </w:r>
      <w:r w:rsidR="001E17B1" w:rsidRPr="0055589B">
        <w:rPr>
          <w:rFonts w:ascii="Arial" w:hAnsi="Arial" w:cs="Arial"/>
          <w:color w:val="000000" w:themeColor="text1"/>
          <w:szCs w:val="24"/>
          <w:lang w:val="cs-CZ" w:eastAsia="de-AT"/>
        </w:rPr>
        <w:t>,</w:t>
      </w:r>
      <w:r w:rsidRPr="0055589B">
        <w:rPr>
          <w:rFonts w:ascii="Arial" w:hAnsi="Arial" w:cs="Arial"/>
          <w:color w:val="000000" w:themeColor="text1"/>
          <w:szCs w:val="24"/>
          <w:lang w:val="cs-CZ" w:eastAsia="de-AT"/>
        </w:rPr>
        <w:t xml:space="preserve"> včetně členů </w:t>
      </w:r>
      <w:r w:rsidR="007E4DE3" w:rsidRPr="0055589B">
        <w:rPr>
          <w:rFonts w:ascii="Arial" w:hAnsi="Arial" w:cs="Arial"/>
          <w:color w:val="000000" w:themeColor="text1"/>
          <w:szCs w:val="24"/>
          <w:lang w:val="cs-CZ" w:eastAsia="de-AT"/>
        </w:rPr>
        <w:t>Představenst</w:t>
      </w:r>
      <w:r w:rsidR="005401C8" w:rsidRPr="0055589B">
        <w:rPr>
          <w:rFonts w:ascii="Arial" w:hAnsi="Arial" w:cs="Arial"/>
          <w:color w:val="000000" w:themeColor="text1"/>
          <w:szCs w:val="24"/>
          <w:lang w:val="cs-CZ" w:eastAsia="de-AT"/>
        </w:rPr>
        <w:t>va</w:t>
      </w:r>
      <w:r w:rsidRPr="0055589B">
        <w:rPr>
          <w:rFonts w:ascii="Arial" w:hAnsi="Arial" w:cs="Arial"/>
          <w:color w:val="000000" w:themeColor="text1"/>
          <w:szCs w:val="24"/>
          <w:lang w:val="cs-CZ" w:eastAsia="de-AT"/>
        </w:rPr>
        <w:t xml:space="preserve">, </w:t>
      </w:r>
      <w:proofErr w:type="gramStart"/>
      <w:r w:rsidR="00BE5736" w:rsidRPr="0055589B">
        <w:rPr>
          <w:rFonts w:ascii="Arial" w:hAnsi="Arial" w:cs="Arial"/>
          <w:color w:val="000000" w:themeColor="text1"/>
          <w:szCs w:val="24"/>
          <w:lang w:val="cs-CZ" w:eastAsia="de-AT"/>
        </w:rPr>
        <w:t>tvoří</w:t>
      </w:r>
      <w:proofErr w:type="gramEnd"/>
      <w:r w:rsidRPr="0055589B">
        <w:rPr>
          <w:rFonts w:ascii="Arial" w:hAnsi="Arial" w:cs="Arial"/>
          <w:color w:val="000000" w:themeColor="text1"/>
          <w:szCs w:val="24"/>
          <w:lang w:val="cs-CZ" w:eastAsia="de-AT"/>
        </w:rPr>
        <w:t xml:space="preserve"> podíl</w:t>
      </w:r>
      <w:r w:rsidR="00BE5736" w:rsidRPr="0055589B">
        <w:rPr>
          <w:rFonts w:ascii="Arial" w:hAnsi="Arial" w:cs="Arial"/>
          <w:color w:val="000000" w:themeColor="text1"/>
          <w:szCs w:val="24"/>
          <w:lang w:val="cs-CZ" w:eastAsia="de-AT"/>
        </w:rPr>
        <w:t>y</w:t>
      </w:r>
      <w:r w:rsidRPr="0055589B">
        <w:rPr>
          <w:rFonts w:ascii="Arial" w:hAnsi="Arial" w:cs="Arial"/>
          <w:color w:val="000000" w:themeColor="text1"/>
          <w:szCs w:val="24"/>
          <w:lang w:val="cs-CZ" w:eastAsia="de-AT"/>
        </w:rPr>
        <w:t xml:space="preserve"> </w:t>
      </w:r>
      <w:r w:rsidR="00AB374F" w:rsidRPr="0055589B">
        <w:rPr>
          <w:rFonts w:ascii="Arial" w:hAnsi="Arial" w:cs="Arial"/>
          <w:color w:val="000000" w:themeColor="text1"/>
          <w:szCs w:val="24"/>
          <w:lang w:val="cs-CZ" w:eastAsia="de-AT"/>
        </w:rPr>
        <w:t xml:space="preserve">na nástrojích </w:t>
      </w:r>
      <w:r w:rsidRPr="0055589B">
        <w:rPr>
          <w:rFonts w:ascii="Arial" w:hAnsi="Arial" w:cs="Arial"/>
          <w:color w:val="000000" w:themeColor="text1"/>
          <w:szCs w:val="24"/>
          <w:lang w:val="cs-CZ" w:eastAsia="de-AT"/>
        </w:rPr>
        <w:t>AIF/</w:t>
      </w:r>
      <w:r w:rsidR="00C05D6C" w:rsidRPr="0055589B">
        <w:rPr>
          <w:rFonts w:ascii="Arial" w:hAnsi="Arial" w:cs="Arial"/>
          <w:color w:val="000000" w:themeColor="text1"/>
          <w:szCs w:val="24"/>
          <w:lang w:val="cs-CZ" w:eastAsia="de-AT"/>
        </w:rPr>
        <w:t>SKIPCP</w:t>
      </w:r>
      <w:r w:rsidRPr="0055589B">
        <w:rPr>
          <w:rFonts w:ascii="Arial" w:hAnsi="Arial" w:cs="Arial"/>
          <w:color w:val="000000" w:themeColor="text1"/>
          <w:szCs w:val="24"/>
          <w:lang w:val="cs-CZ" w:eastAsia="de-AT"/>
        </w:rPr>
        <w:t xml:space="preserve"> nebo </w:t>
      </w:r>
      <w:r w:rsidR="00AB374F" w:rsidRPr="0055589B">
        <w:rPr>
          <w:rFonts w:ascii="Arial" w:hAnsi="Arial" w:cs="Arial"/>
          <w:color w:val="000000" w:themeColor="text1"/>
          <w:szCs w:val="24"/>
          <w:lang w:val="cs-CZ" w:eastAsia="de-AT"/>
        </w:rPr>
        <w:t xml:space="preserve">na nástrojích souvisejících s </w:t>
      </w:r>
      <w:r w:rsidRPr="0055589B">
        <w:rPr>
          <w:rFonts w:ascii="Arial" w:hAnsi="Arial" w:cs="Arial"/>
          <w:color w:val="000000" w:themeColor="text1"/>
          <w:szCs w:val="24"/>
          <w:lang w:val="cs-CZ" w:eastAsia="de-AT"/>
        </w:rPr>
        <w:t>AIF/</w:t>
      </w:r>
      <w:r w:rsidR="00C05D6C" w:rsidRPr="0055589B">
        <w:rPr>
          <w:rFonts w:ascii="Arial" w:hAnsi="Arial" w:cs="Arial"/>
          <w:color w:val="000000" w:themeColor="text1"/>
          <w:szCs w:val="24"/>
          <w:lang w:val="cs-CZ" w:eastAsia="de-AT"/>
        </w:rPr>
        <w:t>SKIPCP</w:t>
      </w:r>
      <w:r w:rsidRPr="0055589B">
        <w:rPr>
          <w:rFonts w:ascii="Arial" w:hAnsi="Arial" w:cs="Arial"/>
          <w:color w:val="000000" w:themeColor="text1"/>
          <w:szCs w:val="24"/>
          <w:lang w:val="cs-CZ" w:eastAsia="de-AT"/>
        </w:rPr>
        <w:t xml:space="preserve"> nebo </w:t>
      </w:r>
      <w:r w:rsidR="00AB374F" w:rsidRPr="0055589B">
        <w:rPr>
          <w:rFonts w:ascii="Arial" w:hAnsi="Arial" w:cs="Arial"/>
          <w:color w:val="000000" w:themeColor="text1"/>
          <w:szCs w:val="24"/>
          <w:lang w:val="cs-CZ" w:eastAsia="de-AT"/>
        </w:rPr>
        <w:t xml:space="preserve">na </w:t>
      </w:r>
      <w:r w:rsidRPr="0055589B">
        <w:rPr>
          <w:rFonts w:ascii="Arial" w:hAnsi="Arial" w:cs="Arial"/>
          <w:color w:val="000000" w:themeColor="text1"/>
          <w:szCs w:val="24"/>
          <w:lang w:val="cs-CZ" w:eastAsia="de-AT"/>
        </w:rPr>
        <w:t>rovnocenných bezhotovostních nástroj</w:t>
      </w:r>
      <w:r w:rsidR="00AB374F" w:rsidRPr="0055589B">
        <w:rPr>
          <w:rFonts w:ascii="Arial" w:hAnsi="Arial" w:cs="Arial"/>
          <w:color w:val="000000" w:themeColor="text1"/>
          <w:szCs w:val="24"/>
          <w:lang w:val="cs-CZ" w:eastAsia="de-AT"/>
        </w:rPr>
        <w:t>ích</w:t>
      </w:r>
      <w:r w:rsidRPr="0055589B">
        <w:rPr>
          <w:rFonts w:ascii="Arial" w:hAnsi="Arial" w:cs="Arial"/>
          <w:color w:val="000000" w:themeColor="text1"/>
          <w:szCs w:val="24"/>
          <w:lang w:val="cs-CZ" w:eastAsia="de-AT"/>
        </w:rPr>
        <w:t xml:space="preserve">. Aby se předešlo </w:t>
      </w:r>
      <w:r w:rsidR="00BE5736" w:rsidRPr="0055589B">
        <w:rPr>
          <w:rFonts w:ascii="Arial" w:hAnsi="Arial" w:cs="Arial"/>
          <w:color w:val="000000" w:themeColor="text1"/>
          <w:szCs w:val="24"/>
          <w:lang w:val="cs-CZ" w:eastAsia="de-AT"/>
        </w:rPr>
        <w:t>nesprávnému poskytnutí podílů</w:t>
      </w:r>
      <w:r w:rsidRPr="0055589B">
        <w:rPr>
          <w:rFonts w:ascii="Arial" w:hAnsi="Arial" w:cs="Arial"/>
          <w:color w:val="000000" w:themeColor="text1"/>
          <w:szCs w:val="24"/>
          <w:lang w:val="cs-CZ" w:eastAsia="de-AT"/>
        </w:rPr>
        <w:t>, které vznikají v souvislosti s</w:t>
      </w:r>
      <w:r w:rsidR="00992995" w:rsidRPr="0055589B">
        <w:rPr>
          <w:rFonts w:ascii="Arial" w:hAnsi="Arial" w:cs="Arial"/>
          <w:color w:val="000000" w:themeColor="text1"/>
          <w:szCs w:val="24"/>
          <w:lang w:val="cs-CZ" w:eastAsia="de-AT"/>
        </w:rPr>
        <w:t xml:space="preserve"> pracovníky podstupujícími rizika, </w:t>
      </w:r>
      <w:r w:rsidRPr="0055589B">
        <w:rPr>
          <w:rFonts w:ascii="Arial" w:hAnsi="Arial" w:cs="Arial"/>
          <w:color w:val="000000" w:themeColor="text1"/>
          <w:szCs w:val="24"/>
          <w:lang w:val="cs-CZ" w:eastAsia="de-AT"/>
        </w:rPr>
        <w:t xml:space="preserve">kteří </w:t>
      </w:r>
      <w:r w:rsidR="00992995" w:rsidRPr="0055589B">
        <w:rPr>
          <w:rFonts w:ascii="Arial" w:hAnsi="Arial" w:cs="Arial"/>
          <w:color w:val="000000" w:themeColor="text1"/>
          <w:szCs w:val="24"/>
          <w:lang w:val="cs-CZ" w:eastAsia="de-AT"/>
        </w:rPr>
        <w:t>se</w:t>
      </w:r>
      <w:r w:rsidRPr="0055589B">
        <w:rPr>
          <w:rFonts w:ascii="Arial" w:hAnsi="Arial" w:cs="Arial"/>
          <w:color w:val="000000" w:themeColor="text1"/>
          <w:szCs w:val="24"/>
          <w:lang w:val="cs-CZ" w:eastAsia="de-AT"/>
        </w:rPr>
        <w:t xml:space="preserve"> přímo </w:t>
      </w:r>
      <w:r w:rsidR="00992995" w:rsidRPr="0055589B">
        <w:rPr>
          <w:rFonts w:ascii="Arial" w:hAnsi="Arial" w:cs="Arial"/>
          <w:color w:val="000000" w:themeColor="text1"/>
          <w:szCs w:val="24"/>
          <w:lang w:val="cs-CZ" w:eastAsia="de-AT"/>
        </w:rPr>
        <w:t xml:space="preserve">nepodílejí na správně </w:t>
      </w:r>
      <w:r w:rsidRPr="0055589B">
        <w:rPr>
          <w:rFonts w:ascii="Arial" w:hAnsi="Arial" w:cs="Arial"/>
          <w:color w:val="000000" w:themeColor="text1"/>
          <w:szCs w:val="24"/>
          <w:lang w:val="cs-CZ" w:eastAsia="de-AT"/>
        </w:rPr>
        <w:t xml:space="preserve">portfolia, </w:t>
      </w:r>
      <w:r w:rsidR="00992995" w:rsidRPr="0055589B">
        <w:rPr>
          <w:rFonts w:ascii="Arial" w:hAnsi="Arial" w:cs="Arial"/>
          <w:color w:val="000000" w:themeColor="text1"/>
          <w:szCs w:val="24"/>
          <w:lang w:val="cs-CZ" w:eastAsia="de-AT"/>
        </w:rPr>
        <w:t xml:space="preserve">vztahuje se </w:t>
      </w:r>
      <w:r w:rsidRPr="0055589B">
        <w:rPr>
          <w:rFonts w:ascii="Arial" w:hAnsi="Arial" w:cs="Arial"/>
          <w:color w:val="000000" w:themeColor="text1"/>
          <w:szCs w:val="24"/>
          <w:lang w:val="cs-CZ" w:eastAsia="de-AT"/>
        </w:rPr>
        <w:t>požadavek na výplatu v jednotkách nebo podíl</w:t>
      </w:r>
      <w:r w:rsidR="00992995" w:rsidRPr="0055589B">
        <w:rPr>
          <w:rFonts w:ascii="Arial" w:hAnsi="Arial" w:cs="Arial"/>
          <w:color w:val="000000" w:themeColor="text1"/>
          <w:szCs w:val="24"/>
          <w:lang w:val="cs-CZ" w:eastAsia="de-AT"/>
        </w:rPr>
        <w:t xml:space="preserve">ech na </w:t>
      </w:r>
      <w:r w:rsidRPr="0055589B">
        <w:rPr>
          <w:rFonts w:ascii="Arial" w:hAnsi="Arial" w:cs="Arial"/>
          <w:color w:val="000000" w:themeColor="text1"/>
          <w:szCs w:val="24"/>
          <w:lang w:val="cs-CZ" w:eastAsia="de-AT"/>
        </w:rPr>
        <w:t>nástroj</w:t>
      </w:r>
      <w:r w:rsidR="00992995" w:rsidRPr="0055589B">
        <w:rPr>
          <w:rFonts w:ascii="Arial" w:hAnsi="Arial" w:cs="Arial"/>
          <w:color w:val="000000" w:themeColor="text1"/>
          <w:szCs w:val="24"/>
          <w:lang w:val="cs-CZ" w:eastAsia="de-AT"/>
        </w:rPr>
        <w:t>ích</w:t>
      </w:r>
      <w:r w:rsidRPr="0055589B">
        <w:rPr>
          <w:rFonts w:ascii="Arial" w:hAnsi="Arial" w:cs="Arial"/>
          <w:color w:val="000000" w:themeColor="text1"/>
          <w:szCs w:val="24"/>
          <w:lang w:val="cs-CZ" w:eastAsia="de-AT"/>
        </w:rPr>
        <w:t xml:space="preserve"> AIF/</w:t>
      </w:r>
      <w:r w:rsidR="00C05D6C" w:rsidRPr="0055589B">
        <w:rPr>
          <w:rFonts w:ascii="Arial" w:hAnsi="Arial" w:cs="Arial"/>
          <w:color w:val="000000" w:themeColor="text1"/>
          <w:szCs w:val="24"/>
          <w:lang w:val="cs-CZ" w:eastAsia="de-AT"/>
        </w:rPr>
        <w:t>SKIPCP</w:t>
      </w:r>
      <w:r w:rsidR="00992995" w:rsidRPr="0055589B">
        <w:rPr>
          <w:rFonts w:ascii="Arial" w:hAnsi="Arial" w:cs="Arial"/>
          <w:color w:val="000000" w:themeColor="text1"/>
          <w:szCs w:val="24"/>
          <w:lang w:val="cs-CZ" w:eastAsia="de-AT"/>
        </w:rPr>
        <w:t>, nástrojích souvisejících s</w:t>
      </w:r>
      <w:r w:rsidRPr="0055589B">
        <w:rPr>
          <w:rFonts w:ascii="Arial" w:hAnsi="Arial" w:cs="Arial"/>
          <w:color w:val="000000" w:themeColor="text1"/>
          <w:szCs w:val="24"/>
          <w:lang w:val="cs-CZ" w:eastAsia="de-AT"/>
        </w:rPr>
        <w:t xml:space="preserve"> AIF/</w:t>
      </w:r>
      <w:r w:rsidR="00C05D6C" w:rsidRPr="0055589B">
        <w:rPr>
          <w:rFonts w:ascii="Arial" w:hAnsi="Arial" w:cs="Arial"/>
          <w:color w:val="000000" w:themeColor="text1"/>
          <w:szCs w:val="24"/>
          <w:lang w:val="cs-CZ" w:eastAsia="de-AT"/>
        </w:rPr>
        <w:t>SKIPCP</w:t>
      </w:r>
      <w:r w:rsidRPr="0055589B">
        <w:rPr>
          <w:rFonts w:ascii="Arial" w:hAnsi="Arial" w:cs="Arial"/>
          <w:color w:val="000000" w:themeColor="text1"/>
          <w:szCs w:val="24"/>
          <w:lang w:val="cs-CZ" w:eastAsia="de-AT"/>
        </w:rPr>
        <w:t xml:space="preserve"> nebo</w:t>
      </w:r>
      <w:r w:rsidR="00992995" w:rsidRPr="0055589B">
        <w:rPr>
          <w:rFonts w:ascii="Arial" w:hAnsi="Arial" w:cs="Arial"/>
          <w:color w:val="000000" w:themeColor="text1"/>
          <w:szCs w:val="24"/>
          <w:lang w:val="cs-CZ" w:eastAsia="de-AT"/>
        </w:rPr>
        <w:t xml:space="preserve"> na </w:t>
      </w:r>
      <w:r w:rsidRPr="0055589B">
        <w:rPr>
          <w:rFonts w:ascii="Arial" w:hAnsi="Arial" w:cs="Arial"/>
          <w:color w:val="000000" w:themeColor="text1"/>
          <w:szCs w:val="24"/>
          <w:lang w:val="cs-CZ" w:eastAsia="de-AT"/>
        </w:rPr>
        <w:t>rovnocenných bezhotovostních nástroj</w:t>
      </w:r>
      <w:r w:rsidR="00992995" w:rsidRPr="0055589B">
        <w:rPr>
          <w:rFonts w:ascii="Arial" w:hAnsi="Arial" w:cs="Arial"/>
          <w:color w:val="000000" w:themeColor="text1"/>
          <w:szCs w:val="24"/>
          <w:lang w:val="cs-CZ" w:eastAsia="de-AT"/>
        </w:rPr>
        <w:t xml:space="preserve">ích </w:t>
      </w:r>
      <w:r w:rsidRPr="0055589B">
        <w:rPr>
          <w:rFonts w:ascii="Arial" w:hAnsi="Arial" w:cs="Arial"/>
          <w:color w:val="000000" w:themeColor="text1"/>
          <w:szCs w:val="24"/>
          <w:lang w:val="cs-CZ" w:eastAsia="de-AT"/>
        </w:rPr>
        <w:t xml:space="preserve">pouze </w:t>
      </w:r>
      <w:r w:rsidR="00992995" w:rsidRPr="0055589B">
        <w:rPr>
          <w:rFonts w:ascii="Arial" w:hAnsi="Arial" w:cs="Arial"/>
          <w:color w:val="000000" w:themeColor="text1"/>
          <w:szCs w:val="24"/>
          <w:lang w:val="cs-CZ" w:eastAsia="de-AT"/>
        </w:rPr>
        <w:t>na</w:t>
      </w:r>
      <w:r w:rsidRPr="0055589B">
        <w:rPr>
          <w:rFonts w:ascii="Arial" w:hAnsi="Arial" w:cs="Arial"/>
          <w:color w:val="000000" w:themeColor="text1"/>
          <w:szCs w:val="24"/>
          <w:lang w:val="cs-CZ" w:eastAsia="de-AT"/>
        </w:rPr>
        <w:t xml:space="preserve"> zaměstnance, kteří </w:t>
      </w:r>
      <w:r w:rsidR="00992995" w:rsidRPr="0055589B">
        <w:rPr>
          <w:rFonts w:ascii="Arial" w:hAnsi="Arial" w:cs="Arial"/>
          <w:color w:val="000000" w:themeColor="text1"/>
          <w:szCs w:val="24"/>
          <w:lang w:val="cs-CZ" w:eastAsia="de-AT"/>
        </w:rPr>
        <w:t>se</w:t>
      </w:r>
      <w:r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lastRenderedPageBreak/>
        <w:t xml:space="preserve">přímo </w:t>
      </w:r>
      <w:r w:rsidR="00992995" w:rsidRPr="0055589B">
        <w:rPr>
          <w:rFonts w:ascii="Arial" w:hAnsi="Arial" w:cs="Arial"/>
          <w:color w:val="000000" w:themeColor="text1"/>
          <w:szCs w:val="24"/>
          <w:lang w:val="cs-CZ" w:eastAsia="de-AT"/>
        </w:rPr>
        <w:t xml:space="preserve">podílejí na </w:t>
      </w:r>
      <w:r w:rsidRPr="0055589B">
        <w:rPr>
          <w:rFonts w:ascii="Arial" w:hAnsi="Arial" w:cs="Arial"/>
          <w:color w:val="000000" w:themeColor="text1"/>
          <w:szCs w:val="24"/>
          <w:lang w:val="cs-CZ" w:eastAsia="de-AT"/>
        </w:rPr>
        <w:t xml:space="preserve">řízení fondu nebo portfolia, včetně členů </w:t>
      </w:r>
      <w:r w:rsidR="00992995" w:rsidRPr="0055589B">
        <w:rPr>
          <w:rFonts w:ascii="Arial" w:hAnsi="Arial" w:cs="Arial"/>
          <w:color w:val="000000" w:themeColor="text1"/>
          <w:szCs w:val="24"/>
          <w:lang w:val="cs-CZ" w:eastAsia="de-AT"/>
        </w:rPr>
        <w:t>P</w:t>
      </w:r>
      <w:r w:rsidR="005401C8" w:rsidRPr="0055589B">
        <w:rPr>
          <w:rFonts w:ascii="Arial" w:hAnsi="Arial" w:cs="Arial"/>
          <w:color w:val="000000" w:themeColor="text1"/>
          <w:szCs w:val="24"/>
          <w:lang w:val="cs-CZ" w:eastAsia="de-AT"/>
        </w:rPr>
        <w:t>ředstavenstva</w:t>
      </w:r>
      <w:r w:rsidRPr="0055589B">
        <w:rPr>
          <w:rFonts w:ascii="Arial" w:hAnsi="Arial" w:cs="Arial"/>
          <w:color w:val="000000" w:themeColor="text1"/>
          <w:szCs w:val="24"/>
          <w:lang w:val="cs-CZ" w:eastAsia="de-AT"/>
        </w:rPr>
        <w:t xml:space="preserve"> (</w:t>
      </w:r>
      <w:r w:rsidR="00992995" w:rsidRPr="0055589B">
        <w:rPr>
          <w:rFonts w:ascii="Arial" w:hAnsi="Arial" w:cs="Arial"/>
          <w:color w:val="000000" w:themeColor="text1"/>
          <w:szCs w:val="24"/>
          <w:lang w:val="cs-CZ" w:eastAsia="de-AT"/>
        </w:rPr>
        <w:t>p</w:t>
      </w:r>
      <w:r w:rsidRPr="0055589B">
        <w:rPr>
          <w:rFonts w:ascii="Arial" w:hAnsi="Arial" w:cs="Arial"/>
          <w:color w:val="000000" w:themeColor="text1"/>
          <w:szCs w:val="24"/>
          <w:lang w:val="cs-CZ" w:eastAsia="de-AT"/>
        </w:rPr>
        <w:t>oznámk</w:t>
      </w:r>
      <w:r w:rsidR="00992995" w:rsidRPr="0055589B">
        <w:rPr>
          <w:rFonts w:ascii="Arial" w:hAnsi="Arial" w:cs="Arial"/>
          <w:color w:val="000000" w:themeColor="text1"/>
          <w:szCs w:val="24"/>
          <w:lang w:val="cs-CZ" w:eastAsia="de-AT"/>
        </w:rPr>
        <w:t>y č.</w:t>
      </w:r>
      <w:r w:rsidRPr="0055589B">
        <w:rPr>
          <w:rFonts w:ascii="Arial" w:hAnsi="Arial" w:cs="Arial"/>
          <w:color w:val="000000" w:themeColor="text1"/>
          <w:szCs w:val="24"/>
          <w:lang w:val="cs-CZ" w:eastAsia="de-AT"/>
        </w:rPr>
        <w:t xml:space="preserve"> 132 </w:t>
      </w:r>
      <w:r w:rsidR="00992995" w:rsidRPr="0055589B">
        <w:rPr>
          <w:rFonts w:ascii="Arial" w:hAnsi="Arial" w:cs="Arial"/>
          <w:color w:val="000000" w:themeColor="text1"/>
          <w:szCs w:val="24"/>
          <w:lang w:val="cs-CZ" w:eastAsia="de-AT"/>
        </w:rPr>
        <w:t>a</w:t>
      </w:r>
      <w:r w:rsidRPr="0055589B">
        <w:rPr>
          <w:rFonts w:ascii="Arial" w:hAnsi="Arial" w:cs="Arial"/>
          <w:color w:val="000000" w:themeColor="text1"/>
          <w:szCs w:val="24"/>
          <w:lang w:val="cs-CZ" w:eastAsia="de-AT"/>
        </w:rPr>
        <w:t xml:space="preserve"> 133 </w:t>
      </w:r>
      <w:r w:rsidR="00992995" w:rsidRPr="0055589B">
        <w:rPr>
          <w:rFonts w:ascii="Arial" w:hAnsi="Arial" w:cs="Arial"/>
          <w:color w:val="000000" w:themeColor="text1"/>
          <w:szCs w:val="24"/>
          <w:lang w:val="cs-CZ" w:eastAsia="de-AT"/>
        </w:rPr>
        <w:t>k</w:t>
      </w:r>
      <w:r w:rsidR="00A431F8" w:rsidRPr="0055589B">
        <w:rPr>
          <w:rFonts w:ascii="Arial" w:hAnsi="Arial" w:cs="Arial"/>
          <w:color w:val="000000" w:themeColor="text1"/>
          <w:szCs w:val="24"/>
          <w:lang w:val="cs-CZ" w:eastAsia="de-AT"/>
        </w:rPr>
        <w:t xml:space="preserve"> Pokynům ESMA o odměňování podle AIFM</w:t>
      </w:r>
      <w:r w:rsidRPr="0055589B">
        <w:rPr>
          <w:rFonts w:ascii="Arial" w:hAnsi="Arial" w:cs="Arial"/>
          <w:color w:val="000000" w:themeColor="text1"/>
          <w:szCs w:val="24"/>
          <w:lang w:val="cs-CZ" w:eastAsia="de-AT"/>
        </w:rPr>
        <w:t>).</w:t>
      </w:r>
    </w:p>
    <w:p w14:paraId="5EB5C9FF" w14:textId="17427E89"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Společnost nevydává žádné instrumenty, které j</w:t>
      </w:r>
      <w:r w:rsidR="00A431F8" w:rsidRPr="0055589B">
        <w:rPr>
          <w:rFonts w:ascii="Arial" w:hAnsi="Arial" w:cs="Arial"/>
          <w:color w:val="000000" w:themeColor="text1"/>
          <w:szCs w:val="24"/>
          <w:lang w:val="cs-CZ" w:eastAsia="de-AT"/>
        </w:rPr>
        <w:t xml:space="preserve">e možné použít jako </w:t>
      </w:r>
      <w:r w:rsidR="009D3092" w:rsidRPr="0055589B">
        <w:rPr>
          <w:rFonts w:ascii="Arial" w:hAnsi="Arial" w:cs="Arial"/>
          <w:color w:val="000000" w:themeColor="text1"/>
          <w:szCs w:val="24"/>
          <w:lang w:val="cs-CZ" w:eastAsia="de-AT"/>
        </w:rPr>
        <w:t xml:space="preserve">nepeněžité </w:t>
      </w:r>
      <w:r w:rsidRPr="0055589B">
        <w:rPr>
          <w:rFonts w:ascii="Arial" w:hAnsi="Arial" w:cs="Arial"/>
          <w:color w:val="000000" w:themeColor="text1"/>
          <w:szCs w:val="24"/>
          <w:lang w:val="cs-CZ" w:eastAsia="de-AT"/>
        </w:rPr>
        <w:t>složky,</w:t>
      </w:r>
      <w:r w:rsidR="009D3092" w:rsidRPr="0055589B">
        <w:rPr>
          <w:rFonts w:ascii="Arial" w:hAnsi="Arial" w:cs="Arial"/>
          <w:color w:val="000000" w:themeColor="text1"/>
          <w:szCs w:val="24"/>
          <w:lang w:val="cs-CZ" w:eastAsia="de-AT"/>
        </w:rPr>
        <w:t xml:space="preserve"> s</w:t>
      </w:r>
      <w:r w:rsidR="000A1DF9" w:rsidRPr="0055589B">
        <w:rPr>
          <w:rFonts w:ascii="Arial" w:hAnsi="Arial" w:cs="Arial"/>
          <w:color w:val="000000" w:themeColor="text1"/>
          <w:szCs w:val="24"/>
          <w:lang w:val="cs-CZ" w:eastAsia="de-AT"/>
        </w:rPr>
        <w:t> </w:t>
      </w:r>
      <w:r w:rsidR="009D3092" w:rsidRPr="0055589B">
        <w:rPr>
          <w:rFonts w:ascii="Arial" w:hAnsi="Arial" w:cs="Arial"/>
          <w:color w:val="000000" w:themeColor="text1"/>
          <w:szCs w:val="24"/>
          <w:lang w:val="cs-CZ" w:eastAsia="de-AT"/>
        </w:rPr>
        <w:t>výjimkou</w:t>
      </w:r>
      <w:r w:rsidR="000A1DF9" w:rsidRPr="0055589B">
        <w:rPr>
          <w:rFonts w:ascii="Arial" w:hAnsi="Arial" w:cs="Arial"/>
          <w:color w:val="000000" w:themeColor="text1"/>
          <w:szCs w:val="24"/>
          <w:lang w:val="cs-CZ" w:eastAsia="de-AT"/>
        </w:rPr>
        <w:t xml:space="preserve"> fondů</w:t>
      </w:r>
      <w:r w:rsidRPr="0055589B">
        <w:rPr>
          <w:rFonts w:ascii="Arial" w:hAnsi="Arial" w:cs="Arial"/>
          <w:color w:val="000000" w:themeColor="text1"/>
          <w:szCs w:val="24"/>
          <w:lang w:val="cs-CZ" w:eastAsia="de-AT"/>
        </w:rPr>
        <w:t xml:space="preserve"> AIF nebo </w:t>
      </w:r>
      <w:r w:rsidR="00C05D6C" w:rsidRPr="0055589B">
        <w:rPr>
          <w:rFonts w:ascii="Arial" w:hAnsi="Arial" w:cs="Arial"/>
          <w:color w:val="000000" w:themeColor="text1"/>
          <w:szCs w:val="24"/>
          <w:lang w:val="cs-CZ" w:eastAsia="de-AT"/>
        </w:rPr>
        <w:t>SKIPCP</w:t>
      </w:r>
      <w:r w:rsidRPr="0055589B">
        <w:rPr>
          <w:rFonts w:ascii="Arial" w:hAnsi="Arial" w:cs="Arial"/>
          <w:color w:val="000000" w:themeColor="text1"/>
          <w:szCs w:val="24"/>
          <w:lang w:val="cs-CZ" w:eastAsia="de-AT"/>
        </w:rPr>
        <w:t xml:space="preserve"> nebo </w:t>
      </w:r>
      <w:r w:rsidR="000A1DF9" w:rsidRPr="0055589B">
        <w:rPr>
          <w:rFonts w:ascii="Arial" w:hAnsi="Arial" w:cs="Arial"/>
          <w:color w:val="000000" w:themeColor="text1"/>
          <w:szCs w:val="24"/>
          <w:lang w:val="cs-CZ" w:eastAsia="de-AT"/>
        </w:rPr>
        <w:t xml:space="preserve">nástrojů souvisejících s </w:t>
      </w:r>
      <w:r w:rsidRPr="0055589B">
        <w:rPr>
          <w:rFonts w:ascii="Arial" w:hAnsi="Arial" w:cs="Arial"/>
          <w:color w:val="000000" w:themeColor="text1"/>
          <w:szCs w:val="24"/>
          <w:lang w:val="cs-CZ" w:eastAsia="de-AT"/>
        </w:rPr>
        <w:t>AIF/</w:t>
      </w:r>
      <w:r w:rsidR="00C05D6C" w:rsidRPr="0055589B">
        <w:rPr>
          <w:rFonts w:ascii="Arial" w:hAnsi="Arial" w:cs="Arial"/>
          <w:color w:val="000000" w:themeColor="text1"/>
          <w:szCs w:val="24"/>
          <w:lang w:val="cs-CZ" w:eastAsia="de-AT"/>
        </w:rPr>
        <w:t>SKIPCP</w:t>
      </w:r>
      <w:r w:rsidRPr="0055589B">
        <w:rPr>
          <w:rFonts w:ascii="Arial" w:hAnsi="Arial" w:cs="Arial"/>
          <w:color w:val="000000" w:themeColor="text1"/>
          <w:szCs w:val="24"/>
          <w:lang w:val="cs-CZ" w:eastAsia="de-AT"/>
        </w:rPr>
        <w:t xml:space="preserve"> </w:t>
      </w:r>
      <w:r w:rsidR="000A1DF9" w:rsidRPr="0055589B">
        <w:rPr>
          <w:rFonts w:ascii="Arial" w:hAnsi="Arial" w:cs="Arial"/>
          <w:color w:val="000000" w:themeColor="text1"/>
          <w:szCs w:val="24"/>
          <w:lang w:val="cs-CZ" w:eastAsia="de-AT"/>
        </w:rPr>
        <w:t xml:space="preserve">či </w:t>
      </w:r>
      <w:r w:rsidRPr="0055589B">
        <w:rPr>
          <w:rFonts w:ascii="Arial" w:hAnsi="Arial" w:cs="Arial"/>
          <w:color w:val="000000" w:themeColor="text1"/>
          <w:szCs w:val="24"/>
          <w:lang w:val="cs-CZ" w:eastAsia="de-AT"/>
        </w:rPr>
        <w:t>rovnocenn</w:t>
      </w:r>
      <w:r w:rsidR="000A1DF9" w:rsidRPr="0055589B">
        <w:rPr>
          <w:rFonts w:ascii="Arial" w:hAnsi="Arial" w:cs="Arial"/>
          <w:color w:val="000000" w:themeColor="text1"/>
          <w:szCs w:val="24"/>
          <w:lang w:val="cs-CZ" w:eastAsia="de-AT"/>
        </w:rPr>
        <w:t xml:space="preserve">ých bezhotovostních </w:t>
      </w:r>
      <w:r w:rsidRPr="0055589B">
        <w:rPr>
          <w:rFonts w:ascii="Arial" w:hAnsi="Arial" w:cs="Arial"/>
          <w:color w:val="000000" w:themeColor="text1"/>
          <w:szCs w:val="24"/>
          <w:lang w:val="cs-CZ" w:eastAsia="de-AT"/>
        </w:rPr>
        <w:t>nástroj</w:t>
      </w:r>
      <w:r w:rsidR="000A1DF9" w:rsidRPr="0055589B">
        <w:rPr>
          <w:rFonts w:ascii="Arial" w:hAnsi="Arial" w:cs="Arial"/>
          <w:color w:val="000000" w:themeColor="text1"/>
          <w:szCs w:val="24"/>
          <w:lang w:val="cs-CZ" w:eastAsia="de-AT"/>
        </w:rPr>
        <w:t>ů, a ve svém platebním modelu nepoužívá jiné bezhotovostní nástroje.</w:t>
      </w:r>
    </w:p>
    <w:p w14:paraId="7F132488" w14:textId="6C6202DE" w:rsidR="00224561" w:rsidRPr="0055589B" w:rsidRDefault="000A1DF9"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P</w:t>
      </w:r>
      <w:r w:rsidR="00224561" w:rsidRPr="0055589B">
        <w:rPr>
          <w:rFonts w:ascii="Arial" w:hAnsi="Arial" w:cs="Arial"/>
          <w:color w:val="000000" w:themeColor="text1"/>
          <w:szCs w:val="24"/>
          <w:lang w:val="cs-CZ" w:eastAsia="de-AT"/>
        </w:rPr>
        <w:t>odle oběžníku FMA</w:t>
      </w:r>
      <w:r w:rsidR="00224561" w:rsidRPr="0055589B">
        <w:rPr>
          <w:rFonts w:ascii="Arial" w:hAnsi="Arial" w:cs="Arial"/>
          <w:color w:val="000000" w:themeColor="text1"/>
          <w:szCs w:val="24"/>
          <w:vertAlign w:val="superscript"/>
          <w:lang w:val="cs-CZ" w:eastAsia="de-AT"/>
        </w:rPr>
        <w:footnoteReference w:id="5"/>
      </w:r>
      <w:r w:rsidR="00224561" w:rsidRPr="0055589B">
        <w:rPr>
          <w:rFonts w:ascii="Arial" w:hAnsi="Arial" w:cs="Arial"/>
          <w:color w:val="000000" w:themeColor="text1"/>
          <w:szCs w:val="24"/>
          <w:lang w:val="cs-CZ" w:eastAsia="de-AT"/>
        </w:rPr>
        <w:t xml:space="preserve"> v</w:t>
      </w:r>
      <w:r w:rsidRPr="0055589B">
        <w:rPr>
          <w:rFonts w:ascii="Arial" w:hAnsi="Arial" w:cs="Arial"/>
          <w:color w:val="000000" w:themeColor="text1"/>
          <w:szCs w:val="24"/>
          <w:lang w:val="cs-CZ" w:eastAsia="de-AT"/>
        </w:rPr>
        <w:t>šak v</w:t>
      </w:r>
      <w:r w:rsidR="00224561" w:rsidRPr="0055589B">
        <w:rPr>
          <w:rFonts w:ascii="Arial" w:hAnsi="Arial" w:cs="Arial"/>
          <w:color w:val="000000" w:themeColor="text1"/>
          <w:szCs w:val="24"/>
          <w:lang w:val="cs-CZ" w:eastAsia="de-AT"/>
        </w:rPr>
        <w:t xml:space="preserve"> případě odchyl</w:t>
      </w:r>
      <w:r w:rsidRPr="0055589B">
        <w:rPr>
          <w:rFonts w:ascii="Arial" w:hAnsi="Arial" w:cs="Arial"/>
          <w:color w:val="000000" w:themeColor="text1"/>
          <w:szCs w:val="24"/>
          <w:lang w:val="cs-CZ" w:eastAsia="de-AT"/>
        </w:rPr>
        <w:t>né</w:t>
      </w:r>
      <w:r w:rsidR="00224561" w:rsidRPr="0055589B">
        <w:rPr>
          <w:rFonts w:ascii="Arial" w:hAnsi="Arial" w:cs="Arial"/>
          <w:color w:val="000000" w:themeColor="text1"/>
          <w:szCs w:val="24"/>
          <w:lang w:val="cs-CZ" w:eastAsia="de-AT"/>
        </w:rPr>
        <w:t xml:space="preserve"> vnitrostátní</w:t>
      </w:r>
      <w:r w:rsidRPr="0055589B">
        <w:rPr>
          <w:rFonts w:ascii="Arial" w:hAnsi="Arial" w:cs="Arial"/>
          <w:color w:val="000000" w:themeColor="text1"/>
          <w:szCs w:val="24"/>
          <w:lang w:val="cs-CZ" w:eastAsia="de-AT"/>
        </w:rPr>
        <w:t xml:space="preserve"> úpravy obsažené v právních předpisech upravujících dohled </w:t>
      </w:r>
      <w:r w:rsidR="00224561" w:rsidRPr="0055589B">
        <w:rPr>
          <w:rFonts w:ascii="Arial" w:hAnsi="Arial" w:cs="Arial"/>
          <w:color w:val="000000" w:themeColor="text1"/>
          <w:szCs w:val="24"/>
          <w:lang w:val="cs-CZ" w:eastAsia="de-AT"/>
        </w:rPr>
        <w:t xml:space="preserve">mají tyto vnitrostátní právní předpisy přednost. Měření výkonnosti používané pro výpočet variabilních složek odměn nebo </w:t>
      </w:r>
      <w:r w:rsidR="002A71F9" w:rsidRPr="0055589B">
        <w:rPr>
          <w:rFonts w:ascii="Arial" w:hAnsi="Arial" w:cs="Arial"/>
          <w:color w:val="000000" w:themeColor="text1"/>
          <w:szCs w:val="24"/>
          <w:lang w:val="cs-CZ" w:eastAsia="de-AT"/>
        </w:rPr>
        <w:t xml:space="preserve">skupin </w:t>
      </w:r>
      <w:r w:rsidR="00224561" w:rsidRPr="0055589B">
        <w:rPr>
          <w:rFonts w:ascii="Arial" w:hAnsi="Arial" w:cs="Arial"/>
          <w:color w:val="000000" w:themeColor="text1"/>
          <w:szCs w:val="24"/>
          <w:lang w:val="cs-CZ" w:eastAsia="de-AT"/>
        </w:rPr>
        <w:t xml:space="preserve">složek </w:t>
      </w:r>
      <w:r w:rsidR="00DA52FA" w:rsidRPr="0055589B">
        <w:rPr>
          <w:rFonts w:ascii="Arial" w:hAnsi="Arial" w:cs="Arial"/>
          <w:color w:val="000000" w:themeColor="text1"/>
          <w:szCs w:val="24"/>
          <w:lang w:val="cs-CZ" w:eastAsia="de-AT"/>
        </w:rPr>
        <w:t>pohybliv</w:t>
      </w:r>
      <w:r w:rsidR="00224561" w:rsidRPr="0055589B">
        <w:rPr>
          <w:rFonts w:ascii="Arial" w:hAnsi="Arial" w:cs="Arial"/>
          <w:color w:val="000000" w:themeColor="text1"/>
          <w:szCs w:val="24"/>
          <w:lang w:val="cs-CZ" w:eastAsia="de-AT"/>
        </w:rPr>
        <w:t>é odměny zahrnuje komplexní mechanismus úprav</w:t>
      </w:r>
      <w:r w:rsidR="002A71F9" w:rsidRPr="0055589B">
        <w:rPr>
          <w:rFonts w:ascii="Arial" w:hAnsi="Arial" w:cs="Arial"/>
          <w:color w:val="000000" w:themeColor="text1"/>
          <w:szCs w:val="24"/>
          <w:lang w:val="cs-CZ" w:eastAsia="de-AT"/>
        </w:rPr>
        <w:t xml:space="preserve">, aby bylo možné </w:t>
      </w:r>
      <w:r w:rsidR="00224561" w:rsidRPr="0055589B">
        <w:rPr>
          <w:rFonts w:ascii="Arial" w:hAnsi="Arial" w:cs="Arial"/>
          <w:color w:val="000000" w:themeColor="text1"/>
          <w:szCs w:val="24"/>
          <w:lang w:val="cs-CZ" w:eastAsia="de-AT"/>
        </w:rPr>
        <w:t>integr</w:t>
      </w:r>
      <w:r w:rsidR="002A71F9" w:rsidRPr="0055589B">
        <w:rPr>
          <w:rFonts w:ascii="Arial" w:hAnsi="Arial" w:cs="Arial"/>
          <w:color w:val="000000" w:themeColor="text1"/>
          <w:szCs w:val="24"/>
          <w:lang w:val="cs-CZ" w:eastAsia="de-AT"/>
        </w:rPr>
        <w:t xml:space="preserve">ovat </w:t>
      </w:r>
      <w:r w:rsidR="00224561" w:rsidRPr="0055589B">
        <w:rPr>
          <w:rFonts w:ascii="Arial" w:hAnsi="Arial" w:cs="Arial"/>
          <w:color w:val="000000" w:themeColor="text1"/>
          <w:szCs w:val="24"/>
          <w:lang w:val="cs-CZ" w:eastAsia="de-AT"/>
        </w:rPr>
        <w:t>vš</w:t>
      </w:r>
      <w:r w:rsidR="002A71F9" w:rsidRPr="0055589B">
        <w:rPr>
          <w:rFonts w:ascii="Arial" w:hAnsi="Arial" w:cs="Arial"/>
          <w:color w:val="000000" w:themeColor="text1"/>
          <w:szCs w:val="24"/>
          <w:lang w:val="cs-CZ" w:eastAsia="de-AT"/>
        </w:rPr>
        <w:t>e</w:t>
      </w:r>
      <w:r w:rsidR="00224561" w:rsidRPr="0055589B">
        <w:rPr>
          <w:rFonts w:ascii="Arial" w:hAnsi="Arial" w:cs="Arial"/>
          <w:color w:val="000000" w:themeColor="text1"/>
          <w:szCs w:val="24"/>
          <w:lang w:val="cs-CZ" w:eastAsia="de-AT"/>
        </w:rPr>
        <w:t>ch</w:t>
      </w:r>
      <w:r w:rsidR="002A71F9" w:rsidRPr="0055589B">
        <w:rPr>
          <w:rFonts w:ascii="Arial" w:hAnsi="Arial" w:cs="Arial"/>
          <w:color w:val="000000" w:themeColor="text1"/>
          <w:szCs w:val="24"/>
          <w:lang w:val="cs-CZ" w:eastAsia="de-AT"/>
        </w:rPr>
        <w:t>ny</w:t>
      </w:r>
      <w:r w:rsidR="00224561" w:rsidRPr="0055589B">
        <w:rPr>
          <w:rFonts w:ascii="Arial" w:hAnsi="Arial" w:cs="Arial"/>
          <w:color w:val="000000" w:themeColor="text1"/>
          <w:szCs w:val="24"/>
          <w:lang w:val="cs-CZ" w:eastAsia="de-AT"/>
        </w:rPr>
        <w:t xml:space="preserve"> relevantní typ</w:t>
      </w:r>
      <w:r w:rsidR="002A71F9" w:rsidRPr="0055589B">
        <w:rPr>
          <w:rFonts w:ascii="Arial" w:hAnsi="Arial" w:cs="Arial"/>
          <w:color w:val="000000" w:themeColor="text1"/>
          <w:szCs w:val="24"/>
          <w:lang w:val="cs-CZ" w:eastAsia="de-AT"/>
        </w:rPr>
        <w:t>y</w:t>
      </w:r>
      <w:r w:rsidR="00224561" w:rsidRPr="0055589B">
        <w:rPr>
          <w:rFonts w:ascii="Arial" w:hAnsi="Arial" w:cs="Arial"/>
          <w:color w:val="000000" w:themeColor="text1"/>
          <w:szCs w:val="24"/>
          <w:lang w:val="cs-CZ" w:eastAsia="de-AT"/>
        </w:rPr>
        <w:t xml:space="preserve"> současných i budoucích rizik.</w:t>
      </w:r>
    </w:p>
    <w:p w14:paraId="1C6D8100" w14:textId="2AC0F546"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Vzhledem k zákonným a/nebo smluvním omezením </w:t>
      </w:r>
      <w:r w:rsidR="002A71F9" w:rsidRPr="0055589B">
        <w:rPr>
          <w:rFonts w:ascii="Arial" w:hAnsi="Arial" w:cs="Arial"/>
          <w:color w:val="000000" w:themeColor="text1"/>
          <w:szCs w:val="24"/>
          <w:lang w:val="cs-CZ" w:eastAsia="de-AT"/>
        </w:rPr>
        <w:t>se k výplatě nepoužívají podíly v</w:t>
      </w:r>
      <w:r w:rsidRPr="0055589B">
        <w:rPr>
          <w:rFonts w:ascii="Arial" w:hAnsi="Arial" w:cs="Arial"/>
          <w:color w:val="000000" w:themeColor="text1"/>
          <w:szCs w:val="24"/>
          <w:lang w:val="cs-CZ" w:eastAsia="de-AT"/>
        </w:rPr>
        <w:t xml:space="preserve"> AIF zřízených jako zvláštní fondy (Spezialfonds)</w:t>
      </w:r>
      <w:r w:rsidR="002A71F9" w:rsidRPr="0055589B">
        <w:rPr>
          <w:rFonts w:ascii="Arial" w:hAnsi="Arial" w:cs="Arial"/>
          <w:color w:val="000000" w:themeColor="text1"/>
          <w:szCs w:val="24"/>
          <w:lang w:val="cs-CZ" w:eastAsia="de-AT"/>
        </w:rPr>
        <w:t xml:space="preserve">. Tato pravidla </w:t>
      </w:r>
      <w:r w:rsidRPr="0055589B">
        <w:rPr>
          <w:rFonts w:ascii="Arial" w:hAnsi="Arial" w:cs="Arial"/>
          <w:color w:val="000000" w:themeColor="text1"/>
          <w:szCs w:val="24"/>
          <w:lang w:val="cs-CZ" w:eastAsia="de-AT"/>
        </w:rPr>
        <w:t>týkající se v</w:t>
      </w:r>
      <w:r w:rsidR="002A71F9" w:rsidRPr="0055589B">
        <w:rPr>
          <w:rFonts w:ascii="Arial" w:hAnsi="Arial" w:cs="Arial"/>
          <w:color w:val="000000" w:themeColor="text1"/>
          <w:szCs w:val="24"/>
          <w:lang w:val="cs-CZ" w:eastAsia="de-AT"/>
        </w:rPr>
        <w:t xml:space="preserve">ýplaty podílů ve </w:t>
      </w:r>
      <w:r w:rsidRPr="0055589B">
        <w:rPr>
          <w:rFonts w:ascii="Arial" w:hAnsi="Arial" w:cs="Arial"/>
          <w:color w:val="000000" w:themeColor="text1"/>
          <w:szCs w:val="24"/>
          <w:lang w:val="cs-CZ" w:eastAsia="de-AT"/>
        </w:rPr>
        <w:t xml:space="preserve">zvláštních fondech se neuplatní v případech, kdy vnitrostátní právní předpisy umožňují použití </w:t>
      </w:r>
      <w:r w:rsidR="002A71F9" w:rsidRPr="0055589B">
        <w:rPr>
          <w:rFonts w:ascii="Arial" w:hAnsi="Arial" w:cs="Arial"/>
          <w:color w:val="000000" w:themeColor="text1"/>
          <w:szCs w:val="24"/>
          <w:lang w:val="cs-CZ" w:eastAsia="de-AT"/>
        </w:rPr>
        <w:t xml:space="preserve">podílů </w:t>
      </w:r>
      <w:r w:rsidRPr="0055589B">
        <w:rPr>
          <w:rFonts w:ascii="Arial" w:hAnsi="Arial" w:cs="Arial"/>
          <w:color w:val="000000" w:themeColor="text1"/>
          <w:szCs w:val="24"/>
          <w:lang w:val="cs-CZ" w:eastAsia="de-AT"/>
        </w:rPr>
        <w:t xml:space="preserve">ve zvláštních fondech </w:t>
      </w:r>
      <w:r w:rsidR="002A71F9" w:rsidRPr="0055589B">
        <w:rPr>
          <w:rFonts w:ascii="Arial" w:hAnsi="Arial" w:cs="Arial"/>
          <w:color w:val="000000" w:themeColor="text1"/>
          <w:szCs w:val="24"/>
          <w:lang w:val="cs-CZ" w:eastAsia="de-AT"/>
        </w:rPr>
        <w:t xml:space="preserve">pro </w:t>
      </w:r>
      <w:r w:rsidRPr="0055589B">
        <w:rPr>
          <w:rFonts w:ascii="Arial" w:hAnsi="Arial" w:cs="Arial"/>
          <w:color w:val="000000" w:themeColor="text1"/>
          <w:szCs w:val="24"/>
          <w:lang w:val="cs-CZ" w:eastAsia="de-AT"/>
        </w:rPr>
        <w:t>účel</w:t>
      </w:r>
      <w:r w:rsidR="002A71F9" w:rsidRPr="0055589B">
        <w:rPr>
          <w:rFonts w:ascii="Arial" w:hAnsi="Arial" w:cs="Arial"/>
          <w:color w:val="000000" w:themeColor="text1"/>
          <w:szCs w:val="24"/>
          <w:lang w:val="cs-CZ" w:eastAsia="de-AT"/>
        </w:rPr>
        <w:t xml:space="preserve">y variabilní </w:t>
      </w:r>
      <w:r w:rsidRPr="0055589B">
        <w:rPr>
          <w:rFonts w:ascii="Arial" w:hAnsi="Arial" w:cs="Arial"/>
          <w:color w:val="000000" w:themeColor="text1"/>
          <w:szCs w:val="24"/>
          <w:lang w:val="cs-CZ" w:eastAsia="de-AT"/>
        </w:rPr>
        <w:t>odměny.</w:t>
      </w:r>
    </w:p>
    <w:p w14:paraId="2FFA9FC3" w14:textId="46DCAF37"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Vzhledem k tomu, že výplata </w:t>
      </w:r>
      <w:r w:rsidR="00682E98" w:rsidRPr="0055589B">
        <w:rPr>
          <w:rFonts w:ascii="Arial" w:hAnsi="Arial" w:cs="Arial"/>
          <w:color w:val="000000" w:themeColor="text1"/>
          <w:szCs w:val="24"/>
          <w:lang w:val="cs-CZ" w:eastAsia="de-AT"/>
        </w:rPr>
        <w:t xml:space="preserve">variabilní </w:t>
      </w:r>
      <w:r w:rsidRPr="0055589B">
        <w:rPr>
          <w:rFonts w:ascii="Arial" w:hAnsi="Arial" w:cs="Arial"/>
          <w:color w:val="000000" w:themeColor="text1"/>
          <w:szCs w:val="24"/>
          <w:lang w:val="cs-CZ" w:eastAsia="de-AT"/>
        </w:rPr>
        <w:t>odměny v</w:t>
      </w:r>
      <w:r w:rsidR="00682E98" w:rsidRPr="0055589B">
        <w:rPr>
          <w:rFonts w:ascii="Arial" w:hAnsi="Arial" w:cs="Arial"/>
          <w:color w:val="000000" w:themeColor="text1"/>
          <w:szCs w:val="24"/>
          <w:lang w:val="cs-CZ" w:eastAsia="de-AT"/>
        </w:rPr>
        <w:t xml:space="preserve">e formě podílů na nástrojích AIF nebo </w:t>
      </w:r>
      <w:r w:rsidR="00C05D6C" w:rsidRPr="0055589B">
        <w:rPr>
          <w:rFonts w:ascii="Arial" w:hAnsi="Arial" w:cs="Arial"/>
          <w:color w:val="000000" w:themeColor="text1"/>
          <w:szCs w:val="24"/>
          <w:lang w:val="cs-CZ" w:eastAsia="de-AT"/>
        </w:rPr>
        <w:t>SKIPCP</w:t>
      </w:r>
      <w:r w:rsidR="00682E98" w:rsidRPr="0055589B">
        <w:rPr>
          <w:rFonts w:ascii="Arial" w:hAnsi="Arial" w:cs="Arial"/>
          <w:color w:val="000000" w:themeColor="text1"/>
          <w:szCs w:val="24"/>
          <w:lang w:val="cs-CZ" w:eastAsia="de-AT"/>
        </w:rPr>
        <w:t>, nástrojích s nimi souvisejících nebo ve formě r</w:t>
      </w:r>
      <w:r w:rsidRPr="0055589B">
        <w:rPr>
          <w:rFonts w:ascii="Arial" w:hAnsi="Arial" w:cs="Arial"/>
          <w:color w:val="000000" w:themeColor="text1"/>
          <w:szCs w:val="24"/>
          <w:lang w:val="cs-CZ" w:eastAsia="de-AT"/>
        </w:rPr>
        <w:t>ovnocenných bezhotovostní nástroj</w:t>
      </w:r>
      <w:r w:rsidR="00682E98" w:rsidRPr="0055589B">
        <w:rPr>
          <w:rFonts w:ascii="Arial" w:hAnsi="Arial" w:cs="Arial"/>
          <w:color w:val="000000" w:themeColor="text1"/>
          <w:szCs w:val="24"/>
          <w:lang w:val="cs-CZ" w:eastAsia="de-AT"/>
        </w:rPr>
        <w:t>ů</w:t>
      </w:r>
      <w:r w:rsidRPr="0055589B">
        <w:rPr>
          <w:rFonts w:ascii="Arial" w:hAnsi="Arial" w:cs="Arial"/>
          <w:color w:val="000000" w:themeColor="text1"/>
          <w:szCs w:val="24"/>
          <w:lang w:val="cs-CZ" w:eastAsia="de-AT"/>
        </w:rPr>
        <w:t xml:space="preserve"> je povinná, </w:t>
      </w:r>
      <w:r w:rsidR="00682E98" w:rsidRPr="0055589B">
        <w:rPr>
          <w:rFonts w:ascii="Arial" w:hAnsi="Arial" w:cs="Arial"/>
          <w:color w:val="000000" w:themeColor="text1"/>
          <w:szCs w:val="24"/>
          <w:lang w:val="cs-CZ" w:eastAsia="de-AT"/>
        </w:rPr>
        <w:t xml:space="preserve">nedochází k neutralizaci plateb </w:t>
      </w:r>
      <w:r w:rsidRPr="0055589B">
        <w:rPr>
          <w:rFonts w:ascii="Arial" w:hAnsi="Arial" w:cs="Arial"/>
          <w:color w:val="000000" w:themeColor="text1"/>
          <w:szCs w:val="24"/>
          <w:lang w:val="cs-CZ" w:eastAsia="de-AT"/>
        </w:rPr>
        <w:t>v</w:t>
      </w:r>
      <w:r w:rsidR="00682E98" w:rsidRPr="0055589B">
        <w:rPr>
          <w:rFonts w:ascii="Arial" w:hAnsi="Arial" w:cs="Arial"/>
          <w:color w:val="000000" w:themeColor="text1"/>
          <w:szCs w:val="24"/>
          <w:lang w:val="cs-CZ" w:eastAsia="de-AT"/>
        </w:rPr>
        <w:t xml:space="preserve">e formě </w:t>
      </w:r>
      <w:r w:rsidRPr="0055589B">
        <w:rPr>
          <w:rFonts w:ascii="Arial" w:hAnsi="Arial" w:cs="Arial"/>
          <w:color w:val="000000" w:themeColor="text1"/>
          <w:szCs w:val="24"/>
          <w:lang w:val="cs-CZ" w:eastAsia="de-AT"/>
        </w:rPr>
        <w:t>nástroj</w:t>
      </w:r>
      <w:r w:rsidR="00682E98" w:rsidRPr="0055589B">
        <w:rPr>
          <w:rFonts w:ascii="Arial" w:hAnsi="Arial" w:cs="Arial"/>
          <w:color w:val="000000" w:themeColor="text1"/>
          <w:szCs w:val="24"/>
          <w:lang w:val="cs-CZ" w:eastAsia="de-AT"/>
        </w:rPr>
        <w:t xml:space="preserve">ů. </w:t>
      </w:r>
      <w:r w:rsidRPr="0055589B">
        <w:rPr>
          <w:rFonts w:ascii="Arial" w:hAnsi="Arial" w:cs="Arial"/>
          <w:color w:val="000000" w:themeColor="text1"/>
          <w:szCs w:val="24"/>
          <w:lang w:val="cs-CZ" w:eastAsia="de-AT"/>
        </w:rPr>
        <w:t>Po v</w:t>
      </w:r>
      <w:r w:rsidR="00682E98" w:rsidRPr="0055589B">
        <w:rPr>
          <w:rFonts w:ascii="Arial" w:hAnsi="Arial" w:cs="Arial"/>
          <w:color w:val="000000" w:themeColor="text1"/>
          <w:szCs w:val="24"/>
          <w:lang w:val="cs-CZ" w:eastAsia="de-AT"/>
        </w:rPr>
        <w:t xml:space="preserve">ýplatě </w:t>
      </w:r>
      <w:r w:rsidR="00DA52FA" w:rsidRPr="0055589B">
        <w:rPr>
          <w:rFonts w:ascii="Arial" w:hAnsi="Arial" w:cs="Arial"/>
          <w:color w:val="000000" w:themeColor="text1"/>
          <w:szCs w:val="24"/>
          <w:lang w:val="cs-CZ" w:eastAsia="de-AT"/>
        </w:rPr>
        <w:t>pohybliv</w:t>
      </w:r>
      <w:r w:rsidRPr="0055589B">
        <w:rPr>
          <w:rFonts w:ascii="Arial" w:hAnsi="Arial" w:cs="Arial"/>
          <w:color w:val="000000" w:themeColor="text1"/>
          <w:szCs w:val="24"/>
          <w:lang w:val="cs-CZ" w:eastAsia="de-AT"/>
        </w:rPr>
        <w:t>é odměny v</w:t>
      </w:r>
      <w:r w:rsidR="00682E98" w:rsidRPr="0055589B">
        <w:rPr>
          <w:rFonts w:ascii="Arial" w:hAnsi="Arial" w:cs="Arial"/>
          <w:color w:val="000000" w:themeColor="text1"/>
          <w:szCs w:val="24"/>
          <w:lang w:val="cs-CZ" w:eastAsia="de-AT"/>
        </w:rPr>
        <w:t xml:space="preserve"> podílech na </w:t>
      </w:r>
      <w:r w:rsidRPr="0055589B">
        <w:rPr>
          <w:rFonts w:ascii="Arial" w:hAnsi="Arial" w:cs="Arial"/>
          <w:color w:val="000000" w:themeColor="text1"/>
          <w:szCs w:val="24"/>
          <w:lang w:val="cs-CZ" w:eastAsia="de-AT"/>
        </w:rPr>
        <w:t xml:space="preserve">AIF nebo </w:t>
      </w:r>
      <w:r w:rsidR="00C05D6C" w:rsidRPr="0055589B">
        <w:rPr>
          <w:rFonts w:ascii="Arial" w:hAnsi="Arial" w:cs="Arial"/>
          <w:color w:val="000000" w:themeColor="text1"/>
          <w:szCs w:val="24"/>
          <w:lang w:val="cs-CZ" w:eastAsia="de-AT"/>
        </w:rPr>
        <w:t>SKIPCP</w:t>
      </w:r>
      <w:r w:rsidRPr="0055589B">
        <w:rPr>
          <w:rFonts w:ascii="Arial" w:hAnsi="Arial" w:cs="Arial"/>
          <w:color w:val="000000" w:themeColor="text1"/>
          <w:szCs w:val="24"/>
          <w:lang w:val="cs-CZ" w:eastAsia="de-AT"/>
        </w:rPr>
        <w:t xml:space="preserve"> se uplatní požadavek na retenční období </w:t>
      </w:r>
      <w:r w:rsidR="00CF480D" w:rsidRPr="0055589B">
        <w:rPr>
          <w:rFonts w:ascii="Arial" w:hAnsi="Arial" w:cs="Arial"/>
          <w:color w:val="000000" w:themeColor="text1"/>
          <w:szCs w:val="24"/>
          <w:lang w:val="cs-CZ" w:eastAsia="de-AT"/>
        </w:rPr>
        <w:t xml:space="preserve">zakotvený v poznámce </w:t>
      </w:r>
      <w:proofErr w:type="gramStart"/>
      <w:r w:rsidRPr="0055589B">
        <w:rPr>
          <w:rFonts w:ascii="Arial" w:hAnsi="Arial" w:cs="Arial"/>
          <w:color w:val="000000" w:themeColor="text1"/>
          <w:szCs w:val="24"/>
          <w:lang w:val="cs-CZ" w:eastAsia="de-AT"/>
        </w:rPr>
        <w:t>137ff</w:t>
      </w:r>
      <w:proofErr w:type="gramEnd"/>
      <w:r w:rsidRPr="0055589B">
        <w:rPr>
          <w:rFonts w:ascii="Arial" w:hAnsi="Arial" w:cs="Arial"/>
          <w:color w:val="000000" w:themeColor="text1"/>
          <w:szCs w:val="24"/>
          <w:lang w:val="cs-CZ" w:eastAsia="de-AT"/>
        </w:rPr>
        <w:t>, strana 29</w:t>
      </w:r>
      <w:r w:rsidR="00CF480D" w:rsidRPr="0055589B">
        <w:rPr>
          <w:rFonts w:ascii="Arial" w:hAnsi="Arial" w:cs="Arial"/>
          <w:color w:val="000000" w:themeColor="text1"/>
          <w:szCs w:val="24"/>
          <w:lang w:val="cs-CZ" w:eastAsia="de-AT"/>
        </w:rPr>
        <w:t>, k</w:t>
      </w:r>
      <w:r w:rsidRPr="0055589B">
        <w:rPr>
          <w:rFonts w:ascii="Arial" w:hAnsi="Arial" w:cs="Arial"/>
          <w:color w:val="000000" w:themeColor="text1"/>
          <w:szCs w:val="24"/>
          <w:lang w:val="cs-CZ" w:eastAsia="de-AT"/>
        </w:rPr>
        <w:t xml:space="preserve"> </w:t>
      </w:r>
      <w:r w:rsidR="00A431F8" w:rsidRPr="0055589B">
        <w:rPr>
          <w:rFonts w:ascii="Arial" w:hAnsi="Arial" w:cs="Arial"/>
          <w:color w:val="000000" w:themeColor="text1"/>
          <w:szCs w:val="24"/>
          <w:lang w:val="cs-CZ" w:eastAsia="de-AT"/>
        </w:rPr>
        <w:t>Pokyn</w:t>
      </w:r>
      <w:r w:rsidR="00CF480D" w:rsidRPr="0055589B">
        <w:rPr>
          <w:rFonts w:ascii="Arial" w:hAnsi="Arial" w:cs="Arial"/>
          <w:color w:val="000000" w:themeColor="text1"/>
          <w:szCs w:val="24"/>
          <w:lang w:val="cs-CZ" w:eastAsia="de-AT"/>
        </w:rPr>
        <w:t>ům</w:t>
      </w:r>
      <w:r w:rsidR="00A431F8"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 xml:space="preserve">ESMA </w:t>
      </w:r>
      <w:r w:rsidR="00A431F8" w:rsidRPr="0055589B">
        <w:rPr>
          <w:rFonts w:ascii="Arial" w:hAnsi="Arial" w:cs="Arial"/>
          <w:color w:val="000000" w:themeColor="text1"/>
          <w:szCs w:val="24"/>
          <w:lang w:val="cs-CZ" w:eastAsia="de-AT"/>
        </w:rPr>
        <w:t xml:space="preserve">o odměňování podle </w:t>
      </w:r>
      <w:r w:rsidRPr="0055589B">
        <w:rPr>
          <w:rFonts w:ascii="Arial" w:hAnsi="Arial" w:cs="Arial"/>
          <w:color w:val="000000" w:themeColor="text1"/>
          <w:szCs w:val="24"/>
          <w:lang w:val="cs-CZ" w:eastAsia="de-AT"/>
        </w:rPr>
        <w:t xml:space="preserve">AIFM. Zaměstnanci proto nesmějí prodávat </w:t>
      </w:r>
      <w:r w:rsidR="00CF480D" w:rsidRPr="0055589B">
        <w:rPr>
          <w:rFonts w:ascii="Arial" w:hAnsi="Arial" w:cs="Arial"/>
          <w:color w:val="000000" w:themeColor="text1"/>
          <w:szCs w:val="24"/>
          <w:lang w:val="cs-CZ" w:eastAsia="de-AT"/>
        </w:rPr>
        <w:t xml:space="preserve">své podíly na </w:t>
      </w:r>
      <w:r w:rsidRPr="0055589B">
        <w:rPr>
          <w:rFonts w:ascii="Arial" w:hAnsi="Arial" w:cs="Arial"/>
          <w:color w:val="000000" w:themeColor="text1"/>
          <w:szCs w:val="24"/>
          <w:lang w:val="cs-CZ" w:eastAsia="de-AT"/>
        </w:rPr>
        <w:t xml:space="preserve">AIF nebo </w:t>
      </w:r>
      <w:r w:rsidR="00C05D6C" w:rsidRPr="0055589B">
        <w:rPr>
          <w:rFonts w:ascii="Arial" w:hAnsi="Arial" w:cs="Arial"/>
          <w:color w:val="000000" w:themeColor="text1"/>
          <w:szCs w:val="24"/>
          <w:lang w:val="cs-CZ" w:eastAsia="de-AT"/>
        </w:rPr>
        <w:t>SKIPCP</w:t>
      </w:r>
      <w:r w:rsidRPr="0055589B">
        <w:rPr>
          <w:rFonts w:ascii="Arial" w:hAnsi="Arial" w:cs="Arial"/>
          <w:color w:val="000000" w:themeColor="text1"/>
          <w:szCs w:val="24"/>
          <w:lang w:val="cs-CZ" w:eastAsia="de-AT"/>
        </w:rPr>
        <w:t xml:space="preserve"> </w:t>
      </w:r>
      <w:r w:rsidR="00CF480D" w:rsidRPr="0055589B">
        <w:rPr>
          <w:rFonts w:ascii="Arial" w:hAnsi="Arial" w:cs="Arial"/>
          <w:color w:val="000000" w:themeColor="text1"/>
          <w:szCs w:val="24"/>
          <w:lang w:val="cs-CZ" w:eastAsia="de-AT"/>
        </w:rPr>
        <w:t>získané v průběhu jednoletého r</w:t>
      </w:r>
      <w:r w:rsidRPr="0055589B">
        <w:rPr>
          <w:rFonts w:ascii="Arial" w:hAnsi="Arial" w:cs="Arial"/>
          <w:color w:val="000000" w:themeColor="text1"/>
          <w:szCs w:val="24"/>
          <w:lang w:val="cs-CZ" w:eastAsia="de-AT"/>
        </w:rPr>
        <w:t>etenčního období</w:t>
      </w:r>
      <w:r w:rsidR="00CF480D" w:rsidRPr="0055589B">
        <w:rPr>
          <w:rFonts w:ascii="Arial" w:hAnsi="Arial" w:cs="Arial"/>
          <w:color w:val="000000" w:themeColor="text1"/>
          <w:szCs w:val="24"/>
          <w:lang w:val="cs-CZ" w:eastAsia="de-AT"/>
        </w:rPr>
        <w:t xml:space="preserve">, které platí pro pracovníky podstupující rizika, kteří dostávají </w:t>
      </w:r>
      <w:r w:rsidRPr="0055589B">
        <w:rPr>
          <w:rFonts w:ascii="Arial" w:hAnsi="Arial" w:cs="Arial"/>
          <w:color w:val="000000" w:themeColor="text1"/>
          <w:szCs w:val="24"/>
          <w:lang w:val="cs-CZ" w:eastAsia="de-AT"/>
        </w:rPr>
        <w:t>variabilní odměny v</w:t>
      </w:r>
      <w:r w:rsidR="00CF480D" w:rsidRPr="0055589B">
        <w:rPr>
          <w:rFonts w:ascii="Arial" w:hAnsi="Arial" w:cs="Arial"/>
          <w:color w:val="000000" w:themeColor="text1"/>
          <w:szCs w:val="24"/>
          <w:lang w:val="cs-CZ" w:eastAsia="de-AT"/>
        </w:rPr>
        <w:t xml:space="preserve">e formě podílů na </w:t>
      </w:r>
      <w:r w:rsidRPr="0055589B">
        <w:rPr>
          <w:rFonts w:ascii="Arial" w:hAnsi="Arial" w:cs="Arial"/>
          <w:color w:val="000000" w:themeColor="text1"/>
          <w:szCs w:val="24"/>
          <w:lang w:val="cs-CZ" w:eastAsia="de-AT"/>
        </w:rPr>
        <w:t xml:space="preserve">AIF nebo </w:t>
      </w:r>
      <w:r w:rsidR="00C05D6C" w:rsidRPr="0055589B">
        <w:rPr>
          <w:rFonts w:ascii="Arial" w:hAnsi="Arial" w:cs="Arial"/>
          <w:color w:val="000000" w:themeColor="text1"/>
          <w:szCs w:val="24"/>
          <w:lang w:val="cs-CZ" w:eastAsia="de-AT"/>
        </w:rPr>
        <w:t>SKIPCP</w:t>
      </w:r>
      <w:r w:rsidRPr="0055589B">
        <w:rPr>
          <w:rFonts w:ascii="Arial" w:hAnsi="Arial" w:cs="Arial"/>
          <w:color w:val="000000" w:themeColor="text1"/>
          <w:szCs w:val="24"/>
          <w:lang w:val="cs-CZ" w:eastAsia="de-AT"/>
        </w:rPr>
        <w:t xml:space="preserve">. </w:t>
      </w:r>
      <w:r w:rsidR="00CF480D" w:rsidRPr="0055589B">
        <w:rPr>
          <w:rFonts w:ascii="Arial" w:hAnsi="Arial" w:cs="Arial"/>
          <w:color w:val="000000" w:themeColor="text1"/>
          <w:szCs w:val="24"/>
          <w:lang w:val="cs-CZ" w:eastAsia="de-AT"/>
        </w:rPr>
        <w:t>Vyplácí-li se v</w:t>
      </w:r>
      <w:r w:rsidRPr="0055589B">
        <w:rPr>
          <w:rFonts w:ascii="Arial" w:hAnsi="Arial" w:cs="Arial"/>
          <w:color w:val="000000" w:themeColor="text1"/>
          <w:szCs w:val="24"/>
          <w:lang w:val="cs-CZ" w:eastAsia="de-AT"/>
        </w:rPr>
        <w:t xml:space="preserve">ariabilní odměny </w:t>
      </w:r>
      <w:r w:rsidR="00CF480D" w:rsidRPr="0055589B">
        <w:rPr>
          <w:rFonts w:ascii="Arial" w:hAnsi="Arial" w:cs="Arial"/>
          <w:color w:val="000000" w:themeColor="text1"/>
          <w:szCs w:val="24"/>
          <w:lang w:val="cs-CZ" w:eastAsia="de-AT"/>
        </w:rPr>
        <w:t>ve formě fiktivních nástrojů, zůstávají tyto nástroje ve Spo</w:t>
      </w:r>
      <w:r w:rsidRPr="0055589B">
        <w:rPr>
          <w:rFonts w:ascii="Arial" w:hAnsi="Arial" w:cs="Arial"/>
          <w:color w:val="000000" w:themeColor="text1"/>
          <w:szCs w:val="24"/>
          <w:lang w:val="cs-CZ" w:eastAsia="de-AT"/>
        </w:rPr>
        <w:t xml:space="preserve">lečnosti. </w:t>
      </w:r>
      <w:r w:rsidR="009D5052" w:rsidRPr="0055589B">
        <w:rPr>
          <w:rFonts w:ascii="Arial" w:hAnsi="Arial" w:cs="Arial"/>
          <w:color w:val="000000" w:themeColor="text1"/>
          <w:szCs w:val="24"/>
          <w:lang w:val="cs-CZ" w:eastAsia="de-AT"/>
        </w:rPr>
        <w:t>Po uplynutí retenčního období se fiktivního nástroje vyplácejí</w:t>
      </w:r>
      <w:r w:rsidRPr="0055589B">
        <w:rPr>
          <w:rFonts w:ascii="Arial" w:hAnsi="Arial" w:cs="Arial"/>
          <w:color w:val="000000" w:themeColor="text1"/>
          <w:szCs w:val="24"/>
          <w:lang w:val="cs-CZ" w:eastAsia="de-AT"/>
        </w:rPr>
        <w:t xml:space="preserve"> v hotovosti.</w:t>
      </w:r>
    </w:p>
    <w:p w14:paraId="3CCFCF9C" w14:textId="330DF08F" w:rsidR="00224561" w:rsidRPr="0055589B" w:rsidRDefault="00224561" w:rsidP="006033BF">
      <w:pPr>
        <w:pStyle w:val="Nadpis3"/>
        <w:rPr>
          <w:rFonts w:eastAsia="Times New Roman"/>
          <w:color w:val="000000" w:themeColor="text1"/>
          <w:lang w:val="cs-CZ"/>
        </w:rPr>
      </w:pPr>
      <w:bookmarkStart w:id="56" w:name="_Toc108689223"/>
      <w:r w:rsidRPr="0055589B">
        <w:rPr>
          <w:color w:val="000000" w:themeColor="text1"/>
          <w:lang w:val="cs-CZ"/>
        </w:rPr>
        <w:t>Retenční</w:t>
      </w:r>
      <w:r w:rsidR="00682E98" w:rsidRPr="0055589B">
        <w:rPr>
          <w:color w:val="000000" w:themeColor="text1"/>
          <w:lang w:val="cs-CZ"/>
        </w:rPr>
        <w:t xml:space="preserve"> období</w:t>
      </w:r>
      <w:bookmarkEnd w:id="56"/>
    </w:p>
    <w:p w14:paraId="0B5C705D" w14:textId="20C7B656"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Účelem retenčního období je sladit nástroje s dlouhodobějšími zájmy společnosti</w:t>
      </w:r>
      <w:r w:rsidR="00653314" w:rsidRPr="0055589B">
        <w:rPr>
          <w:rFonts w:ascii="Arial" w:hAnsi="Arial" w:cs="Arial"/>
          <w:color w:val="000000" w:themeColor="text1"/>
          <w:szCs w:val="24"/>
          <w:lang w:val="cs-CZ" w:eastAsia="de-AT"/>
        </w:rPr>
        <w:t xml:space="preserve">. Je navázáno na </w:t>
      </w:r>
      <w:r w:rsidRPr="0055589B">
        <w:rPr>
          <w:rFonts w:ascii="Arial" w:hAnsi="Arial" w:cs="Arial"/>
          <w:color w:val="000000" w:themeColor="text1"/>
          <w:szCs w:val="24"/>
          <w:lang w:val="cs-CZ" w:eastAsia="de-AT"/>
        </w:rPr>
        <w:t>vícelet</w:t>
      </w:r>
      <w:r w:rsidR="00653314" w:rsidRPr="0055589B">
        <w:rPr>
          <w:rFonts w:ascii="Arial" w:hAnsi="Arial" w:cs="Arial"/>
          <w:color w:val="000000" w:themeColor="text1"/>
          <w:szCs w:val="24"/>
          <w:lang w:val="cs-CZ" w:eastAsia="de-AT"/>
        </w:rPr>
        <w:t>é</w:t>
      </w:r>
      <w:r w:rsidRPr="0055589B">
        <w:rPr>
          <w:rFonts w:ascii="Arial" w:hAnsi="Arial" w:cs="Arial"/>
          <w:color w:val="000000" w:themeColor="text1"/>
          <w:szCs w:val="24"/>
          <w:lang w:val="cs-CZ" w:eastAsia="de-AT"/>
        </w:rPr>
        <w:t xml:space="preserve"> hodnocení výkonnosti. Retenční období začíná dnem </w:t>
      </w:r>
      <w:r w:rsidR="00E72F7C" w:rsidRPr="0055589B">
        <w:rPr>
          <w:rFonts w:ascii="Arial" w:hAnsi="Arial" w:cs="Arial"/>
          <w:color w:val="000000" w:themeColor="text1"/>
          <w:szCs w:val="24"/>
          <w:lang w:val="cs-CZ" w:eastAsia="de-AT"/>
        </w:rPr>
        <w:t>alokace</w:t>
      </w:r>
      <w:r w:rsidRPr="0055589B">
        <w:rPr>
          <w:rFonts w:ascii="Arial" w:hAnsi="Arial" w:cs="Arial"/>
          <w:color w:val="000000" w:themeColor="text1"/>
          <w:szCs w:val="24"/>
          <w:lang w:val="cs-CZ" w:eastAsia="de-AT"/>
        </w:rPr>
        <w:t xml:space="preserve"> a </w:t>
      </w:r>
      <w:proofErr w:type="gramStart"/>
      <w:r w:rsidR="00E72F7C" w:rsidRPr="0055589B">
        <w:rPr>
          <w:rFonts w:ascii="Arial" w:hAnsi="Arial" w:cs="Arial"/>
          <w:color w:val="000000" w:themeColor="text1"/>
          <w:szCs w:val="24"/>
          <w:lang w:val="cs-CZ" w:eastAsia="de-AT"/>
        </w:rPr>
        <w:t>běží</w:t>
      </w:r>
      <w:proofErr w:type="gramEnd"/>
      <w:r w:rsidR="00E72F7C" w:rsidRPr="0055589B">
        <w:rPr>
          <w:rFonts w:ascii="Arial" w:hAnsi="Arial" w:cs="Arial"/>
          <w:color w:val="000000" w:themeColor="text1"/>
          <w:szCs w:val="24"/>
          <w:lang w:val="cs-CZ" w:eastAsia="de-AT"/>
        </w:rPr>
        <w:t xml:space="preserve"> po dobu</w:t>
      </w:r>
      <w:r w:rsidRPr="0055589B">
        <w:rPr>
          <w:rFonts w:ascii="Arial" w:hAnsi="Arial" w:cs="Arial"/>
          <w:color w:val="000000" w:themeColor="text1"/>
          <w:szCs w:val="24"/>
          <w:lang w:val="cs-CZ" w:eastAsia="de-AT"/>
        </w:rPr>
        <w:t xml:space="preserve"> jednoho kalendářního roku. Zákonné požadavky příslušných orgánů finančního trhu mohou vyžadovat delší retenční období. Během retenčního období se může změnit pouze hodnota přiděleného nástroje.</w:t>
      </w:r>
    </w:p>
    <w:p w14:paraId="744F4758" w14:textId="14143E89"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Samotná alokace se nemění s výjimkou </w:t>
      </w:r>
      <w:r w:rsidR="00E72F7C" w:rsidRPr="0055589B">
        <w:rPr>
          <w:rFonts w:ascii="Arial" w:hAnsi="Arial" w:cs="Arial"/>
          <w:color w:val="000000" w:themeColor="text1"/>
          <w:szCs w:val="24"/>
          <w:lang w:val="cs-CZ" w:eastAsia="de-AT"/>
        </w:rPr>
        <w:t>případů krácení bonusů.</w:t>
      </w:r>
    </w:p>
    <w:p w14:paraId="2070F794" w14:textId="1CDFF3F0" w:rsidR="00224561" w:rsidRPr="0055589B" w:rsidRDefault="00224561" w:rsidP="006033BF">
      <w:pPr>
        <w:pStyle w:val="Nadpis3"/>
        <w:rPr>
          <w:rFonts w:eastAsia="Times New Roman"/>
          <w:color w:val="000000" w:themeColor="text1"/>
          <w:lang w:val="cs-CZ"/>
        </w:rPr>
      </w:pPr>
      <w:bookmarkStart w:id="57" w:name="_Toc108689224"/>
      <w:r w:rsidRPr="0055589B">
        <w:rPr>
          <w:color w:val="000000" w:themeColor="text1"/>
          <w:lang w:val="cs-CZ"/>
        </w:rPr>
        <w:t xml:space="preserve">Fiktivní </w:t>
      </w:r>
      <w:r w:rsidR="00E72F7C" w:rsidRPr="0055589B">
        <w:rPr>
          <w:color w:val="000000" w:themeColor="text1"/>
          <w:lang w:val="cs-CZ"/>
        </w:rPr>
        <w:t xml:space="preserve">akciový </w:t>
      </w:r>
      <w:r w:rsidRPr="0055589B">
        <w:rPr>
          <w:color w:val="000000" w:themeColor="text1"/>
          <w:lang w:val="cs-CZ"/>
        </w:rPr>
        <w:t>plán</w:t>
      </w:r>
      <w:bookmarkEnd w:id="57"/>
      <w:r w:rsidRPr="0055589B">
        <w:rPr>
          <w:color w:val="000000" w:themeColor="text1"/>
          <w:lang w:val="cs-CZ"/>
        </w:rPr>
        <w:t xml:space="preserve"> </w:t>
      </w:r>
    </w:p>
    <w:p w14:paraId="28D69EF1" w14:textId="1E7BC3E5" w:rsidR="00224561" w:rsidRPr="0055589B" w:rsidRDefault="006B7C58"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Nepeněžní </w:t>
      </w:r>
      <w:r w:rsidR="00224561" w:rsidRPr="0055589B">
        <w:rPr>
          <w:rFonts w:ascii="Arial" w:hAnsi="Arial" w:cs="Arial"/>
          <w:color w:val="000000" w:themeColor="text1"/>
          <w:szCs w:val="24"/>
          <w:lang w:val="cs-CZ" w:eastAsia="de-AT"/>
        </w:rPr>
        <w:t xml:space="preserve">instrumenty pro </w:t>
      </w:r>
      <w:r w:rsidRPr="0055589B">
        <w:rPr>
          <w:rFonts w:ascii="Arial" w:hAnsi="Arial" w:cs="Arial"/>
          <w:color w:val="000000" w:themeColor="text1"/>
          <w:szCs w:val="24"/>
          <w:lang w:val="cs-CZ" w:eastAsia="de-AT"/>
        </w:rPr>
        <w:t>pracovníky podstupující rizika, kteří se p</w:t>
      </w:r>
      <w:r w:rsidR="00224561" w:rsidRPr="0055589B">
        <w:rPr>
          <w:rFonts w:ascii="Arial" w:hAnsi="Arial" w:cs="Arial"/>
          <w:color w:val="000000" w:themeColor="text1"/>
          <w:szCs w:val="24"/>
          <w:lang w:val="cs-CZ" w:eastAsia="de-AT"/>
        </w:rPr>
        <w:t xml:space="preserve">římo </w:t>
      </w:r>
      <w:r w:rsidRPr="0055589B">
        <w:rPr>
          <w:rFonts w:ascii="Arial" w:hAnsi="Arial" w:cs="Arial"/>
          <w:color w:val="000000" w:themeColor="text1"/>
          <w:szCs w:val="24"/>
          <w:lang w:val="cs-CZ" w:eastAsia="de-AT"/>
        </w:rPr>
        <w:t xml:space="preserve">podílejí na správě fondu nebo portfolia, včetně </w:t>
      </w:r>
      <w:r w:rsidR="00224561" w:rsidRPr="0055589B">
        <w:rPr>
          <w:rFonts w:ascii="Arial" w:hAnsi="Arial" w:cs="Arial"/>
          <w:color w:val="000000" w:themeColor="text1"/>
          <w:szCs w:val="24"/>
          <w:lang w:val="cs-CZ" w:eastAsia="de-AT"/>
        </w:rPr>
        <w:t xml:space="preserve">členů </w:t>
      </w:r>
      <w:r w:rsidRPr="0055589B">
        <w:rPr>
          <w:rFonts w:ascii="Arial" w:hAnsi="Arial" w:cs="Arial"/>
          <w:color w:val="000000" w:themeColor="text1"/>
          <w:szCs w:val="24"/>
          <w:lang w:val="cs-CZ" w:eastAsia="de-AT"/>
        </w:rPr>
        <w:t>P</w:t>
      </w:r>
      <w:r w:rsidR="005401C8" w:rsidRPr="0055589B">
        <w:rPr>
          <w:rFonts w:ascii="Arial" w:hAnsi="Arial" w:cs="Arial"/>
          <w:color w:val="000000" w:themeColor="text1"/>
          <w:szCs w:val="24"/>
          <w:lang w:val="cs-CZ" w:eastAsia="de-AT"/>
        </w:rPr>
        <w:t>ředstavenstva</w:t>
      </w:r>
      <w:r w:rsidRPr="0055589B">
        <w:rPr>
          <w:rFonts w:ascii="Arial" w:hAnsi="Arial" w:cs="Arial"/>
          <w:color w:val="000000" w:themeColor="text1"/>
          <w:szCs w:val="24"/>
          <w:lang w:val="cs-CZ" w:eastAsia="de-AT"/>
        </w:rPr>
        <w:t xml:space="preserve">, zahrnují </w:t>
      </w:r>
      <w:r w:rsidR="00245581">
        <w:rPr>
          <w:rFonts w:ascii="Arial" w:hAnsi="Arial" w:cs="Arial"/>
          <w:color w:val="000000" w:themeColor="text1"/>
          <w:szCs w:val="24"/>
          <w:lang w:val="cs-CZ" w:eastAsia="de-AT"/>
        </w:rPr>
        <w:t xml:space="preserve">fiktivní podílové listy navázané na vybraný </w:t>
      </w:r>
      <w:r w:rsidR="00E55B8C">
        <w:rPr>
          <w:rFonts w:ascii="Arial" w:hAnsi="Arial" w:cs="Arial"/>
          <w:color w:val="000000" w:themeColor="text1"/>
          <w:szCs w:val="24"/>
          <w:lang w:val="cs-CZ" w:eastAsia="de-AT"/>
        </w:rPr>
        <w:t xml:space="preserve">podílový </w:t>
      </w:r>
      <w:r w:rsidR="00245581">
        <w:rPr>
          <w:rFonts w:ascii="Arial" w:hAnsi="Arial" w:cs="Arial"/>
          <w:color w:val="000000" w:themeColor="text1"/>
          <w:szCs w:val="24"/>
          <w:lang w:val="cs-CZ" w:eastAsia="de-AT"/>
        </w:rPr>
        <w:t>fond.</w:t>
      </w:r>
      <w:r w:rsidRPr="0055589B">
        <w:rPr>
          <w:rFonts w:ascii="Arial" w:hAnsi="Arial" w:cs="Arial"/>
          <w:color w:val="000000" w:themeColor="text1"/>
          <w:szCs w:val="24"/>
          <w:lang w:val="cs-CZ" w:eastAsia="de-AT"/>
        </w:rPr>
        <w:t xml:space="preserve"> Po </w:t>
      </w:r>
      <w:r w:rsidR="00224561" w:rsidRPr="0055589B">
        <w:rPr>
          <w:rFonts w:ascii="Arial" w:hAnsi="Arial" w:cs="Arial"/>
          <w:color w:val="000000" w:themeColor="text1"/>
          <w:szCs w:val="24"/>
          <w:lang w:val="cs-CZ" w:eastAsia="de-AT"/>
        </w:rPr>
        <w:t xml:space="preserve">uplynutí </w:t>
      </w:r>
      <w:r w:rsidRPr="0055589B">
        <w:rPr>
          <w:rFonts w:ascii="Arial" w:hAnsi="Arial" w:cs="Arial"/>
          <w:color w:val="000000" w:themeColor="text1"/>
          <w:szCs w:val="24"/>
          <w:lang w:val="cs-CZ" w:eastAsia="de-AT"/>
        </w:rPr>
        <w:t xml:space="preserve">hodnoceného </w:t>
      </w:r>
      <w:r w:rsidR="00224561" w:rsidRPr="0055589B">
        <w:rPr>
          <w:rFonts w:ascii="Arial" w:hAnsi="Arial" w:cs="Arial"/>
          <w:color w:val="000000" w:themeColor="text1"/>
          <w:szCs w:val="24"/>
          <w:lang w:val="cs-CZ" w:eastAsia="de-AT"/>
        </w:rPr>
        <w:t xml:space="preserve">období se počet </w:t>
      </w:r>
      <w:r w:rsidR="00245581">
        <w:rPr>
          <w:rFonts w:ascii="Arial" w:hAnsi="Arial" w:cs="Arial"/>
          <w:color w:val="000000" w:themeColor="text1"/>
          <w:szCs w:val="24"/>
          <w:lang w:val="cs-CZ" w:eastAsia="de-AT"/>
        </w:rPr>
        <w:t>těchto podílových listů</w:t>
      </w:r>
      <w:r w:rsidRPr="0055589B">
        <w:rPr>
          <w:rFonts w:ascii="Arial" w:hAnsi="Arial" w:cs="Arial"/>
          <w:color w:val="000000" w:themeColor="text1"/>
          <w:szCs w:val="24"/>
          <w:lang w:val="cs-CZ" w:eastAsia="de-AT"/>
        </w:rPr>
        <w:t xml:space="preserve">, které </w:t>
      </w:r>
      <w:r w:rsidR="00224561" w:rsidRPr="0055589B">
        <w:rPr>
          <w:rFonts w:ascii="Arial" w:hAnsi="Arial" w:cs="Arial"/>
          <w:color w:val="000000" w:themeColor="text1"/>
          <w:szCs w:val="24"/>
          <w:lang w:val="cs-CZ" w:eastAsia="de-AT"/>
        </w:rPr>
        <w:t xml:space="preserve">mají být přiděleny, </w:t>
      </w:r>
      <w:r w:rsidRPr="0055589B">
        <w:rPr>
          <w:rFonts w:ascii="Arial" w:hAnsi="Arial" w:cs="Arial"/>
          <w:color w:val="000000" w:themeColor="text1"/>
          <w:szCs w:val="24"/>
          <w:lang w:val="cs-CZ" w:eastAsia="de-AT"/>
        </w:rPr>
        <w:t xml:space="preserve">vypočte </w:t>
      </w:r>
      <w:r w:rsidR="00224561" w:rsidRPr="0055589B">
        <w:rPr>
          <w:rFonts w:ascii="Arial" w:hAnsi="Arial" w:cs="Arial"/>
          <w:color w:val="000000" w:themeColor="text1"/>
          <w:szCs w:val="24"/>
          <w:lang w:val="cs-CZ" w:eastAsia="de-AT"/>
        </w:rPr>
        <w:t>následujícím způsobem: 50</w:t>
      </w:r>
      <w:r w:rsidR="00061F03" w:rsidRPr="0055589B">
        <w:rPr>
          <w:rFonts w:ascii="Arial" w:hAnsi="Arial" w:cs="Arial"/>
          <w:color w:val="000000" w:themeColor="text1"/>
          <w:szCs w:val="24"/>
          <w:lang w:val="cs-CZ" w:eastAsia="de-AT"/>
        </w:rPr>
        <w:t xml:space="preserve"> </w:t>
      </w:r>
      <w:r w:rsidR="00224561" w:rsidRPr="0055589B">
        <w:rPr>
          <w:rFonts w:ascii="Arial" w:hAnsi="Arial" w:cs="Arial"/>
          <w:color w:val="000000" w:themeColor="text1"/>
          <w:szCs w:val="24"/>
          <w:lang w:val="cs-CZ" w:eastAsia="de-AT"/>
        </w:rPr>
        <w:t>% hrubé</w:t>
      </w:r>
      <w:r w:rsidR="00FD1D98" w:rsidRPr="0055589B">
        <w:rPr>
          <w:rFonts w:ascii="Arial" w:hAnsi="Arial" w:cs="Arial"/>
          <w:color w:val="000000" w:themeColor="text1"/>
          <w:szCs w:val="24"/>
          <w:lang w:val="cs-CZ" w:eastAsia="de-AT"/>
        </w:rPr>
        <w:t xml:space="preserve"> částky </w:t>
      </w:r>
      <w:r w:rsidR="00224561" w:rsidRPr="0055589B">
        <w:rPr>
          <w:rFonts w:ascii="Arial" w:hAnsi="Arial" w:cs="Arial"/>
          <w:color w:val="000000" w:themeColor="text1"/>
          <w:szCs w:val="24"/>
          <w:lang w:val="cs-CZ" w:eastAsia="de-AT"/>
        </w:rPr>
        <w:t>bonusu se vydělí průměrn</w:t>
      </w:r>
      <w:r w:rsidR="00FD1D98" w:rsidRPr="0055589B">
        <w:rPr>
          <w:rFonts w:ascii="Arial" w:hAnsi="Arial" w:cs="Arial"/>
          <w:color w:val="000000" w:themeColor="text1"/>
          <w:szCs w:val="24"/>
          <w:lang w:val="cs-CZ" w:eastAsia="de-AT"/>
        </w:rPr>
        <w:t>ou</w:t>
      </w:r>
      <w:r w:rsidR="00224561" w:rsidRPr="0055589B">
        <w:rPr>
          <w:rFonts w:ascii="Arial" w:hAnsi="Arial" w:cs="Arial"/>
          <w:color w:val="000000" w:themeColor="text1"/>
          <w:szCs w:val="24"/>
          <w:lang w:val="cs-CZ" w:eastAsia="de-AT"/>
        </w:rPr>
        <w:t xml:space="preserve"> vážen</w:t>
      </w:r>
      <w:r w:rsidR="00FD1D98" w:rsidRPr="0055589B">
        <w:rPr>
          <w:rFonts w:ascii="Arial" w:hAnsi="Arial" w:cs="Arial"/>
          <w:color w:val="000000" w:themeColor="text1"/>
          <w:szCs w:val="24"/>
          <w:lang w:val="cs-CZ" w:eastAsia="de-AT"/>
        </w:rPr>
        <w:t>ou</w:t>
      </w:r>
      <w:r w:rsidR="00224561" w:rsidRPr="0055589B">
        <w:rPr>
          <w:rFonts w:ascii="Arial" w:hAnsi="Arial" w:cs="Arial"/>
          <w:color w:val="000000" w:themeColor="text1"/>
          <w:szCs w:val="24"/>
          <w:lang w:val="cs-CZ" w:eastAsia="de-AT"/>
        </w:rPr>
        <w:t xml:space="preserve"> denní NAV </w:t>
      </w:r>
      <w:r w:rsidR="009B6683" w:rsidRPr="0055589B">
        <w:rPr>
          <w:rFonts w:ascii="Arial" w:hAnsi="Arial" w:cs="Arial"/>
          <w:color w:val="000000" w:themeColor="text1"/>
          <w:szCs w:val="24"/>
          <w:lang w:val="cs-CZ" w:eastAsia="de-AT"/>
        </w:rPr>
        <w:t xml:space="preserve">akcií příslušného fondu v průběhu hodnoceného </w:t>
      </w:r>
      <w:r w:rsidR="00224561" w:rsidRPr="0055589B">
        <w:rPr>
          <w:rFonts w:ascii="Arial" w:hAnsi="Arial" w:cs="Arial"/>
          <w:color w:val="000000" w:themeColor="text1"/>
          <w:szCs w:val="24"/>
          <w:lang w:val="cs-CZ" w:eastAsia="de-AT"/>
        </w:rPr>
        <w:t xml:space="preserve">období (rok n). Výsledkem je celkový počet </w:t>
      </w:r>
      <w:r w:rsidR="009B6683" w:rsidRPr="0055589B">
        <w:rPr>
          <w:rFonts w:ascii="Arial" w:hAnsi="Arial" w:cs="Arial"/>
          <w:color w:val="000000" w:themeColor="text1"/>
          <w:szCs w:val="24"/>
          <w:lang w:val="cs-CZ" w:eastAsia="de-AT"/>
        </w:rPr>
        <w:t>akcií fiktivního fondu</w:t>
      </w:r>
      <w:r w:rsidR="00224561" w:rsidRPr="0055589B">
        <w:rPr>
          <w:rFonts w:ascii="Arial" w:hAnsi="Arial" w:cs="Arial"/>
          <w:color w:val="000000" w:themeColor="text1"/>
          <w:szCs w:val="24"/>
          <w:lang w:val="cs-CZ" w:eastAsia="de-AT"/>
        </w:rPr>
        <w:t xml:space="preserve">. </w:t>
      </w:r>
    </w:p>
    <w:p w14:paraId="4C9C438A" w14:textId="4D212210"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lastRenderedPageBreak/>
        <w:t>Průměrn</w:t>
      </w:r>
      <w:r w:rsidR="00B35037" w:rsidRPr="0055589B">
        <w:rPr>
          <w:rFonts w:ascii="Arial" w:hAnsi="Arial" w:cs="Arial"/>
          <w:color w:val="000000" w:themeColor="text1"/>
          <w:szCs w:val="24"/>
          <w:lang w:val="cs-CZ" w:eastAsia="de-AT"/>
        </w:rPr>
        <w:t>ou</w:t>
      </w:r>
      <w:r w:rsidRPr="0055589B">
        <w:rPr>
          <w:rFonts w:ascii="Arial" w:hAnsi="Arial" w:cs="Arial"/>
          <w:color w:val="000000" w:themeColor="text1"/>
          <w:szCs w:val="24"/>
          <w:lang w:val="cs-CZ" w:eastAsia="de-AT"/>
        </w:rPr>
        <w:t xml:space="preserve"> vážen</w:t>
      </w:r>
      <w:r w:rsidR="00B35037" w:rsidRPr="0055589B">
        <w:rPr>
          <w:rFonts w:ascii="Arial" w:hAnsi="Arial" w:cs="Arial"/>
          <w:color w:val="000000" w:themeColor="text1"/>
          <w:szCs w:val="24"/>
          <w:lang w:val="cs-CZ" w:eastAsia="de-AT"/>
        </w:rPr>
        <w:t>ou</w:t>
      </w:r>
      <w:r w:rsidRPr="0055589B">
        <w:rPr>
          <w:rFonts w:ascii="Arial" w:hAnsi="Arial" w:cs="Arial"/>
          <w:color w:val="000000" w:themeColor="text1"/>
          <w:szCs w:val="24"/>
          <w:lang w:val="cs-CZ" w:eastAsia="de-AT"/>
        </w:rPr>
        <w:t xml:space="preserve"> denní </w:t>
      </w:r>
      <w:r w:rsidR="00B35037" w:rsidRPr="0055589B">
        <w:rPr>
          <w:rFonts w:ascii="Arial" w:hAnsi="Arial" w:cs="Arial"/>
          <w:color w:val="000000" w:themeColor="text1"/>
          <w:szCs w:val="24"/>
          <w:lang w:val="cs-CZ" w:eastAsia="de-AT"/>
        </w:rPr>
        <w:t xml:space="preserve">NAV vypočte oddělení </w:t>
      </w:r>
      <w:r w:rsidRPr="0055589B">
        <w:rPr>
          <w:rFonts w:ascii="Arial" w:hAnsi="Arial" w:cs="Arial"/>
          <w:color w:val="000000" w:themeColor="text1"/>
          <w:szCs w:val="24"/>
          <w:lang w:val="cs-CZ" w:eastAsia="de-AT"/>
        </w:rPr>
        <w:t xml:space="preserve">řízení rizik společnosti s ohledem na nařízení o </w:t>
      </w:r>
      <w:r w:rsidR="00C05D6C" w:rsidRPr="0055589B">
        <w:rPr>
          <w:rFonts w:ascii="Arial" w:hAnsi="Arial" w:cs="Arial"/>
          <w:color w:val="000000" w:themeColor="text1"/>
          <w:szCs w:val="24"/>
          <w:lang w:val="cs-CZ" w:eastAsia="de-AT"/>
        </w:rPr>
        <w:t>SKIPCP</w:t>
      </w:r>
      <w:r w:rsidRPr="0055589B">
        <w:rPr>
          <w:rFonts w:ascii="Arial" w:hAnsi="Arial" w:cs="Arial"/>
          <w:color w:val="000000" w:themeColor="text1"/>
          <w:szCs w:val="24"/>
          <w:lang w:val="cs-CZ" w:eastAsia="de-AT"/>
        </w:rPr>
        <w:t xml:space="preserve"> a AIFM. </w:t>
      </w:r>
    </w:p>
    <w:p w14:paraId="21D7E39F" w14:textId="1BB85B9E" w:rsidR="00224561" w:rsidRPr="00136253" w:rsidRDefault="008C55E9" w:rsidP="007F006A">
      <w:pPr>
        <w:spacing w:after="120" w:line="276" w:lineRule="auto"/>
        <w:jc w:val="both"/>
        <w:rPr>
          <w:rFonts w:ascii="Arial" w:hAnsi="Arial" w:cs="Arial"/>
          <w:color w:val="000000" w:themeColor="text1"/>
          <w:szCs w:val="24"/>
          <w:lang w:val="cs-CZ" w:eastAsia="de-AT"/>
        </w:rPr>
      </w:pPr>
      <w:r>
        <w:rPr>
          <w:rFonts w:ascii="Arial" w:hAnsi="Arial" w:cs="Arial"/>
          <w:color w:val="000000" w:themeColor="text1"/>
          <w:szCs w:val="24"/>
          <w:lang w:val="cs-CZ" w:eastAsia="de-AT"/>
        </w:rPr>
        <w:t>Fiktivní podílové listy</w:t>
      </w:r>
      <w:r w:rsidR="00224561" w:rsidRPr="0055589B">
        <w:rPr>
          <w:rFonts w:ascii="Arial" w:hAnsi="Arial" w:cs="Arial"/>
          <w:color w:val="000000" w:themeColor="text1"/>
          <w:szCs w:val="24"/>
          <w:lang w:val="cs-CZ" w:eastAsia="de-AT"/>
        </w:rPr>
        <w:t xml:space="preserve"> se </w:t>
      </w:r>
      <w:r w:rsidR="00B35037" w:rsidRPr="0055589B">
        <w:rPr>
          <w:rFonts w:ascii="Arial" w:hAnsi="Arial" w:cs="Arial"/>
          <w:color w:val="000000" w:themeColor="text1"/>
          <w:szCs w:val="24"/>
          <w:lang w:val="cs-CZ" w:eastAsia="de-AT"/>
        </w:rPr>
        <w:t xml:space="preserve">zaměstnancům </w:t>
      </w:r>
      <w:r w:rsidR="00224561" w:rsidRPr="0055589B">
        <w:rPr>
          <w:rFonts w:ascii="Arial" w:hAnsi="Arial" w:cs="Arial"/>
          <w:color w:val="000000" w:themeColor="text1"/>
          <w:szCs w:val="24"/>
          <w:lang w:val="cs-CZ" w:eastAsia="de-AT"/>
        </w:rPr>
        <w:t>nikdy nepře</w:t>
      </w:r>
      <w:r w:rsidR="00B35037" w:rsidRPr="0055589B">
        <w:rPr>
          <w:rFonts w:ascii="Arial" w:hAnsi="Arial" w:cs="Arial"/>
          <w:color w:val="000000" w:themeColor="text1"/>
          <w:szCs w:val="24"/>
          <w:lang w:val="cs-CZ" w:eastAsia="de-AT"/>
        </w:rPr>
        <w:t xml:space="preserve">vádějí. </w:t>
      </w:r>
      <w:r w:rsidR="00224561" w:rsidRPr="0055589B">
        <w:rPr>
          <w:rFonts w:ascii="Arial" w:hAnsi="Arial" w:cs="Arial"/>
          <w:color w:val="000000" w:themeColor="text1"/>
          <w:szCs w:val="24"/>
          <w:lang w:val="cs-CZ" w:eastAsia="de-AT"/>
        </w:rPr>
        <w:t xml:space="preserve">Po uplynutí retenčního období jsou </w:t>
      </w:r>
      <w:r w:rsidR="00722D79">
        <w:rPr>
          <w:rFonts w:ascii="Arial" w:hAnsi="Arial" w:cs="Arial"/>
          <w:color w:val="000000" w:themeColor="text1"/>
          <w:szCs w:val="24"/>
          <w:lang w:val="cs-CZ" w:eastAsia="de-AT"/>
        </w:rPr>
        <w:t>podílové listy</w:t>
      </w:r>
      <w:r w:rsidR="00224561" w:rsidRPr="0055589B">
        <w:rPr>
          <w:rFonts w:ascii="Arial" w:hAnsi="Arial" w:cs="Arial"/>
          <w:color w:val="000000" w:themeColor="text1"/>
          <w:szCs w:val="24"/>
          <w:lang w:val="cs-CZ" w:eastAsia="de-AT"/>
        </w:rPr>
        <w:t xml:space="preserve"> fondu převedeny na hotovost </w:t>
      </w:r>
      <w:r w:rsidR="00B35037" w:rsidRPr="0055589B">
        <w:rPr>
          <w:rFonts w:ascii="Arial" w:hAnsi="Arial" w:cs="Arial"/>
          <w:color w:val="000000" w:themeColor="text1"/>
          <w:szCs w:val="24"/>
          <w:lang w:val="cs-CZ" w:eastAsia="de-AT"/>
        </w:rPr>
        <w:t>vy</w:t>
      </w:r>
      <w:r w:rsidR="00224561" w:rsidRPr="0055589B">
        <w:rPr>
          <w:rFonts w:ascii="Arial" w:hAnsi="Arial" w:cs="Arial"/>
          <w:color w:val="000000" w:themeColor="text1"/>
          <w:szCs w:val="24"/>
          <w:lang w:val="cs-CZ" w:eastAsia="de-AT"/>
        </w:rPr>
        <w:t>násobením průměr</w:t>
      </w:r>
      <w:r w:rsidR="00B35037" w:rsidRPr="0055589B">
        <w:rPr>
          <w:rFonts w:ascii="Arial" w:hAnsi="Arial" w:cs="Arial"/>
          <w:color w:val="000000" w:themeColor="text1"/>
          <w:szCs w:val="24"/>
          <w:lang w:val="cs-CZ" w:eastAsia="de-AT"/>
        </w:rPr>
        <w:t>n</w:t>
      </w:r>
      <w:r w:rsidR="00722D79">
        <w:rPr>
          <w:rFonts w:ascii="Arial" w:hAnsi="Arial" w:cs="Arial"/>
          <w:color w:val="000000" w:themeColor="text1"/>
          <w:szCs w:val="24"/>
          <w:lang w:val="cs-CZ" w:eastAsia="de-AT"/>
        </w:rPr>
        <w:t>ého</w:t>
      </w:r>
      <w:r w:rsidR="00224561" w:rsidRPr="0055589B">
        <w:rPr>
          <w:rFonts w:ascii="Arial" w:hAnsi="Arial" w:cs="Arial"/>
          <w:color w:val="000000" w:themeColor="text1"/>
          <w:szCs w:val="24"/>
          <w:lang w:val="cs-CZ" w:eastAsia="de-AT"/>
        </w:rPr>
        <w:t xml:space="preserve"> vážen</w:t>
      </w:r>
      <w:r w:rsidR="00722D79">
        <w:rPr>
          <w:rFonts w:ascii="Arial" w:hAnsi="Arial" w:cs="Arial"/>
          <w:color w:val="000000" w:themeColor="text1"/>
          <w:szCs w:val="24"/>
          <w:lang w:val="cs-CZ" w:eastAsia="de-AT"/>
        </w:rPr>
        <w:t>ého</w:t>
      </w:r>
      <w:r w:rsidR="00224561" w:rsidRPr="0055589B">
        <w:rPr>
          <w:rFonts w:ascii="Arial" w:hAnsi="Arial" w:cs="Arial"/>
          <w:color w:val="000000" w:themeColor="text1"/>
          <w:szCs w:val="24"/>
          <w:lang w:val="cs-CZ" w:eastAsia="de-AT"/>
        </w:rPr>
        <w:t xml:space="preserve"> denní</w:t>
      </w:r>
      <w:r w:rsidR="00722D79">
        <w:rPr>
          <w:rFonts w:ascii="Arial" w:hAnsi="Arial" w:cs="Arial"/>
          <w:color w:val="000000" w:themeColor="text1"/>
          <w:szCs w:val="24"/>
          <w:lang w:val="cs-CZ" w:eastAsia="de-AT"/>
        </w:rPr>
        <w:t>ho</w:t>
      </w:r>
      <w:r w:rsidR="00224561" w:rsidRPr="0055589B">
        <w:rPr>
          <w:rFonts w:ascii="Arial" w:hAnsi="Arial" w:cs="Arial"/>
          <w:color w:val="000000" w:themeColor="text1"/>
          <w:szCs w:val="24"/>
          <w:lang w:val="cs-CZ" w:eastAsia="de-AT"/>
        </w:rPr>
        <w:t xml:space="preserve"> NAV </w:t>
      </w:r>
      <w:r w:rsidR="00B35037" w:rsidRPr="0055589B">
        <w:rPr>
          <w:rFonts w:ascii="Arial" w:hAnsi="Arial" w:cs="Arial"/>
          <w:color w:val="000000" w:themeColor="text1"/>
          <w:szCs w:val="24"/>
          <w:lang w:val="cs-CZ" w:eastAsia="de-AT"/>
        </w:rPr>
        <w:t xml:space="preserve">za </w:t>
      </w:r>
      <w:r w:rsidR="00224561" w:rsidRPr="0055589B">
        <w:rPr>
          <w:rFonts w:ascii="Arial" w:hAnsi="Arial" w:cs="Arial"/>
          <w:color w:val="000000" w:themeColor="text1"/>
          <w:szCs w:val="24"/>
          <w:lang w:val="cs-CZ" w:eastAsia="de-AT"/>
        </w:rPr>
        <w:t>rok následujíc</w:t>
      </w:r>
      <w:r w:rsidR="00B35037" w:rsidRPr="0055589B">
        <w:rPr>
          <w:rFonts w:ascii="Arial" w:hAnsi="Arial" w:cs="Arial"/>
          <w:color w:val="000000" w:themeColor="text1"/>
          <w:szCs w:val="24"/>
          <w:lang w:val="cs-CZ" w:eastAsia="de-AT"/>
        </w:rPr>
        <w:t xml:space="preserve">í po hodnoceném období </w:t>
      </w:r>
      <w:r w:rsidR="00224561" w:rsidRPr="0055589B">
        <w:rPr>
          <w:rFonts w:ascii="Arial" w:hAnsi="Arial" w:cs="Arial"/>
          <w:color w:val="000000" w:themeColor="text1"/>
          <w:szCs w:val="24"/>
          <w:lang w:val="cs-CZ" w:eastAsia="de-AT"/>
        </w:rPr>
        <w:t>(rok n + 1) a vypl</w:t>
      </w:r>
      <w:r w:rsidR="00B35037" w:rsidRPr="0055589B">
        <w:rPr>
          <w:rFonts w:ascii="Arial" w:hAnsi="Arial" w:cs="Arial"/>
          <w:color w:val="000000" w:themeColor="text1"/>
          <w:szCs w:val="24"/>
          <w:lang w:val="cs-CZ" w:eastAsia="de-AT"/>
        </w:rPr>
        <w:t xml:space="preserve">ácejí se </w:t>
      </w:r>
      <w:r w:rsidR="00224561" w:rsidRPr="0055589B">
        <w:rPr>
          <w:rFonts w:ascii="Arial" w:hAnsi="Arial" w:cs="Arial"/>
          <w:color w:val="000000" w:themeColor="text1"/>
          <w:szCs w:val="24"/>
          <w:lang w:val="cs-CZ" w:eastAsia="de-AT"/>
        </w:rPr>
        <w:t>v</w:t>
      </w:r>
      <w:r w:rsidR="00B35037" w:rsidRPr="0055589B">
        <w:rPr>
          <w:rFonts w:ascii="Arial" w:hAnsi="Arial" w:cs="Arial"/>
          <w:color w:val="000000" w:themeColor="text1"/>
          <w:szCs w:val="24"/>
          <w:lang w:val="cs-CZ" w:eastAsia="de-AT"/>
        </w:rPr>
        <w:t>e formě hotovostního e</w:t>
      </w:r>
      <w:r w:rsidR="00224561" w:rsidRPr="0055589B">
        <w:rPr>
          <w:rFonts w:ascii="Arial" w:hAnsi="Arial" w:cs="Arial"/>
          <w:color w:val="000000" w:themeColor="text1"/>
          <w:szCs w:val="24"/>
          <w:lang w:val="cs-CZ" w:eastAsia="de-AT"/>
        </w:rPr>
        <w:t xml:space="preserve">kvivalentu. </w:t>
      </w:r>
    </w:p>
    <w:p w14:paraId="7244001C" w14:textId="77777777" w:rsidR="00224561" w:rsidRPr="0055589B" w:rsidRDefault="00224561" w:rsidP="006033BF">
      <w:pPr>
        <w:pStyle w:val="Nadpis2"/>
        <w:rPr>
          <w:rFonts w:eastAsia="Times New Roman"/>
          <w:color w:val="000000" w:themeColor="text1"/>
          <w:lang w:val="cs-CZ"/>
        </w:rPr>
      </w:pPr>
      <w:bookmarkStart w:id="58" w:name="_Toc108689225"/>
      <w:r w:rsidRPr="0055589B">
        <w:rPr>
          <w:color w:val="000000" w:themeColor="text1"/>
          <w:lang w:val="cs-CZ"/>
        </w:rPr>
        <w:t>Práh významnosti</w:t>
      </w:r>
      <w:bookmarkEnd w:id="58"/>
    </w:p>
    <w:p w14:paraId="35C5189A" w14:textId="6F1C64C6"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V souladu s pokyny FMA uvedenými v jeho </w:t>
      </w:r>
      <w:r w:rsidR="009C016B" w:rsidRPr="0055589B">
        <w:rPr>
          <w:rFonts w:ascii="Arial" w:hAnsi="Arial" w:cs="Arial"/>
          <w:color w:val="000000" w:themeColor="text1"/>
          <w:szCs w:val="24"/>
          <w:lang w:val="cs-CZ" w:eastAsia="de-AT"/>
        </w:rPr>
        <w:t>oběžníku</w:t>
      </w:r>
      <w:r w:rsidRPr="0055589B">
        <w:rPr>
          <w:rFonts w:ascii="Arial" w:hAnsi="Arial" w:cs="Arial"/>
          <w:color w:val="000000" w:themeColor="text1"/>
          <w:szCs w:val="24"/>
          <w:vertAlign w:val="superscript"/>
          <w:lang w:val="cs-CZ" w:eastAsia="de-AT"/>
        </w:rPr>
        <w:footnoteReference w:id="6"/>
      </w:r>
      <w:r w:rsidRPr="0055589B">
        <w:rPr>
          <w:rFonts w:ascii="Arial" w:hAnsi="Arial" w:cs="Arial"/>
          <w:color w:val="000000" w:themeColor="text1"/>
          <w:szCs w:val="24"/>
          <w:lang w:val="cs-CZ" w:eastAsia="de-AT"/>
        </w:rPr>
        <w:t xml:space="preserve"> Výbor pro odměňování </w:t>
      </w:r>
      <w:r w:rsidR="004B433D" w:rsidRPr="0055589B">
        <w:rPr>
          <w:rFonts w:ascii="Arial" w:hAnsi="Arial" w:cs="Arial"/>
          <w:color w:val="000000" w:themeColor="text1"/>
          <w:szCs w:val="24"/>
          <w:lang w:val="cs-CZ" w:eastAsia="de-AT"/>
        </w:rPr>
        <w:t>stanovil a zavedl</w:t>
      </w:r>
      <w:r w:rsidRPr="0055589B">
        <w:rPr>
          <w:rFonts w:ascii="Arial" w:hAnsi="Arial" w:cs="Arial"/>
          <w:color w:val="000000" w:themeColor="text1"/>
          <w:szCs w:val="24"/>
          <w:lang w:val="cs-CZ" w:eastAsia="de-AT"/>
        </w:rPr>
        <w:t xml:space="preserve"> práh významnosti ve výši </w:t>
      </w:r>
      <w:r w:rsidR="005A2350">
        <w:rPr>
          <w:rFonts w:ascii="Arial" w:hAnsi="Arial" w:cs="Arial"/>
          <w:color w:val="000000" w:themeColor="text1"/>
          <w:szCs w:val="24"/>
          <w:lang w:val="cs-CZ" w:eastAsia="de-AT"/>
        </w:rPr>
        <w:t>5</w:t>
      </w:r>
      <w:r w:rsidRPr="0055589B">
        <w:rPr>
          <w:rFonts w:ascii="Arial" w:hAnsi="Arial" w:cs="Arial"/>
          <w:color w:val="000000" w:themeColor="text1"/>
          <w:szCs w:val="24"/>
          <w:lang w:val="cs-CZ" w:eastAsia="de-AT"/>
        </w:rPr>
        <w:t>0 000 EUR</w:t>
      </w:r>
      <w:r w:rsidR="004B433D" w:rsidRPr="0055589B">
        <w:rPr>
          <w:rFonts w:ascii="Arial" w:hAnsi="Arial" w:cs="Arial"/>
          <w:color w:val="000000" w:themeColor="text1"/>
          <w:szCs w:val="24"/>
          <w:lang w:val="cs-CZ" w:eastAsia="de-AT"/>
        </w:rPr>
        <w:t xml:space="preserve"> – nebo </w:t>
      </w:r>
      <w:r w:rsidRPr="0055589B">
        <w:rPr>
          <w:rFonts w:ascii="Arial" w:hAnsi="Arial" w:cs="Arial"/>
          <w:color w:val="000000" w:themeColor="text1"/>
          <w:szCs w:val="24"/>
          <w:lang w:val="cs-CZ" w:eastAsia="de-AT"/>
        </w:rPr>
        <w:t>5</w:t>
      </w:r>
      <w:r w:rsidR="005A2350">
        <w:rPr>
          <w:rFonts w:ascii="Arial" w:hAnsi="Arial" w:cs="Arial"/>
          <w:color w:val="000000" w:themeColor="text1"/>
          <w:szCs w:val="24"/>
          <w:lang w:val="cs-CZ" w:eastAsia="de-AT"/>
        </w:rPr>
        <w:t>0</w:t>
      </w:r>
      <w:r w:rsidR="004B433D" w:rsidRPr="0055589B">
        <w:rPr>
          <w:rFonts w:ascii="Arial" w:hAnsi="Arial" w:cs="Arial"/>
          <w:color w:val="000000" w:themeColor="text1"/>
          <w:szCs w:val="24"/>
          <w:lang w:val="cs-CZ" w:eastAsia="de-AT"/>
        </w:rPr>
        <w:t> </w:t>
      </w:r>
      <w:r w:rsidRPr="0055589B">
        <w:rPr>
          <w:rFonts w:ascii="Arial" w:hAnsi="Arial" w:cs="Arial"/>
          <w:color w:val="000000" w:themeColor="text1"/>
          <w:szCs w:val="24"/>
          <w:lang w:val="cs-CZ" w:eastAsia="de-AT"/>
        </w:rPr>
        <w:t xml:space="preserve">% </w:t>
      </w:r>
      <w:r w:rsidR="004B433D" w:rsidRPr="0055589B">
        <w:rPr>
          <w:rFonts w:ascii="Arial" w:hAnsi="Arial" w:cs="Arial"/>
          <w:color w:val="000000" w:themeColor="text1"/>
          <w:szCs w:val="24"/>
          <w:lang w:val="cs-CZ" w:eastAsia="de-AT"/>
        </w:rPr>
        <w:t xml:space="preserve">pevné roční mzdy </w:t>
      </w:r>
      <w:r w:rsidR="00650896" w:rsidRPr="0055589B">
        <w:rPr>
          <w:rFonts w:ascii="Arial" w:hAnsi="Arial" w:cs="Arial"/>
          <w:color w:val="000000" w:themeColor="text1"/>
          <w:szCs w:val="24"/>
          <w:lang w:val="cs-CZ" w:eastAsia="de-AT"/>
        </w:rPr>
        <w:t>pracovník</w:t>
      </w:r>
      <w:r w:rsidR="004B433D" w:rsidRPr="0055589B">
        <w:rPr>
          <w:rFonts w:ascii="Arial" w:hAnsi="Arial" w:cs="Arial"/>
          <w:color w:val="000000" w:themeColor="text1"/>
          <w:szCs w:val="24"/>
          <w:lang w:val="cs-CZ" w:eastAsia="de-AT"/>
        </w:rPr>
        <w:t>a</w:t>
      </w:r>
      <w:r w:rsidR="00650896" w:rsidRPr="0055589B">
        <w:rPr>
          <w:rFonts w:ascii="Arial" w:hAnsi="Arial" w:cs="Arial"/>
          <w:color w:val="000000" w:themeColor="text1"/>
          <w:szCs w:val="24"/>
          <w:lang w:val="cs-CZ" w:eastAsia="de-AT"/>
        </w:rPr>
        <w:t xml:space="preserve"> podstupující</w:t>
      </w:r>
      <w:r w:rsidR="004B433D" w:rsidRPr="0055589B">
        <w:rPr>
          <w:rFonts w:ascii="Arial" w:hAnsi="Arial" w:cs="Arial"/>
          <w:color w:val="000000" w:themeColor="text1"/>
          <w:szCs w:val="24"/>
          <w:lang w:val="cs-CZ" w:eastAsia="de-AT"/>
        </w:rPr>
        <w:t xml:space="preserve">ho </w:t>
      </w:r>
      <w:r w:rsidR="00650896" w:rsidRPr="0055589B">
        <w:rPr>
          <w:rFonts w:ascii="Arial" w:hAnsi="Arial" w:cs="Arial"/>
          <w:color w:val="000000" w:themeColor="text1"/>
          <w:szCs w:val="24"/>
          <w:lang w:val="cs-CZ" w:eastAsia="de-AT"/>
        </w:rPr>
        <w:t>riziko</w:t>
      </w:r>
      <w:r w:rsidRPr="0055589B">
        <w:rPr>
          <w:rFonts w:ascii="Arial" w:hAnsi="Arial" w:cs="Arial"/>
          <w:color w:val="000000" w:themeColor="text1"/>
          <w:szCs w:val="24"/>
          <w:lang w:val="cs-CZ" w:eastAsia="de-AT"/>
        </w:rPr>
        <w:t xml:space="preserve">, podle toho, co je nižší, </w:t>
      </w:r>
      <w:r w:rsidR="004B433D" w:rsidRPr="0055589B">
        <w:rPr>
          <w:rFonts w:ascii="Arial" w:hAnsi="Arial" w:cs="Arial"/>
          <w:color w:val="000000" w:themeColor="text1"/>
          <w:szCs w:val="24"/>
          <w:lang w:val="cs-CZ" w:eastAsia="de-AT"/>
        </w:rPr>
        <w:t xml:space="preserve">vzhledem k tomu, že bonusy pod tímto prahem významnosti </w:t>
      </w:r>
      <w:r w:rsidRPr="0055589B">
        <w:rPr>
          <w:rFonts w:ascii="Arial" w:hAnsi="Arial" w:cs="Arial"/>
          <w:color w:val="000000" w:themeColor="text1"/>
          <w:szCs w:val="24"/>
          <w:lang w:val="cs-CZ" w:eastAsia="de-AT"/>
        </w:rPr>
        <w:t>nemotivují zaměstnance k</w:t>
      </w:r>
      <w:r w:rsidR="004B433D" w:rsidRPr="0055589B">
        <w:rPr>
          <w:rFonts w:ascii="Arial" w:hAnsi="Arial" w:cs="Arial"/>
          <w:color w:val="000000" w:themeColor="text1"/>
          <w:szCs w:val="24"/>
          <w:lang w:val="cs-CZ" w:eastAsia="de-AT"/>
        </w:rPr>
        <w:t xml:space="preserve"> přijímání </w:t>
      </w:r>
      <w:r w:rsidRPr="0055589B">
        <w:rPr>
          <w:rFonts w:ascii="Arial" w:hAnsi="Arial" w:cs="Arial"/>
          <w:color w:val="000000" w:themeColor="text1"/>
          <w:szCs w:val="24"/>
          <w:lang w:val="cs-CZ" w:eastAsia="de-AT"/>
        </w:rPr>
        <w:t>nadměrn</w:t>
      </w:r>
      <w:r w:rsidR="004B433D" w:rsidRPr="0055589B">
        <w:rPr>
          <w:rFonts w:ascii="Arial" w:hAnsi="Arial" w:cs="Arial"/>
          <w:color w:val="000000" w:themeColor="text1"/>
          <w:szCs w:val="24"/>
          <w:lang w:val="cs-CZ" w:eastAsia="de-AT"/>
        </w:rPr>
        <w:t>ých r</w:t>
      </w:r>
      <w:r w:rsidRPr="0055589B">
        <w:rPr>
          <w:rFonts w:ascii="Arial" w:hAnsi="Arial" w:cs="Arial"/>
          <w:color w:val="000000" w:themeColor="text1"/>
          <w:szCs w:val="24"/>
          <w:lang w:val="cs-CZ" w:eastAsia="de-AT"/>
        </w:rPr>
        <w:t xml:space="preserve">izik. </w:t>
      </w:r>
      <w:r w:rsidR="004B433D" w:rsidRPr="0055589B">
        <w:rPr>
          <w:rFonts w:ascii="Arial" w:hAnsi="Arial" w:cs="Arial"/>
          <w:color w:val="000000" w:themeColor="text1"/>
          <w:szCs w:val="24"/>
          <w:lang w:val="cs-CZ" w:eastAsia="de-AT"/>
        </w:rPr>
        <w:t xml:space="preserve">Variabilní odměna, </w:t>
      </w:r>
      <w:r w:rsidRPr="0055589B">
        <w:rPr>
          <w:rFonts w:ascii="Arial" w:hAnsi="Arial" w:cs="Arial"/>
          <w:color w:val="000000" w:themeColor="text1"/>
          <w:szCs w:val="24"/>
          <w:lang w:val="cs-CZ" w:eastAsia="de-AT"/>
        </w:rPr>
        <w:t>která je nižší než úroveň významnosti specifick</w:t>
      </w:r>
      <w:r w:rsidR="004B433D" w:rsidRPr="0055589B">
        <w:rPr>
          <w:rFonts w:ascii="Arial" w:hAnsi="Arial" w:cs="Arial"/>
          <w:color w:val="000000" w:themeColor="text1"/>
          <w:szCs w:val="24"/>
          <w:lang w:val="cs-CZ" w:eastAsia="de-AT"/>
        </w:rPr>
        <w:t>ých</w:t>
      </w:r>
      <w:r w:rsidRPr="0055589B">
        <w:rPr>
          <w:rFonts w:ascii="Arial" w:hAnsi="Arial" w:cs="Arial"/>
          <w:color w:val="000000" w:themeColor="text1"/>
          <w:szCs w:val="24"/>
          <w:lang w:val="cs-CZ" w:eastAsia="de-AT"/>
        </w:rPr>
        <w:t xml:space="preserve"> zásad odměňování stanov</w:t>
      </w:r>
      <w:r w:rsidR="004B433D" w:rsidRPr="0055589B">
        <w:rPr>
          <w:rFonts w:ascii="Arial" w:hAnsi="Arial" w:cs="Arial"/>
          <w:color w:val="000000" w:themeColor="text1"/>
          <w:szCs w:val="24"/>
          <w:lang w:val="cs-CZ" w:eastAsia="de-AT"/>
        </w:rPr>
        <w:t xml:space="preserve">ých </w:t>
      </w:r>
      <w:r w:rsidRPr="0055589B">
        <w:rPr>
          <w:rFonts w:ascii="Arial" w:hAnsi="Arial" w:cs="Arial"/>
          <w:color w:val="000000" w:themeColor="text1"/>
          <w:szCs w:val="24"/>
          <w:lang w:val="cs-CZ" w:eastAsia="de-AT"/>
        </w:rPr>
        <w:t xml:space="preserve">v § 17c </w:t>
      </w:r>
      <w:r w:rsidR="004B433D" w:rsidRPr="0055589B">
        <w:rPr>
          <w:rFonts w:ascii="Arial" w:hAnsi="Arial" w:cs="Arial"/>
          <w:color w:val="000000" w:themeColor="text1"/>
          <w:szCs w:val="24"/>
          <w:lang w:val="cs-CZ" w:eastAsia="de-AT"/>
        </w:rPr>
        <w:t>Z</w:t>
      </w:r>
      <w:r w:rsidRPr="0055589B">
        <w:rPr>
          <w:rFonts w:ascii="Arial" w:hAnsi="Arial" w:cs="Arial"/>
          <w:color w:val="000000" w:themeColor="text1"/>
          <w:szCs w:val="24"/>
          <w:lang w:val="cs-CZ" w:eastAsia="de-AT"/>
        </w:rPr>
        <w:t xml:space="preserve"> 11 a </w:t>
      </w:r>
      <w:r w:rsidR="004B433D" w:rsidRPr="0055589B">
        <w:rPr>
          <w:rFonts w:ascii="Arial" w:hAnsi="Arial" w:cs="Arial"/>
          <w:color w:val="000000" w:themeColor="text1"/>
          <w:szCs w:val="24"/>
          <w:lang w:val="cs-CZ" w:eastAsia="de-AT"/>
        </w:rPr>
        <w:t>Z</w:t>
      </w:r>
      <w:r w:rsidRPr="0055589B">
        <w:rPr>
          <w:rFonts w:ascii="Arial" w:hAnsi="Arial" w:cs="Arial"/>
          <w:color w:val="000000" w:themeColor="text1"/>
          <w:szCs w:val="24"/>
          <w:lang w:val="cs-CZ" w:eastAsia="de-AT"/>
        </w:rPr>
        <w:t xml:space="preserve"> 13 InvFG 2011, </w:t>
      </w:r>
      <w:r w:rsidR="004B433D" w:rsidRPr="0055589B">
        <w:rPr>
          <w:rFonts w:ascii="Arial" w:hAnsi="Arial" w:cs="Arial"/>
          <w:color w:val="000000" w:themeColor="text1"/>
          <w:szCs w:val="24"/>
          <w:lang w:val="cs-CZ" w:eastAsia="de-AT"/>
        </w:rPr>
        <w:t xml:space="preserve">a v článku </w:t>
      </w:r>
      <w:r w:rsidRPr="0055589B">
        <w:rPr>
          <w:rFonts w:ascii="Arial" w:hAnsi="Arial" w:cs="Arial"/>
          <w:color w:val="000000" w:themeColor="text1"/>
          <w:szCs w:val="24"/>
          <w:lang w:val="cs-CZ" w:eastAsia="de-AT"/>
        </w:rPr>
        <w:t>11 Z 1 m</w:t>
      </w:r>
      <w:r w:rsidR="004B433D" w:rsidRPr="0055589B">
        <w:rPr>
          <w:rFonts w:ascii="Arial" w:hAnsi="Arial" w:cs="Arial"/>
          <w:color w:val="000000" w:themeColor="text1"/>
          <w:szCs w:val="24"/>
          <w:lang w:val="cs-CZ" w:eastAsia="de-AT"/>
        </w:rPr>
        <w:t>)</w:t>
      </w:r>
      <w:r w:rsidRPr="0055589B">
        <w:rPr>
          <w:rFonts w:ascii="Arial" w:hAnsi="Arial" w:cs="Arial"/>
          <w:color w:val="000000" w:themeColor="text1"/>
          <w:szCs w:val="24"/>
          <w:lang w:val="cs-CZ" w:eastAsia="de-AT"/>
        </w:rPr>
        <w:t xml:space="preserve"> a n) přílohy 2 AIFMG</w:t>
      </w:r>
      <w:r w:rsidR="004B433D" w:rsidRPr="0055589B">
        <w:rPr>
          <w:rFonts w:ascii="Arial" w:hAnsi="Arial" w:cs="Arial"/>
          <w:color w:val="000000" w:themeColor="text1"/>
          <w:szCs w:val="24"/>
          <w:lang w:val="cs-CZ" w:eastAsia="de-AT"/>
        </w:rPr>
        <w:t>,</w:t>
      </w:r>
      <w:r w:rsidRPr="0055589B">
        <w:rPr>
          <w:rFonts w:ascii="Arial" w:hAnsi="Arial" w:cs="Arial"/>
          <w:color w:val="000000" w:themeColor="text1"/>
          <w:szCs w:val="24"/>
          <w:lang w:val="cs-CZ" w:eastAsia="de-AT"/>
        </w:rPr>
        <w:t xml:space="preserve"> je </w:t>
      </w:r>
      <w:r w:rsidR="004B433D" w:rsidRPr="0055589B">
        <w:rPr>
          <w:rFonts w:ascii="Arial" w:hAnsi="Arial" w:cs="Arial"/>
          <w:color w:val="000000" w:themeColor="text1"/>
          <w:szCs w:val="24"/>
          <w:lang w:val="cs-CZ" w:eastAsia="de-AT"/>
        </w:rPr>
        <w:t xml:space="preserve">proto </w:t>
      </w:r>
      <w:r w:rsidRPr="0055589B">
        <w:rPr>
          <w:rFonts w:ascii="Arial" w:hAnsi="Arial" w:cs="Arial"/>
          <w:color w:val="000000" w:themeColor="text1"/>
          <w:szCs w:val="24"/>
          <w:lang w:val="cs-CZ" w:eastAsia="de-AT"/>
        </w:rPr>
        <w:t xml:space="preserve">neutralizována a </w:t>
      </w:r>
      <w:r w:rsidR="004B433D" w:rsidRPr="0055589B">
        <w:rPr>
          <w:rFonts w:ascii="Arial" w:hAnsi="Arial" w:cs="Arial"/>
          <w:color w:val="000000" w:themeColor="text1"/>
          <w:szCs w:val="24"/>
          <w:lang w:val="cs-CZ" w:eastAsia="de-AT"/>
        </w:rPr>
        <w:t xml:space="preserve">na </w:t>
      </w:r>
      <w:r w:rsidRPr="0055589B">
        <w:rPr>
          <w:rFonts w:ascii="Arial" w:hAnsi="Arial" w:cs="Arial"/>
          <w:color w:val="000000" w:themeColor="text1"/>
          <w:szCs w:val="24"/>
          <w:lang w:val="cs-CZ" w:eastAsia="de-AT"/>
        </w:rPr>
        <w:t>tyto bonusy</w:t>
      </w:r>
      <w:r w:rsidR="004B433D" w:rsidRPr="0055589B">
        <w:rPr>
          <w:rFonts w:ascii="Arial" w:hAnsi="Arial" w:cs="Arial"/>
          <w:color w:val="000000" w:themeColor="text1"/>
          <w:szCs w:val="24"/>
          <w:lang w:val="cs-CZ" w:eastAsia="de-AT"/>
        </w:rPr>
        <w:t xml:space="preserve"> se tedy nemusí použít</w:t>
      </w:r>
      <w:r w:rsidRPr="0055589B">
        <w:rPr>
          <w:rFonts w:ascii="Arial" w:hAnsi="Arial" w:cs="Arial"/>
          <w:color w:val="000000" w:themeColor="text1"/>
          <w:szCs w:val="24"/>
          <w:lang w:val="cs-CZ" w:eastAsia="de-AT"/>
        </w:rPr>
        <w:t xml:space="preserve">. </w:t>
      </w:r>
    </w:p>
    <w:p w14:paraId="654D8B1C" w14:textId="4F45A277"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Vzhledem k výši fixní odměny ve </w:t>
      </w:r>
      <w:r w:rsidR="003316D9"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 xml:space="preserve">polečnosti a s ohledem na výši odměny v </w:t>
      </w:r>
      <w:r w:rsidR="003316D9" w:rsidRPr="0055589B">
        <w:rPr>
          <w:rFonts w:ascii="Arial" w:hAnsi="Arial" w:cs="Arial"/>
          <w:color w:val="000000" w:themeColor="text1"/>
          <w:szCs w:val="24"/>
          <w:lang w:val="cs-CZ" w:eastAsia="de-AT"/>
        </w:rPr>
        <w:t>oboru</w:t>
      </w:r>
      <w:r w:rsidRPr="0055589B">
        <w:rPr>
          <w:rFonts w:ascii="Arial" w:hAnsi="Arial" w:cs="Arial"/>
          <w:color w:val="000000" w:themeColor="text1"/>
          <w:szCs w:val="24"/>
          <w:lang w:val="cs-CZ" w:eastAsia="de-AT"/>
        </w:rPr>
        <w:t>, zejména na odmě</w:t>
      </w:r>
      <w:r w:rsidR="003316D9" w:rsidRPr="0055589B">
        <w:rPr>
          <w:rFonts w:ascii="Arial" w:hAnsi="Arial" w:cs="Arial"/>
          <w:color w:val="000000" w:themeColor="text1"/>
          <w:szCs w:val="24"/>
          <w:lang w:val="cs-CZ" w:eastAsia="de-AT"/>
        </w:rPr>
        <w:t xml:space="preserve">n v daném odvětví v místě působení Společnosti, není </w:t>
      </w:r>
      <w:r w:rsidR="005D634E" w:rsidRPr="0055589B">
        <w:rPr>
          <w:rFonts w:ascii="Arial" w:hAnsi="Arial" w:cs="Arial"/>
          <w:color w:val="000000" w:themeColor="text1"/>
          <w:szCs w:val="24"/>
          <w:lang w:val="cs-CZ" w:eastAsia="de-AT"/>
        </w:rPr>
        <w:t>variabilní odměna</w:t>
      </w:r>
      <w:r w:rsidRPr="0055589B">
        <w:rPr>
          <w:rFonts w:ascii="Arial" w:hAnsi="Arial" w:cs="Arial"/>
          <w:color w:val="000000" w:themeColor="text1"/>
          <w:szCs w:val="24"/>
          <w:lang w:val="cs-CZ" w:eastAsia="de-AT"/>
        </w:rPr>
        <w:t xml:space="preserve"> pod prahovou hodnotou významnosti vhodná </w:t>
      </w:r>
      <w:r w:rsidR="003316D9" w:rsidRPr="0055589B">
        <w:rPr>
          <w:rFonts w:ascii="Arial" w:hAnsi="Arial" w:cs="Arial"/>
          <w:color w:val="000000" w:themeColor="text1"/>
          <w:szCs w:val="24"/>
          <w:lang w:val="cs-CZ" w:eastAsia="de-AT"/>
        </w:rPr>
        <w:t>k tomu, aby pracovníky podstupující rizika po</w:t>
      </w:r>
      <w:r w:rsidR="005E2AF7" w:rsidRPr="0055589B">
        <w:rPr>
          <w:rFonts w:ascii="Arial" w:hAnsi="Arial" w:cs="Arial"/>
          <w:color w:val="000000" w:themeColor="text1"/>
          <w:szCs w:val="24"/>
          <w:lang w:val="cs-CZ" w:eastAsia="de-AT"/>
        </w:rPr>
        <w:t>dněcovala</w:t>
      </w:r>
      <w:r w:rsidR="003316D9" w:rsidRPr="0055589B">
        <w:rPr>
          <w:rFonts w:ascii="Arial" w:hAnsi="Arial" w:cs="Arial"/>
          <w:color w:val="000000" w:themeColor="text1"/>
          <w:szCs w:val="24"/>
          <w:lang w:val="cs-CZ" w:eastAsia="de-AT"/>
        </w:rPr>
        <w:t xml:space="preserve"> k přijímání rizik, kter</w:t>
      </w:r>
      <w:r w:rsidR="004D1641" w:rsidRPr="0055589B">
        <w:rPr>
          <w:rFonts w:ascii="Arial" w:hAnsi="Arial" w:cs="Arial"/>
          <w:color w:val="000000" w:themeColor="text1"/>
          <w:szCs w:val="24"/>
          <w:lang w:val="cs-CZ" w:eastAsia="de-AT"/>
        </w:rPr>
        <w:t>á</w:t>
      </w:r>
      <w:r w:rsidR="003316D9" w:rsidRPr="0055589B">
        <w:rPr>
          <w:rFonts w:ascii="Arial" w:hAnsi="Arial" w:cs="Arial"/>
          <w:color w:val="000000" w:themeColor="text1"/>
          <w:szCs w:val="24"/>
          <w:lang w:val="cs-CZ" w:eastAsia="de-AT"/>
        </w:rPr>
        <w:t xml:space="preserve"> by byl</w:t>
      </w:r>
      <w:r w:rsidR="004D1641" w:rsidRPr="0055589B">
        <w:rPr>
          <w:rFonts w:ascii="Arial" w:hAnsi="Arial" w:cs="Arial"/>
          <w:color w:val="000000" w:themeColor="text1"/>
          <w:szCs w:val="24"/>
          <w:lang w:val="cs-CZ" w:eastAsia="de-AT"/>
        </w:rPr>
        <w:t>a</w:t>
      </w:r>
      <w:r w:rsidR="003316D9"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 xml:space="preserve">v rozporu s rizikovou strategií </w:t>
      </w:r>
      <w:r w:rsidR="003316D9" w:rsidRPr="0055589B">
        <w:rPr>
          <w:rFonts w:ascii="Arial" w:hAnsi="Arial" w:cs="Arial"/>
          <w:color w:val="000000" w:themeColor="text1"/>
          <w:szCs w:val="24"/>
          <w:lang w:val="cs-CZ" w:eastAsia="de-AT"/>
        </w:rPr>
        <w:t>S</w:t>
      </w:r>
      <w:r w:rsidRPr="0055589B">
        <w:rPr>
          <w:rFonts w:ascii="Arial" w:hAnsi="Arial" w:cs="Arial"/>
          <w:color w:val="000000" w:themeColor="text1"/>
          <w:szCs w:val="24"/>
          <w:lang w:val="cs-CZ" w:eastAsia="de-AT"/>
        </w:rPr>
        <w:t>polečnosti a rizikovými profily investičních fondů</w:t>
      </w:r>
      <w:r w:rsidR="003316D9" w:rsidRPr="0055589B">
        <w:rPr>
          <w:rFonts w:ascii="Arial" w:hAnsi="Arial" w:cs="Arial"/>
          <w:color w:val="000000" w:themeColor="text1"/>
          <w:szCs w:val="24"/>
          <w:lang w:val="cs-CZ" w:eastAsia="de-AT"/>
        </w:rPr>
        <w:t>, které spravuje, a</w:t>
      </w:r>
      <w:r w:rsidRPr="0055589B">
        <w:rPr>
          <w:rFonts w:ascii="Arial" w:hAnsi="Arial" w:cs="Arial"/>
          <w:color w:val="000000" w:themeColor="text1"/>
          <w:szCs w:val="24"/>
          <w:lang w:val="cs-CZ" w:eastAsia="de-AT"/>
        </w:rPr>
        <w:t xml:space="preserve"> ne</w:t>
      </w:r>
      <w:r w:rsidR="003316D9" w:rsidRPr="0055589B">
        <w:rPr>
          <w:rFonts w:ascii="Arial" w:hAnsi="Arial" w:cs="Arial"/>
          <w:color w:val="000000" w:themeColor="text1"/>
          <w:szCs w:val="24"/>
          <w:lang w:val="cs-CZ" w:eastAsia="de-AT"/>
        </w:rPr>
        <w:t xml:space="preserve">ní tedy </w:t>
      </w:r>
      <w:r w:rsidR="0065464D" w:rsidRPr="0055589B">
        <w:rPr>
          <w:rFonts w:ascii="Arial" w:hAnsi="Arial" w:cs="Arial"/>
          <w:color w:val="000000" w:themeColor="text1"/>
          <w:szCs w:val="24"/>
          <w:lang w:val="cs-CZ" w:eastAsia="de-AT"/>
        </w:rPr>
        <w:t xml:space="preserve">ani </w:t>
      </w:r>
      <w:r w:rsidR="003316D9" w:rsidRPr="0055589B">
        <w:rPr>
          <w:rFonts w:ascii="Arial" w:hAnsi="Arial" w:cs="Arial"/>
          <w:color w:val="000000" w:themeColor="text1"/>
          <w:szCs w:val="24"/>
          <w:lang w:val="cs-CZ" w:eastAsia="de-AT"/>
        </w:rPr>
        <w:t xml:space="preserve">v rozporu s dlouhodobými </w:t>
      </w:r>
      <w:r w:rsidRPr="0055589B">
        <w:rPr>
          <w:rFonts w:ascii="Arial" w:hAnsi="Arial" w:cs="Arial"/>
          <w:color w:val="000000" w:themeColor="text1"/>
          <w:szCs w:val="24"/>
          <w:lang w:val="cs-CZ" w:eastAsia="de-AT"/>
        </w:rPr>
        <w:t>hospodářsk</w:t>
      </w:r>
      <w:r w:rsidR="003316D9" w:rsidRPr="0055589B">
        <w:rPr>
          <w:rFonts w:ascii="Arial" w:hAnsi="Arial" w:cs="Arial"/>
          <w:color w:val="000000" w:themeColor="text1"/>
          <w:szCs w:val="24"/>
          <w:lang w:val="cs-CZ" w:eastAsia="de-AT"/>
        </w:rPr>
        <w:t>ými</w:t>
      </w:r>
      <w:r w:rsidRPr="0055589B">
        <w:rPr>
          <w:rFonts w:ascii="Arial" w:hAnsi="Arial" w:cs="Arial"/>
          <w:color w:val="000000" w:themeColor="text1"/>
          <w:szCs w:val="24"/>
          <w:lang w:val="cs-CZ" w:eastAsia="de-AT"/>
        </w:rPr>
        <w:t xml:space="preserve"> zájm</w:t>
      </w:r>
      <w:r w:rsidR="003316D9" w:rsidRPr="0055589B">
        <w:rPr>
          <w:rFonts w:ascii="Arial" w:hAnsi="Arial" w:cs="Arial"/>
          <w:color w:val="000000" w:themeColor="text1"/>
          <w:szCs w:val="24"/>
          <w:lang w:val="cs-CZ" w:eastAsia="de-AT"/>
        </w:rPr>
        <w:t>y</w:t>
      </w:r>
      <w:r w:rsidRPr="0055589B">
        <w:rPr>
          <w:rFonts w:ascii="Arial" w:hAnsi="Arial" w:cs="Arial"/>
          <w:color w:val="000000" w:themeColor="text1"/>
          <w:szCs w:val="24"/>
          <w:lang w:val="cs-CZ" w:eastAsia="de-AT"/>
        </w:rPr>
        <w:t xml:space="preserve"> investorů a</w:t>
      </w:r>
      <w:r w:rsidR="003316D9" w:rsidRPr="0055589B">
        <w:rPr>
          <w:rFonts w:ascii="Arial" w:hAnsi="Arial" w:cs="Arial"/>
          <w:color w:val="000000" w:themeColor="text1"/>
          <w:szCs w:val="24"/>
          <w:lang w:val="cs-CZ" w:eastAsia="de-AT"/>
        </w:rPr>
        <w:t>ni se sociálními zájmy.</w:t>
      </w:r>
    </w:p>
    <w:p w14:paraId="6ADE8FBB" w14:textId="77777777"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p>
    <w:p w14:paraId="773CDB9C" w14:textId="77777777" w:rsidR="00224561" w:rsidRPr="0055589B" w:rsidRDefault="00224561" w:rsidP="006033BF">
      <w:pPr>
        <w:pStyle w:val="Nadpis2"/>
        <w:rPr>
          <w:rFonts w:eastAsia="Times New Roman"/>
          <w:color w:val="000000" w:themeColor="text1"/>
          <w:lang w:val="cs-CZ"/>
        </w:rPr>
      </w:pPr>
      <w:bookmarkStart w:id="59" w:name="_Toc108689226"/>
      <w:r w:rsidRPr="0055589B">
        <w:rPr>
          <w:color w:val="000000" w:themeColor="text1"/>
          <w:lang w:val="cs-CZ"/>
        </w:rPr>
        <w:t>Příklad bonusové platby</w:t>
      </w:r>
      <w:bookmarkEnd w:id="59"/>
    </w:p>
    <w:p w14:paraId="74C1F86A" w14:textId="7DC689BC" w:rsidR="00224561" w:rsidRPr="0055589B" w:rsidRDefault="00224561" w:rsidP="007F006A">
      <w:pPr>
        <w:spacing w:before="120" w:after="240" w:line="276" w:lineRule="auto"/>
        <w:ind w:left="510" w:hanging="510"/>
        <w:jc w:val="both"/>
        <w:rPr>
          <w:rFonts w:ascii="Arial" w:eastAsia="Times New Roman" w:hAnsi="Arial" w:cs="Arial"/>
          <w:color w:val="000000" w:themeColor="text1"/>
          <w:lang w:val="cs-CZ" w:eastAsia="de-AT"/>
        </w:rPr>
      </w:pPr>
      <w:r w:rsidRPr="0055589B">
        <w:rPr>
          <w:rFonts w:ascii="Arial" w:hAnsi="Arial" w:cs="Arial"/>
          <w:color w:val="000000" w:themeColor="text1"/>
          <w:lang w:val="cs-CZ" w:eastAsia="de-AT"/>
        </w:rPr>
        <w:t xml:space="preserve">Příklad </w:t>
      </w:r>
      <w:r w:rsidR="009C4CC8" w:rsidRPr="0055589B">
        <w:rPr>
          <w:rFonts w:ascii="Arial" w:hAnsi="Arial" w:cs="Arial"/>
          <w:color w:val="000000" w:themeColor="text1"/>
          <w:lang w:val="cs-CZ" w:eastAsia="de-AT"/>
        </w:rPr>
        <w:t>modelu výplaty bonusů pro pracovníky podstupující riziko</w:t>
      </w:r>
    </w:p>
    <w:p w14:paraId="5063E761" w14:textId="1FC89352" w:rsidR="00224561" w:rsidRPr="0055589B" w:rsidRDefault="00224561" w:rsidP="007F006A">
      <w:pPr>
        <w:spacing w:after="120" w:line="276" w:lineRule="auto"/>
        <w:jc w:val="both"/>
        <w:rPr>
          <w:rFonts w:ascii="Arial" w:eastAsia="Times New Roman" w:hAnsi="Arial" w:cs="Arial"/>
          <w:color w:val="000000" w:themeColor="text1"/>
          <w:lang w:val="cs-CZ" w:eastAsia="de-AT"/>
        </w:rPr>
      </w:pPr>
      <w:r w:rsidRPr="0055589B">
        <w:rPr>
          <w:rFonts w:ascii="Arial" w:hAnsi="Arial" w:cs="Arial"/>
          <w:color w:val="000000" w:themeColor="text1"/>
          <w:szCs w:val="24"/>
          <w:lang w:val="cs-CZ" w:eastAsia="de-AT"/>
        </w:rPr>
        <w:t xml:space="preserve">Celková variabilní částka odměny za </w:t>
      </w:r>
      <w:r w:rsidR="009C4CC8" w:rsidRPr="0055589B">
        <w:rPr>
          <w:rFonts w:ascii="Arial" w:hAnsi="Arial" w:cs="Arial"/>
          <w:color w:val="000000" w:themeColor="text1"/>
          <w:szCs w:val="24"/>
          <w:lang w:val="cs-CZ" w:eastAsia="de-AT"/>
        </w:rPr>
        <w:t xml:space="preserve">hodnocená </w:t>
      </w:r>
      <w:r w:rsidRPr="0055589B">
        <w:rPr>
          <w:rFonts w:ascii="Arial" w:hAnsi="Arial" w:cs="Arial"/>
          <w:color w:val="000000" w:themeColor="text1"/>
          <w:szCs w:val="24"/>
          <w:lang w:val="cs-CZ" w:eastAsia="de-AT"/>
        </w:rPr>
        <w:t xml:space="preserve">rok 2015 </w:t>
      </w:r>
      <w:r w:rsidR="009C4CC8" w:rsidRPr="0055589B">
        <w:rPr>
          <w:rFonts w:ascii="Arial" w:hAnsi="Arial" w:cs="Arial"/>
          <w:color w:val="000000" w:themeColor="text1"/>
          <w:szCs w:val="24"/>
          <w:lang w:val="cs-CZ" w:eastAsia="de-AT"/>
        </w:rPr>
        <w:t>je</w:t>
      </w:r>
      <w:r w:rsidRPr="0055589B">
        <w:rPr>
          <w:rFonts w:ascii="Arial" w:hAnsi="Arial" w:cs="Arial"/>
          <w:color w:val="000000" w:themeColor="text1"/>
          <w:szCs w:val="24"/>
          <w:lang w:val="cs-CZ" w:eastAsia="de-AT"/>
        </w:rPr>
        <w:t xml:space="preserve"> rovn</w:t>
      </w:r>
      <w:r w:rsidR="009C4CC8" w:rsidRPr="0055589B">
        <w:rPr>
          <w:rFonts w:ascii="Arial" w:hAnsi="Arial" w:cs="Arial"/>
          <w:color w:val="000000" w:themeColor="text1"/>
          <w:szCs w:val="24"/>
          <w:lang w:val="cs-CZ" w:eastAsia="de-AT"/>
        </w:rPr>
        <w:t>a</w:t>
      </w:r>
      <w:r w:rsidRPr="0055589B">
        <w:rPr>
          <w:rFonts w:ascii="Arial" w:hAnsi="Arial" w:cs="Arial"/>
          <w:color w:val="000000" w:themeColor="text1"/>
          <w:szCs w:val="24"/>
          <w:lang w:val="cs-CZ" w:eastAsia="de-AT"/>
        </w:rPr>
        <w:t xml:space="preserve"> 100.000,00.</w:t>
      </w:r>
    </w:p>
    <w:p w14:paraId="23B04B3B" w14:textId="25A9257E"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60</w:t>
      </w:r>
      <w:r w:rsidR="006B7C58" w:rsidRPr="0055589B">
        <w:rPr>
          <w:rFonts w:ascii="Arial" w:hAnsi="Arial" w:cs="Arial"/>
          <w:color w:val="000000" w:themeColor="text1"/>
          <w:szCs w:val="24"/>
          <w:lang w:val="cs-CZ" w:eastAsia="de-AT"/>
        </w:rPr>
        <w:t> </w:t>
      </w:r>
      <w:r w:rsidRPr="0055589B">
        <w:rPr>
          <w:rFonts w:ascii="Arial" w:hAnsi="Arial" w:cs="Arial"/>
          <w:color w:val="000000" w:themeColor="text1"/>
          <w:szCs w:val="24"/>
          <w:lang w:val="cs-CZ" w:eastAsia="de-AT"/>
        </w:rPr>
        <w:t xml:space="preserve">% = 60.000,00 </w:t>
      </w:r>
      <w:r w:rsidR="009C4CC8" w:rsidRPr="0055589B">
        <w:rPr>
          <w:rFonts w:ascii="Arial" w:hAnsi="Arial" w:cs="Arial"/>
          <w:color w:val="000000" w:themeColor="text1"/>
          <w:szCs w:val="24"/>
          <w:lang w:val="cs-CZ" w:eastAsia="de-AT"/>
        </w:rPr>
        <w:t xml:space="preserve">se zaměstnanci vyplácí / přiděluje v roce </w:t>
      </w:r>
      <w:r w:rsidRPr="0055589B">
        <w:rPr>
          <w:rFonts w:ascii="Arial" w:hAnsi="Arial" w:cs="Arial"/>
          <w:color w:val="000000" w:themeColor="text1"/>
          <w:szCs w:val="24"/>
          <w:lang w:val="cs-CZ" w:eastAsia="de-AT"/>
        </w:rPr>
        <w:t>2016</w:t>
      </w:r>
      <w:r w:rsidR="000D6417" w:rsidRPr="0055589B">
        <w:rPr>
          <w:rFonts w:ascii="Arial" w:hAnsi="Arial" w:cs="Arial"/>
          <w:color w:val="000000" w:themeColor="text1"/>
          <w:szCs w:val="24"/>
          <w:lang w:val="cs-CZ" w:eastAsia="de-AT"/>
        </w:rPr>
        <w:t xml:space="preserve">. </w:t>
      </w:r>
      <w:r w:rsidR="009C4CC8" w:rsidRPr="0055589B">
        <w:rPr>
          <w:rFonts w:ascii="Arial" w:hAnsi="Arial" w:cs="Arial"/>
          <w:color w:val="000000" w:themeColor="text1"/>
          <w:szCs w:val="24"/>
          <w:lang w:val="cs-CZ" w:eastAsia="de-AT"/>
        </w:rPr>
        <w:t xml:space="preserve">Z </w:t>
      </w:r>
      <w:r w:rsidRPr="0055589B">
        <w:rPr>
          <w:rFonts w:ascii="Arial" w:hAnsi="Arial" w:cs="Arial"/>
          <w:color w:val="000000" w:themeColor="text1"/>
          <w:szCs w:val="24"/>
          <w:lang w:val="cs-CZ" w:eastAsia="de-AT"/>
        </w:rPr>
        <w:t xml:space="preserve">toho </w:t>
      </w:r>
      <w:r w:rsidR="00E873A0" w:rsidRPr="0055589B">
        <w:rPr>
          <w:rFonts w:ascii="Arial" w:hAnsi="Arial" w:cs="Arial"/>
          <w:color w:val="000000" w:themeColor="text1"/>
          <w:szCs w:val="24"/>
          <w:lang w:val="cs-CZ" w:eastAsia="de-AT"/>
        </w:rPr>
        <w:t xml:space="preserve">je </w:t>
      </w:r>
      <w:r w:rsidRPr="0055589B">
        <w:rPr>
          <w:rFonts w:ascii="Arial" w:hAnsi="Arial" w:cs="Arial"/>
          <w:color w:val="000000" w:themeColor="text1"/>
          <w:szCs w:val="24"/>
          <w:lang w:val="cs-CZ" w:eastAsia="de-AT"/>
        </w:rPr>
        <w:t>50</w:t>
      </w:r>
      <w:r w:rsidR="009C4CC8" w:rsidRPr="0055589B">
        <w:rPr>
          <w:rFonts w:ascii="Arial" w:hAnsi="Arial" w:cs="Arial"/>
          <w:color w:val="000000" w:themeColor="text1"/>
          <w:szCs w:val="24"/>
          <w:lang w:val="cs-CZ" w:eastAsia="de-AT"/>
        </w:rPr>
        <w:t> </w:t>
      </w:r>
      <w:r w:rsidRPr="0055589B">
        <w:rPr>
          <w:rFonts w:ascii="Arial" w:hAnsi="Arial" w:cs="Arial"/>
          <w:color w:val="000000" w:themeColor="text1"/>
          <w:szCs w:val="24"/>
          <w:lang w:val="cs-CZ" w:eastAsia="de-AT"/>
        </w:rPr>
        <w:t xml:space="preserve">% </w:t>
      </w:r>
      <w:r w:rsidR="009C4CC8" w:rsidRPr="0055589B">
        <w:rPr>
          <w:rFonts w:ascii="Arial" w:hAnsi="Arial" w:cs="Arial"/>
          <w:color w:val="000000" w:themeColor="text1"/>
          <w:szCs w:val="24"/>
          <w:lang w:val="cs-CZ" w:eastAsia="de-AT"/>
        </w:rPr>
        <w:t xml:space="preserve">vyplaceno </w:t>
      </w:r>
      <w:r w:rsidRPr="0055589B">
        <w:rPr>
          <w:rFonts w:ascii="Arial" w:hAnsi="Arial" w:cs="Arial"/>
          <w:color w:val="000000" w:themeColor="text1"/>
          <w:szCs w:val="24"/>
          <w:lang w:val="cs-CZ" w:eastAsia="de-AT"/>
        </w:rPr>
        <w:t>v hotovosti a 50</w:t>
      </w:r>
      <w:r w:rsidR="009C4CC8"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 převeden</w:t>
      </w:r>
      <w:r w:rsidR="009C4CC8" w:rsidRPr="0055589B">
        <w:rPr>
          <w:rFonts w:ascii="Arial" w:hAnsi="Arial" w:cs="Arial"/>
          <w:color w:val="000000" w:themeColor="text1"/>
          <w:szCs w:val="24"/>
          <w:lang w:val="cs-CZ" w:eastAsia="de-AT"/>
        </w:rPr>
        <w:t>o</w:t>
      </w:r>
      <w:r w:rsidRPr="0055589B">
        <w:rPr>
          <w:rFonts w:ascii="Arial" w:hAnsi="Arial" w:cs="Arial"/>
          <w:color w:val="000000" w:themeColor="text1"/>
          <w:szCs w:val="24"/>
          <w:lang w:val="cs-CZ" w:eastAsia="de-AT"/>
        </w:rPr>
        <w:t xml:space="preserve"> do </w:t>
      </w:r>
      <w:r w:rsidR="009C4CC8" w:rsidRPr="0055589B">
        <w:rPr>
          <w:rFonts w:ascii="Arial" w:hAnsi="Arial" w:cs="Arial"/>
          <w:color w:val="000000" w:themeColor="text1"/>
          <w:szCs w:val="24"/>
          <w:lang w:val="cs-CZ" w:eastAsia="de-AT"/>
        </w:rPr>
        <w:t xml:space="preserve">akcií </w:t>
      </w:r>
      <w:r w:rsidRPr="0055589B">
        <w:rPr>
          <w:rFonts w:ascii="Arial" w:hAnsi="Arial" w:cs="Arial"/>
          <w:color w:val="000000" w:themeColor="text1"/>
          <w:szCs w:val="24"/>
          <w:lang w:val="cs-CZ" w:eastAsia="de-AT"/>
        </w:rPr>
        <w:t>fiktivních fondů (průměrn</w:t>
      </w:r>
      <w:r w:rsidR="009C4CC8" w:rsidRPr="0055589B">
        <w:rPr>
          <w:rFonts w:ascii="Arial" w:hAnsi="Arial" w:cs="Arial"/>
          <w:color w:val="000000" w:themeColor="text1"/>
          <w:szCs w:val="24"/>
          <w:lang w:val="cs-CZ" w:eastAsia="de-AT"/>
        </w:rPr>
        <w:t>á</w:t>
      </w:r>
      <w:r w:rsidRPr="0055589B">
        <w:rPr>
          <w:rFonts w:ascii="Arial" w:hAnsi="Arial" w:cs="Arial"/>
          <w:color w:val="000000" w:themeColor="text1"/>
          <w:szCs w:val="24"/>
          <w:lang w:val="cs-CZ" w:eastAsia="de-AT"/>
        </w:rPr>
        <w:t xml:space="preserve"> vážen</w:t>
      </w:r>
      <w:r w:rsidR="009C4CC8" w:rsidRPr="0055589B">
        <w:rPr>
          <w:rFonts w:ascii="Arial" w:hAnsi="Arial" w:cs="Arial"/>
          <w:color w:val="000000" w:themeColor="text1"/>
          <w:szCs w:val="24"/>
          <w:lang w:val="cs-CZ" w:eastAsia="de-AT"/>
        </w:rPr>
        <w:t>á</w:t>
      </w:r>
      <w:r w:rsidRPr="0055589B">
        <w:rPr>
          <w:rFonts w:ascii="Arial" w:hAnsi="Arial" w:cs="Arial"/>
          <w:color w:val="000000" w:themeColor="text1"/>
          <w:szCs w:val="24"/>
          <w:lang w:val="cs-CZ" w:eastAsia="de-AT"/>
        </w:rPr>
        <w:t xml:space="preserve"> denní NAV v 2015 </w:t>
      </w:r>
      <w:r w:rsidR="009C4CC8" w:rsidRPr="0055589B">
        <w:rPr>
          <w:rFonts w:ascii="Arial" w:hAnsi="Arial" w:cs="Arial"/>
          <w:color w:val="000000" w:themeColor="text1"/>
          <w:szCs w:val="24"/>
          <w:lang w:val="cs-CZ" w:eastAsia="de-AT"/>
        </w:rPr>
        <w:t>činila</w:t>
      </w:r>
      <w:r w:rsidRPr="0055589B">
        <w:rPr>
          <w:rFonts w:ascii="Arial" w:hAnsi="Arial" w:cs="Arial"/>
          <w:color w:val="000000" w:themeColor="text1"/>
          <w:szCs w:val="24"/>
          <w:lang w:val="cs-CZ" w:eastAsia="de-AT"/>
        </w:rPr>
        <w:t xml:space="preserve"> 29,90 = 1.003,34 </w:t>
      </w:r>
      <w:r w:rsidR="009C4CC8" w:rsidRPr="0055589B">
        <w:rPr>
          <w:rFonts w:ascii="Arial" w:hAnsi="Arial" w:cs="Arial"/>
          <w:color w:val="000000" w:themeColor="text1"/>
          <w:szCs w:val="24"/>
          <w:lang w:val="cs-CZ" w:eastAsia="de-AT"/>
        </w:rPr>
        <w:t xml:space="preserve">akcií fiktivních fondů); akcie fiktivních fondů jsou drženy po dobu </w:t>
      </w:r>
      <w:r w:rsidRPr="0055589B">
        <w:rPr>
          <w:rFonts w:ascii="Arial" w:hAnsi="Arial" w:cs="Arial"/>
          <w:color w:val="000000" w:themeColor="text1"/>
          <w:szCs w:val="24"/>
          <w:lang w:val="cs-CZ" w:eastAsia="de-AT"/>
        </w:rPr>
        <w:t>retenční</w:t>
      </w:r>
      <w:r w:rsidR="009C4CC8" w:rsidRPr="0055589B">
        <w:rPr>
          <w:rFonts w:ascii="Arial" w:hAnsi="Arial" w:cs="Arial"/>
          <w:color w:val="000000" w:themeColor="text1"/>
          <w:szCs w:val="24"/>
          <w:lang w:val="cs-CZ" w:eastAsia="de-AT"/>
        </w:rPr>
        <w:t xml:space="preserve">ho </w:t>
      </w:r>
      <w:r w:rsidRPr="0055589B">
        <w:rPr>
          <w:rFonts w:ascii="Arial" w:hAnsi="Arial" w:cs="Arial"/>
          <w:color w:val="000000" w:themeColor="text1"/>
          <w:szCs w:val="24"/>
          <w:lang w:val="cs-CZ" w:eastAsia="de-AT"/>
        </w:rPr>
        <w:t>období</w:t>
      </w:r>
      <w:r w:rsidR="009C4CC8" w:rsidRPr="0055589B">
        <w:rPr>
          <w:rFonts w:ascii="Arial" w:hAnsi="Arial" w:cs="Arial"/>
          <w:color w:val="000000" w:themeColor="text1"/>
          <w:szCs w:val="24"/>
          <w:lang w:val="cs-CZ" w:eastAsia="de-AT"/>
        </w:rPr>
        <w:t xml:space="preserve"> v délce</w:t>
      </w:r>
      <w:r w:rsidRPr="0055589B">
        <w:rPr>
          <w:rFonts w:ascii="Arial" w:hAnsi="Arial" w:cs="Arial"/>
          <w:color w:val="000000" w:themeColor="text1"/>
          <w:szCs w:val="24"/>
          <w:lang w:val="cs-CZ" w:eastAsia="de-AT"/>
        </w:rPr>
        <w:t xml:space="preserve"> jednoho roku, přepočten</w:t>
      </w:r>
      <w:r w:rsidR="009C4CC8" w:rsidRPr="0055589B">
        <w:rPr>
          <w:rFonts w:ascii="Arial" w:hAnsi="Arial" w:cs="Arial"/>
          <w:color w:val="000000" w:themeColor="text1"/>
          <w:szCs w:val="24"/>
          <w:lang w:val="cs-CZ" w:eastAsia="de-AT"/>
        </w:rPr>
        <w:t>y</w:t>
      </w:r>
      <w:r w:rsidRPr="0055589B">
        <w:rPr>
          <w:rFonts w:ascii="Arial" w:hAnsi="Arial" w:cs="Arial"/>
          <w:color w:val="000000" w:themeColor="text1"/>
          <w:szCs w:val="24"/>
          <w:lang w:val="cs-CZ" w:eastAsia="de-AT"/>
        </w:rPr>
        <w:t xml:space="preserve"> na hotovost </w:t>
      </w:r>
      <w:r w:rsidR="009C4CC8" w:rsidRPr="0055589B">
        <w:rPr>
          <w:rFonts w:ascii="Arial" w:hAnsi="Arial" w:cs="Arial"/>
          <w:color w:val="000000" w:themeColor="text1"/>
          <w:szCs w:val="24"/>
          <w:lang w:val="cs-CZ" w:eastAsia="de-AT"/>
        </w:rPr>
        <w:t>ve výši</w:t>
      </w:r>
      <w:r w:rsidRPr="0055589B">
        <w:rPr>
          <w:rFonts w:ascii="Arial" w:hAnsi="Arial" w:cs="Arial"/>
          <w:color w:val="000000" w:themeColor="text1"/>
          <w:szCs w:val="24"/>
          <w:lang w:val="cs-CZ" w:eastAsia="de-AT"/>
        </w:rPr>
        <w:t xml:space="preserve"> průměrn</w:t>
      </w:r>
      <w:r w:rsidR="009C4CC8" w:rsidRPr="0055589B">
        <w:rPr>
          <w:rFonts w:ascii="Arial" w:hAnsi="Arial" w:cs="Arial"/>
          <w:color w:val="000000" w:themeColor="text1"/>
          <w:szCs w:val="24"/>
          <w:lang w:val="cs-CZ" w:eastAsia="de-AT"/>
        </w:rPr>
        <w:t>é</w:t>
      </w:r>
      <w:r w:rsidRPr="0055589B">
        <w:rPr>
          <w:rFonts w:ascii="Arial" w:hAnsi="Arial" w:cs="Arial"/>
          <w:color w:val="000000" w:themeColor="text1"/>
          <w:szCs w:val="24"/>
          <w:lang w:val="cs-CZ" w:eastAsia="de-AT"/>
        </w:rPr>
        <w:t xml:space="preserve"> vážen</w:t>
      </w:r>
      <w:r w:rsidR="009C4CC8" w:rsidRPr="0055589B">
        <w:rPr>
          <w:rFonts w:ascii="Arial" w:hAnsi="Arial" w:cs="Arial"/>
          <w:color w:val="000000" w:themeColor="text1"/>
          <w:szCs w:val="24"/>
          <w:lang w:val="cs-CZ" w:eastAsia="de-AT"/>
        </w:rPr>
        <w:t>é</w:t>
      </w:r>
      <w:r w:rsidRPr="0055589B">
        <w:rPr>
          <w:rFonts w:ascii="Arial" w:hAnsi="Arial" w:cs="Arial"/>
          <w:color w:val="000000" w:themeColor="text1"/>
          <w:szCs w:val="24"/>
          <w:lang w:val="cs-CZ" w:eastAsia="de-AT"/>
        </w:rPr>
        <w:t xml:space="preserve"> denní NAV </w:t>
      </w:r>
      <w:r w:rsidR="009C4CC8" w:rsidRPr="0055589B">
        <w:rPr>
          <w:rFonts w:ascii="Arial" w:hAnsi="Arial" w:cs="Arial"/>
          <w:color w:val="000000" w:themeColor="text1"/>
          <w:szCs w:val="24"/>
          <w:lang w:val="cs-CZ" w:eastAsia="de-AT"/>
        </w:rPr>
        <w:t xml:space="preserve">za rok </w:t>
      </w:r>
      <w:r w:rsidRPr="0055589B">
        <w:rPr>
          <w:rFonts w:ascii="Arial" w:hAnsi="Arial" w:cs="Arial"/>
          <w:color w:val="000000" w:themeColor="text1"/>
          <w:szCs w:val="24"/>
          <w:lang w:val="cs-CZ" w:eastAsia="de-AT"/>
        </w:rPr>
        <w:t>2016 a vyplacen</w:t>
      </w:r>
      <w:r w:rsidR="009C4CC8" w:rsidRPr="0055589B">
        <w:rPr>
          <w:rFonts w:ascii="Arial" w:hAnsi="Arial" w:cs="Arial"/>
          <w:color w:val="000000" w:themeColor="text1"/>
          <w:szCs w:val="24"/>
          <w:lang w:val="cs-CZ" w:eastAsia="de-AT"/>
        </w:rPr>
        <w:t>y</w:t>
      </w:r>
      <w:r w:rsidRPr="0055589B">
        <w:rPr>
          <w:rFonts w:ascii="Arial" w:hAnsi="Arial" w:cs="Arial"/>
          <w:color w:val="000000" w:themeColor="text1"/>
          <w:szCs w:val="24"/>
          <w:lang w:val="cs-CZ" w:eastAsia="de-AT"/>
        </w:rPr>
        <w:t xml:space="preserve"> v</w:t>
      </w:r>
      <w:r w:rsidR="009C4CC8" w:rsidRPr="0055589B">
        <w:rPr>
          <w:rFonts w:ascii="Arial" w:hAnsi="Arial" w:cs="Arial"/>
          <w:color w:val="000000" w:themeColor="text1"/>
          <w:szCs w:val="24"/>
          <w:lang w:val="cs-CZ" w:eastAsia="de-AT"/>
        </w:rPr>
        <w:t xml:space="preserve"> roce </w:t>
      </w:r>
      <w:r w:rsidRPr="0055589B">
        <w:rPr>
          <w:rFonts w:ascii="Arial" w:hAnsi="Arial" w:cs="Arial"/>
          <w:color w:val="000000" w:themeColor="text1"/>
          <w:szCs w:val="24"/>
          <w:lang w:val="cs-CZ" w:eastAsia="de-AT"/>
        </w:rPr>
        <w:t xml:space="preserve">2017. </w:t>
      </w:r>
    </w:p>
    <w:p w14:paraId="3D42EBDA" w14:textId="7F46C5F4"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40</w:t>
      </w:r>
      <w:r w:rsidR="006B7C58" w:rsidRPr="0055589B">
        <w:rPr>
          <w:rFonts w:ascii="Arial" w:hAnsi="Arial" w:cs="Arial"/>
          <w:color w:val="000000" w:themeColor="text1"/>
          <w:szCs w:val="24"/>
          <w:lang w:val="cs-CZ" w:eastAsia="de-AT"/>
        </w:rPr>
        <w:t> </w:t>
      </w:r>
      <w:r w:rsidRPr="0055589B">
        <w:rPr>
          <w:rFonts w:ascii="Arial" w:hAnsi="Arial" w:cs="Arial"/>
          <w:color w:val="000000" w:themeColor="text1"/>
          <w:szCs w:val="24"/>
          <w:lang w:val="cs-CZ" w:eastAsia="de-AT"/>
        </w:rPr>
        <w:t>% = 40.000,00 j</w:t>
      </w:r>
      <w:r w:rsidR="009C4CC8" w:rsidRPr="0055589B">
        <w:rPr>
          <w:rFonts w:ascii="Arial" w:hAnsi="Arial" w:cs="Arial"/>
          <w:color w:val="000000" w:themeColor="text1"/>
          <w:szCs w:val="24"/>
          <w:lang w:val="cs-CZ" w:eastAsia="de-AT"/>
        </w:rPr>
        <w:t>e</w:t>
      </w:r>
      <w:r w:rsidRPr="0055589B">
        <w:rPr>
          <w:rFonts w:ascii="Arial" w:hAnsi="Arial" w:cs="Arial"/>
          <w:color w:val="000000" w:themeColor="text1"/>
          <w:szCs w:val="24"/>
          <w:lang w:val="cs-CZ" w:eastAsia="de-AT"/>
        </w:rPr>
        <w:t xml:space="preserve"> odložen</w:t>
      </w:r>
      <w:r w:rsidR="009C4CC8" w:rsidRPr="0055589B">
        <w:rPr>
          <w:rFonts w:ascii="Arial" w:hAnsi="Arial" w:cs="Arial"/>
          <w:color w:val="000000" w:themeColor="text1"/>
          <w:szCs w:val="24"/>
          <w:lang w:val="cs-CZ" w:eastAsia="de-AT"/>
        </w:rPr>
        <w:t xml:space="preserve">o a vypláceno ve stejně vysokých </w:t>
      </w:r>
      <w:r w:rsidRPr="0055589B">
        <w:rPr>
          <w:rFonts w:ascii="Arial" w:hAnsi="Arial" w:cs="Arial"/>
          <w:color w:val="000000" w:themeColor="text1"/>
          <w:szCs w:val="24"/>
          <w:lang w:val="cs-CZ" w:eastAsia="de-AT"/>
        </w:rPr>
        <w:t xml:space="preserve">splátkách </w:t>
      </w:r>
      <w:r w:rsidR="009C4CC8" w:rsidRPr="0055589B">
        <w:rPr>
          <w:rFonts w:ascii="Arial" w:hAnsi="Arial" w:cs="Arial"/>
          <w:color w:val="000000" w:themeColor="text1"/>
          <w:szCs w:val="24"/>
          <w:lang w:val="cs-CZ" w:eastAsia="de-AT"/>
        </w:rPr>
        <w:t xml:space="preserve">po dobu tříletého </w:t>
      </w:r>
      <w:r w:rsidRPr="0055589B">
        <w:rPr>
          <w:rFonts w:ascii="Arial" w:hAnsi="Arial" w:cs="Arial"/>
          <w:color w:val="000000" w:themeColor="text1"/>
          <w:szCs w:val="24"/>
          <w:lang w:val="cs-CZ" w:eastAsia="de-AT"/>
        </w:rPr>
        <w:t>období odkladu (2017 až 2019)</w:t>
      </w:r>
      <w:r w:rsidR="009C4CC8" w:rsidRPr="0055589B">
        <w:rPr>
          <w:rFonts w:ascii="Arial" w:hAnsi="Arial" w:cs="Arial"/>
          <w:color w:val="000000" w:themeColor="text1"/>
          <w:szCs w:val="24"/>
          <w:lang w:val="cs-CZ" w:eastAsia="de-AT"/>
        </w:rPr>
        <w:t>. Z</w:t>
      </w:r>
      <w:r w:rsidRPr="0055589B">
        <w:rPr>
          <w:rFonts w:ascii="Arial" w:hAnsi="Arial" w:cs="Arial"/>
          <w:color w:val="000000" w:themeColor="text1"/>
          <w:szCs w:val="24"/>
          <w:lang w:val="cs-CZ" w:eastAsia="de-AT"/>
        </w:rPr>
        <w:t xml:space="preserve"> toho 50</w:t>
      </w:r>
      <w:r w:rsidR="009C4CC8" w:rsidRPr="0055589B">
        <w:rPr>
          <w:rFonts w:ascii="Arial" w:hAnsi="Arial" w:cs="Arial"/>
          <w:color w:val="000000" w:themeColor="text1"/>
          <w:szCs w:val="24"/>
          <w:lang w:val="cs-CZ" w:eastAsia="de-AT"/>
        </w:rPr>
        <w:t xml:space="preserve"> </w:t>
      </w:r>
      <w:r w:rsidRPr="0055589B">
        <w:rPr>
          <w:rFonts w:ascii="Arial" w:hAnsi="Arial" w:cs="Arial"/>
          <w:color w:val="000000" w:themeColor="text1"/>
          <w:szCs w:val="24"/>
          <w:lang w:val="cs-CZ" w:eastAsia="de-AT"/>
        </w:rPr>
        <w:t xml:space="preserve">% </w:t>
      </w:r>
      <w:r w:rsidR="009C4CC8" w:rsidRPr="0055589B">
        <w:rPr>
          <w:rFonts w:ascii="Arial" w:hAnsi="Arial" w:cs="Arial"/>
          <w:color w:val="000000" w:themeColor="text1"/>
          <w:szCs w:val="24"/>
          <w:lang w:val="cs-CZ" w:eastAsia="de-AT"/>
        </w:rPr>
        <w:t xml:space="preserve">je </w:t>
      </w:r>
      <w:r w:rsidRPr="0055589B">
        <w:rPr>
          <w:rFonts w:ascii="Arial" w:hAnsi="Arial" w:cs="Arial"/>
          <w:color w:val="000000" w:themeColor="text1"/>
          <w:szCs w:val="24"/>
          <w:lang w:val="cs-CZ" w:eastAsia="de-AT"/>
        </w:rPr>
        <w:t>vyplacen</w:t>
      </w:r>
      <w:r w:rsidR="009C4CC8" w:rsidRPr="0055589B">
        <w:rPr>
          <w:rFonts w:ascii="Arial" w:hAnsi="Arial" w:cs="Arial"/>
          <w:color w:val="000000" w:themeColor="text1"/>
          <w:szCs w:val="24"/>
          <w:lang w:val="cs-CZ" w:eastAsia="de-AT"/>
        </w:rPr>
        <w:t>o</w:t>
      </w:r>
      <w:r w:rsidRPr="0055589B">
        <w:rPr>
          <w:rFonts w:ascii="Arial" w:hAnsi="Arial" w:cs="Arial"/>
          <w:color w:val="000000" w:themeColor="text1"/>
          <w:szCs w:val="24"/>
          <w:lang w:val="cs-CZ" w:eastAsia="de-AT"/>
        </w:rPr>
        <w:t xml:space="preserve"> v hotovosti </w:t>
      </w:r>
      <w:r w:rsidR="009C4CC8" w:rsidRPr="0055589B">
        <w:rPr>
          <w:rFonts w:ascii="Arial" w:hAnsi="Arial" w:cs="Arial"/>
          <w:color w:val="000000" w:themeColor="text1"/>
          <w:szCs w:val="24"/>
          <w:lang w:val="cs-CZ" w:eastAsia="de-AT"/>
        </w:rPr>
        <w:t xml:space="preserve">v sazbě </w:t>
      </w:r>
      <w:r w:rsidRPr="0055589B">
        <w:rPr>
          <w:rFonts w:ascii="Arial" w:hAnsi="Arial" w:cs="Arial"/>
          <w:color w:val="000000" w:themeColor="text1"/>
          <w:szCs w:val="24"/>
          <w:lang w:val="cs-CZ" w:eastAsia="de-AT"/>
        </w:rPr>
        <w:t xml:space="preserve">6.666,67 </w:t>
      </w:r>
      <w:r w:rsidR="009C4CC8" w:rsidRPr="0055589B">
        <w:rPr>
          <w:rFonts w:ascii="Arial" w:hAnsi="Arial" w:cs="Arial"/>
          <w:color w:val="000000" w:themeColor="text1"/>
          <w:szCs w:val="24"/>
          <w:lang w:val="cs-CZ" w:eastAsia="de-AT"/>
        </w:rPr>
        <w:t xml:space="preserve">ročně a </w:t>
      </w:r>
      <w:r w:rsidRPr="0055589B">
        <w:rPr>
          <w:rFonts w:ascii="Arial" w:hAnsi="Arial" w:cs="Arial"/>
          <w:color w:val="000000" w:themeColor="text1"/>
          <w:szCs w:val="24"/>
          <w:lang w:val="cs-CZ" w:eastAsia="de-AT"/>
        </w:rPr>
        <w:t>50</w:t>
      </w:r>
      <w:r w:rsidR="009C4CC8" w:rsidRPr="0055589B">
        <w:rPr>
          <w:rFonts w:ascii="Arial" w:hAnsi="Arial" w:cs="Arial"/>
          <w:color w:val="000000" w:themeColor="text1"/>
          <w:szCs w:val="24"/>
          <w:lang w:val="cs-CZ" w:eastAsia="de-AT"/>
        </w:rPr>
        <w:t> </w:t>
      </w:r>
      <w:r w:rsidRPr="0055589B">
        <w:rPr>
          <w:rFonts w:ascii="Arial" w:hAnsi="Arial" w:cs="Arial"/>
          <w:color w:val="000000" w:themeColor="text1"/>
          <w:szCs w:val="24"/>
          <w:lang w:val="cs-CZ" w:eastAsia="de-AT"/>
        </w:rPr>
        <w:t>% převeden</w:t>
      </w:r>
      <w:r w:rsidR="009C4CC8" w:rsidRPr="0055589B">
        <w:rPr>
          <w:rFonts w:ascii="Arial" w:hAnsi="Arial" w:cs="Arial"/>
          <w:color w:val="000000" w:themeColor="text1"/>
          <w:szCs w:val="24"/>
          <w:lang w:val="cs-CZ" w:eastAsia="de-AT"/>
        </w:rPr>
        <w:t>o</w:t>
      </w:r>
      <w:r w:rsidRPr="0055589B">
        <w:rPr>
          <w:rFonts w:ascii="Arial" w:hAnsi="Arial" w:cs="Arial"/>
          <w:color w:val="000000" w:themeColor="text1"/>
          <w:szCs w:val="24"/>
          <w:lang w:val="cs-CZ" w:eastAsia="de-AT"/>
        </w:rPr>
        <w:t xml:space="preserve"> na </w:t>
      </w:r>
      <w:r w:rsidR="009C4CC8" w:rsidRPr="0055589B">
        <w:rPr>
          <w:rFonts w:ascii="Arial" w:hAnsi="Arial" w:cs="Arial"/>
          <w:color w:val="000000" w:themeColor="text1"/>
          <w:szCs w:val="24"/>
          <w:lang w:val="cs-CZ" w:eastAsia="de-AT"/>
        </w:rPr>
        <w:t xml:space="preserve">akcie fiktivních fondů </w:t>
      </w:r>
      <w:r w:rsidRPr="0055589B">
        <w:rPr>
          <w:rFonts w:ascii="Arial" w:hAnsi="Arial" w:cs="Arial"/>
          <w:color w:val="000000" w:themeColor="text1"/>
          <w:szCs w:val="24"/>
          <w:lang w:val="cs-CZ" w:eastAsia="de-AT"/>
        </w:rPr>
        <w:t>(</w:t>
      </w:r>
      <w:r w:rsidR="009C4CC8" w:rsidRPr="0055589B">
        <w:rPr>
          <w:rFonts w:ascii="Arial" w:hAnsi="Arial" w:cs="Arial"/>
          <w:color w:val="000000" w:themeColor="text1"/>
          <w:szCs w:val="24"/>
          <w:lang w:val="cs-CZ" w:eastAsia="de-AT"/>
        </w:rPr>
        <w:t>průměrná vážená denní NAV v 2015 činila 29,90</w:t>
      </w:r>
      <w:r w:rsidRPr="0055589B">
        <w:rPr>
          <w:rFonts w:ascii="Arial" w:hAnsi="Arial" w:cs="Arial"/>
          <w:color w:val="000000" w:themeColor="text1"/>
          <w:szCs w:val="24"/>
          <w:lang w:val="cs-CZ" w:eastAsia="de-AT"/>
        </w:rPr>
        <w:t xml:space="preserve"> = celk</w:t>
      </w:r>
      <w:r w:rsidR="009C4CC8" w:rsidRPr="0055589B">
        <w:rPr>
          <w:rFonts w:ascii="Arial" w:hAnsi="Arial" w:cs="Arial"/>
          <w:color w:val="000000" w:themeColor="text1"/>
          <w:szCs w:val="24"/>
          <w:lang w:val="cs-CZ" w:eastAsia="de-AT"/>
        </w:rPr>
        <w:t>ový počet fik</w:t>
      </w:r>
      <w:r w:rsidRPr="0055589B">
        <w:rPr>
          <w:rFonts w:ascii="Arial" w:hAnsi="Arial" w:cs="Arial"/>
          <w:color w:val="000000" w:themeColor="text1"/>
          <w:szCs w:val="24"/>
          <w:lang w:val="cs-CZ" w:eastAsia="de-AT"/>
        </w:rPr>
        <w:t xml:space="preserve">tivních akcií a 222,96 </w:t>
      </w:r>
      <w:r w:rsidR="009C4CC8" w:rsidRPr="0055589B">
        <w:rPr>
          <w:rFonts w:ascii="Arial" w:hAnsi="Arial" w:cs="Arial"/>
          <w:color w:val="000000" w:themeColor="text1"/>
          <w:szCs w:val="24"/>
          <w:lang w:val="cs-CZ" w:eastAsia="de-AT"/>
        </w:rPr>
        <w:t xml:space="preserve">akcií </w:t>
      </w:r>
      <w:r w:rsidRPr="0055589B">
        <w:rPr>
          <w:rFonts w:ascii="Arial" w:hAnsi="Arial" w:cs="Arial"/>
          <w:color w:val="000000" w:themeColor="text1"/>
          <w:szCs w:val="24"/>
          <w:lang w:val="cs-CZ" w:eastAsia="de-AT"/>
        </w:rPr>
        <w:t>fiktivní</w:t>
      </w:r>
      <w:r w:rsidR="009C4CC8" w:rsidRPr="0055589B">
        <w:rPr>
          <w:rFonts w:ascii="Arial" w:hAnsi="Arial" w:cs="Arial"/>
          <w:color w:val="000000" w:themeColor="text1"/>
          <w:szCs w:val="24"/>
          <w:lang w:val="cs-CZ" w:eastAsia="de-AT"/>
        </w:rPr>
        <w:t xml:space="preserve">ho </w:t>
      </w:r>
      <w:r w:rsidRPr="0055589B">
        <w:rPr>
          <w:rFonts w:ascii="Arial" w:hAnsi="Arial" w:cs="Arial"/>
          <w:color w:val="000000" w:themeColor="text1"/>
          <w:szCs w:val="24"/>
          <w:lang w:val="cs-CZ" w:eastAsia="de-AT"/>
        </w:rPr>
        <w:t xml:space="preserve">fondu za rok), zatímco </w:t>
      </w:r>
      <w:r w:rsidR="009C4CC8" w:rsidRPr="0055589B">
        <w:rPr>
          <w:rFonts w:ascii="Arial" w:hAnsi="Arial" w:cs="Arial"/>
          <w:color w:val="000000" w:themeColor="text1"/>
          <w:szCs w:val="24"/>
          <w:lang w:val="cs-CZ" w:eastAsia="de-AT"/>
        </w:rPr>
        <w:t xml:space="preserve">jednotlivé části </w:t>
      </w:r>
      <w:r w:rsidR="003316D9" w:rsidRPr="0055589B">
        <w:rPr>
          <w:rFonts w:ascii="Arial" w:hAnsi="Arial" w:cs="Arial"/>
          <w:color w:val="000000" w:themeColor="text1"/>
          <w:szCs w:val="24"/>
          <w:lang w:val="cs-CZ" w:eastAsia="de-AT"/>
        </w:rPr>
        <w:t xml:space="preserve">akcií fiktivního fondu jsou drženy po dobu retenčního období v délce jednoho roku, přepočteny na hotovost ve </w:t>
      </w:r>
      <w:r w:rsidR="003316D9" w:rsidRPr="0055589B">
        <w:rPr>
          <w:rFonts w:ascii="Arial" w:hAnsi="Arial" w:cs="Arial"/>
          <w:color w:val="000000" w:themeColor="text1"/>
          <w:szCs w:val="24"/>
          <w:lang w:val="cs-CZ" w:eastAsia="de-AT"/>
        </w:rPr>
        <w:lastRenderedPageBreak/>
        <w:t xml:space="preserve">výši průměrné vážené denní NAV za příslušný předcházející rok a </w:t>
      </w:r>
      <w:r w:rsidRPr="0055589B">
        <w:rPr>
          <w:rFonts w:ascii="Arial" w:hAnsi="Arial" w:cs="Arial"/>
          <w:color w:val="000000" w:themeColor="text1"/>
          <w:szCs w:val="24"/>
          <w:lang w:val="cs-CZ" w:eastAsia="de-AT"/>
        </w:rPr>
        <w:t>vyplacen</w:t>
      </w:r>
      <w:r w:rsidR="003316D9" w:rsidRPr="0055589B">
        <w:rPr>
          <w:rFonts w:ascii="Arial" w:hAnsi="Arial" w:cs="Arial"/>
          <w:color w:val="000000" w:themeColor="text1"/>
          <w:szCs w:val="24"/>
          <w:lang w:val="cs-CZ" w:eastAsia="de-AT"/>
        </w:rPr>
        <w:t>y</w:t>
      </w:r>
      <w:r w:rsidRPr="0055589B">
        <w:rPr>
          <w:rFonts w:ascii="Arial" w:hAnsi="Arial" w:cs="Arial"/>
          <w:color w:val="000000" w:themeColor="text1"/>
          <w:szCs w:val="24"/>
          <w:lang w:val="cs-CZ" w:eastAsia="de-AT"/>
        </w:rPr>
        <w:t xml:space="preserve"> v letech 2018 až 2020.</w:t>
      </w:r>
    </w:p>
    <w:p w14:paraId="4B5EE6BB" w14:textId="56384EE2"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Výplata hotov</w:t>
      </w:r>
      <w:r w:rsidR="001577C5" w:rsidRPr="0055589B">
        <w:rPr>
          <w:rFonts w:ascii="Arial" w:hAnsi="Arial" w:cs="Arial"/>
          <w:color w:val="000000" w:themeColor="text1"/>
          <w:szCs w:val="24"/>
          <w:lang w:val="cs-CZ" w:eastAsia="de-AT"/>
        </w:rPr>
        <w:t xml:space="preserve">ostních </w:t>
      </w:r>
      <w:r w:rsidRPr="0055589B">
        <w:rPr>
          <w:rFonts w:ascii="Arial" w:hAnsi="Arial" w:cs="Arial"/>
          <w:color w:val="000000" w:themeColor="text1"/>
          <w:szCs w:val="24"/>
          <w:lang w:val="cs-CZ" w:eastAsia="de-AT"/>
        </w:rPr>
        <w:t>částí:</w:t>
      </w:r>
    </w:p>
    <w:p w14:paraId="12C67A4A" w14:textId="49371C67"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2016:30.000,00</w:t>
      </w:r>
    </w:p>
    <w:p w14:paraId="634E2101" w14:textId="62496F43"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2017:6.666,67</w:t>
      </w:r>
    </w:p>
    <w:p w14:paraId="4754FF13" w14:textId="363E40FF"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2018:6.666,67</w:t>
      </w:r>
    </w:p>
    <w:p w14:paraId="22CA6255" w14:textId="0D504072"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2019:6.666,67</w:t>
      </w:r>
    </w:p>
    <w:p w14:paraId="492B15F8" w14:textId="5F0B8C18" w:rsidR="00224561" w:rsidRPr="0055589B" w:rsidRDefault="00224561" w:rsidP="007F006A">
      <w:pPr>
        <w:spacing w:before="240"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V</w:t>
      </w:r>
      <w:r w:rsidR="001577C5" w:rsidRPr="0055589B">
        <w:rPr>
          <w:rFonts w:ascii="Arial" w:hAnsi="Arial" w:cs="Arial"/>
          <w:color w:val="000000" w:themeColor="text1"/>
          <w:szCs w:val="24"/>
          <w:lang w:val="cs-CZ" w:eastAsia="de-AT"/>
        </w:rPr>
        <w:t xml:space="preserve">ýplata </w:t>
      </w:r>
      <w:r w:rsidRPr="0055589B">
        <w:rPr>
          <w:rFonts w:ascii="Arial" w:hAnsi="Arial" w:cs="Arial"/>
          <w:color w:val="000000" w:themeColor="text1"/>
          <w:szCs w:val="24"/>
          <w:lang w:val="cs-CZ" w:eastAsia="de-AT"/>
        </w:rPr>
        <w:t xml:space="preserve">bezhotovostních instrumentů v hotovosti (např. </w:t>
      </w:r>
      <w:r w:rsidR="001577C5" w:rsidRPr="0055589B">
        <w:rPr>
          <w:rFonts w:ascii="Arial" w:hAnsi="Arial" w:cs="Arial"/>
          <w:color w:val="000000" w:themeColor="text1"/>
          <w:szCs w:val="24"/>
          <w:lang w:val="cs-CZ" w:eastAsia="de-AT"/>
        </w:rPr>
        <w:t>akcie fiktivních fondů</w:t>
      </w:r>
      <w:r w:rsidRPr="0055589B">
        <w:rPr>
          <w:rFonts w:ascii="Arial" w:hAnsi="Arial" w:cs="Arial"/>
          <w:color w:val="000000" w:themeColor="text1"/>
          <w:szCs w:val="24"/>
          <w:lang w:val="cs-CZ" w:eastAsia="de-AT"/>
        </w:rPr>
        <w:t>):</w:t>
      </w:r>
    </w:p>
    <w:p w14:paraId="14F6A2B0" w14:textId="21D6AE30"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2017:1.003,34 </w:t>
      </w:r>
      <w:r w:rsidR="001577C5" w:rsidRPr="0055589B">
        <w:rPr>
          <w:rFonts w:ascii="Arial" w:hAnsi="Arial" w:cs="Arial"/>
          <w:color w:val="000000" w:themeColor="text1"/>
          <w:szCs w:val="24"/>
          <w:lang w:val="cs-CZ" w:eastAsia="de-AT"/>
        </w:rPr>
        <w:t>akcie fiktivních fondů</w:t>
      </w:r>
      <w:r w:rsidRPr="0055589B">
        <w:rPr>
          <w:rFonts w:ascii="Arial" w:hAnsi="Arial" w:cs="Arial"/>
          <w:color w:val="000000" w:themeColor="text1"/>
          <w:szCs w:val="24"/>
          <w:lang w:val="cs-CZ" w:eastAsia="de-AT"/>
        </w:rPr>
        <w:t xml:space="preserve"> x 30,40 € (průměrná vážen</w:t>
      </w:r>
      <w:r w:rsidR="001577C5" w:rsidRPr="0055589B">
        <w:rPr>
          <w:rFonts w:ascii="Arial" w:hAnsi="Arial" w:cs="Arial"/>
          <w:color w:val="000000" w:themeColor="text1"/>
          <w:szCs w:val="24"/>
          <w:lang w:val="cs-CZ" w:eastAsia="de-AT"/>
        </w:rPr>
        <w:t>á</w:t>
      </w:r>
      <w:r w:rsidRPr="0055589B">
        <w:rPr>
          <w:rFonts w:ascii="Arial" w:hAnsi="Arial" w:cs="Arial"/>
          <w:color w:val="000000" w:themeColor="text1"/>
          <w:szCs w:val="24"/>
          <w:lang w:val="cs-CZ" w:eastAsia="de-AT"/>
        </w:rPr>
        <w:t xml:space="preserve"> denní NAV 2016) = 30.502,00</w:t>
      </w:r>
    </w:p>
    <w:p w14:paraId="54CBFA60" w14:textId="43E52C4C"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2018:222,96 </w:t>
      </w:r>
      <w:r w:rsidR="001577C5" w:rsidRPr="0055589B">
        <w:rPr>
          <w:rFonts w:ascii="Arial" w:hAnsi="Arial" w:cs="Arial"/>
          <w:color w:val="000000" w:themeColor="text1"/>
          <w:szCs w:val="24"/>
          <w:lang w:val="cs-CZ" w:eastAsia="de-AT"/>
        </w:rPr>
        <w:t>akcie fiktivních fondů</w:t>
      </w:r>
      <w:r w:rsidRPr="0055589B">
        <w:rPr>
          <w:rFonts w:ascii="Arial" w:hAnsi="Arial" w:cs="Arial"/>
          <w:color w:val="000000" w:themeColor="text1"/>
          <w:szCs w:val="24"/>
          <w:lang w:val="cs-CZ" w:eastAsia="de-AT"/>
        </w:rPr>
        <w:t xml:space="preserve"> x 36,00 € (průměrná vážen</w:t>
      </w:r>
      <w:r w:rsidR="001577C5" w:rsidRPr="0055589B">
        <w:rPr>
          <w:rFonts w:ascii="Arial" w:hAnsi="Arial" w:cs="Arial"/>
          <w:color w:val="000000" w:themeColor="text1"/>
          <w:szCs w:val="24"/>
          <w:lang w:val="cs-CZ" w:eastAsia="de-AT"/>
        </w:rPr>
        <w:t>á</w:t>
      </w:r>
      <w:r w:rsidRPr="0055589B">
        <w:rPr>
          <w:rFonts w:ascii="Arial" w:hAnsi="Arial" w:cs="Arial"/>
          <w:color w:val="000000" w:themeColor="text1"/>
          <w:szCs w:val="24"/>
          <w:lang w:val="cs-CZ" w:eastAsia="de-AT"/>
        </w:rPr>
        <w:t xml:space="preserve"> denní NAV 2017) = 8.026,56</w:t>
      </w:r>
    </w:p>
    <w:p w14:paraId="305116CF" w14:textId="00369B59"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2019:222,96 </w:t>
      </w:r>
      <w:r w:rsidR="001577C5" w:rsidRPr="0055589B">
        <w:rPr>
          <w:rFonts w:ascii="Arial" w:hAnsi="Arial" w:cs="Arial"/>
          <w:color w:val="000000" w:themeColor="text1"/>
          <w:szCs w:val="24"/>
          <w:lang w:val="cs-CZ" w:eastAsia="de-AT"/>
        </w:rPr>
        <w:t>akcie fiktivních fondů</w:t>
      </w:r>
      <w:r w:rsidRPr="0055589B">
        <w:rPr>
          <w:rFonts w:ascii="Arial" w:hAnsi="Arial" w:cs="Arial"/>
          <w:color w:val="000000" w:themeColor="text1"/>
          <w:szCs w:val="24"/>
          <w:lang w:val="cs-CZ" w:eastAsia="de-AT"/>
        </w:rPr>
        <w:t xml:space="preserve"> x 33,00 € (průměrná vážen</w:t>
      </w:r>
      <w:r w:rsidR="001577C5" w:rsidRPr="0055589B">
        <w:rPr>
          <w:rFonts w:ascii="Arial" w:hAnsi="Arial" w:cs="Arial"/>
          <w:color w:val="000000" w:themeColor="text1"/>
          <w:szCs w:val="24"/>
          <w:lang w:val="cs-CZ" w:eastAsia="de-AT"/>
        </w:rPr>
        <w:t>á</w:t>
      </w:r>
      <w:r w:rsidRPr="0055589B">
        <w:rPr>
          <w:rFonts w:ascii="Arial" w:hAnsi="Arial" w:cs="Arial"/>
          <w:color w:val="000000" w:themeColor="text1"/>
          <w:szCs w:val="24"/>
          <w:lang w:val="cs-CZ" w:eastAsia="de-AT"/>
        </w:rPr>
        <w:t xml:space="preserve"> denní NAV 2018) = 7.357,68</w:t>
      </w:r>
    </w:p>
    <w:p w14:paraId="31E4C630" w14:textId="7170ECEE" w:rsidR="00224561" w:rsidRPr="0055589B" w:rsidRDefault="00224561" w:rsidP="007F006A">
      <w:pPr>
        <w:spacing w:after="120" w:line="276" w:lineRule="auto"/>
        <w:jc w:val="both"/>
        <w:rPr>
          <w:rFonts w:ascii="Arial" w:eastAsia="Times New Roman" w:hAnsi="Arial" w:cs="Arial"/>
          <w:color w:val="000000" w:themeColor="text1"/>
          <w:szCs w:val="24"/>
          <w:lang w:val="cs-CZ" w:eastAsia="de-AT"/>
        </w:rPr>
      </w:pPr>
      <w:r w:rsidRPr="0055589B">
        <w:rPr>
          <w:rFonts w:ascii="Arial" w:hAnsi="Arial" w:cs="Arial"/>
          <w:color w:val="000000" w:themeColor="text1"/>
          <w:szCs w:val="24"/>
          <w:lang w:val="cs-CZ" w:eastAsia="de-AT"/>
        </w:rPr>
        <w:t xml:space="preserve">2020:222,96 </w:t>
      </w:r>
      <w:r w:rsidR="001577C5" w:rsidRPr="0055589B">
        <w:rPr>
          <w:rFonts w:ascii="Arial" w:hAnsi="Arial" w:cs="Arial"/>
          <w:color w:val="000000" w:themeColor="text1"/>
          <w:szCs w:val="24"/>
          <w:lang w:val="cs-CZ" w:eastAsia="de-AT"/>
        </w:rPr>
        <w:t>akcie fiktivních fondů</w:t>
      </w:r>
      <w:r w:rsidRPr="0055589B">
        <w:rPr>
          <w:rFonts w:ascii="Arial" w:hAnsi="Arial" w:cs="Arial"/>
          <w:color w:val="000000" w:themeColor="text1"/>
          <w:szCs w:val="24"/>
          <w:lang w:val="cs-CZ" w:eastAsia="de-AT"/>
        </w:rPr>
        <w:t xml:space="preserve"> x 29,00 € (průměrná vážen</w:t>
      </w:r>
      <w:r w:rsidR="001577C5" w:rsidRPr="0055589B">
        <w:rPr>
          <w:rFonts w:ascii="Arial" w:hAnsi="Arial" w:cs="Arial"/>
          <w:color w:val="000000" w:themeColor="text1"/>
          <w:szCs w:val="24"/>
          <w:lang w:val="cs-CZ" w:eastAsia="de-AT"/>
        </w:rPr>
        <w:t>á</w:t>
      </w:r>
      <w:r w:rsidRPr="0055589B">
        <w:rPr>
          <w:rFonts w:ascii="Arial" w:hAnsi="Arial" w:cs="Arial"/>
          <w:color w:val="000000" w:themeColor="text1"/>
          <w:szCs w:val="24"/>
          <w:lang w:val="cs-CZ" w:eastAsia="de-AT"/>
        </w:rPr>
        <w:t xml:space="preserve"> denní NAV 2019) = 6.465,84</w:t>
      </w:r>
    </w:p>
    <w:p w14:paraId="3093E1C0" w14:textId="67F12BDF" w:rsidR="00224561" w:rsidRPr="0055589B" w:rsidRDefault="00224561" w:rsidP="00694A20">
      <w:pPr>
        <w:pStyle w:val="Nadpis1"/>
        <w:rPr>
          <w:rFonts w:eastAsia="Times New Roman"/>
          <w:color w:val="000000" w:themeColor="text1"/>
          <w:lang w:val="cs-CZ"/>
        </w:rPr>
      </w:pPr>
      <w:bookmarkStart w:id="60" w:name="_Toc108689227"/>
      <w:r w:rsidRPr="0055589B">
        <w:rPr>
          <w:color w:val="000000" w:themeColor="text1"/>
          <w:lang w:val="cs-CZ"/>
        </w:rPr>
        <w:t>P</w:t>
      </w:r>
      <w:r w:rsidR="00E72F7C" w:rsidRPr="0055589B">
        <w:rPr>
          <w:color w:val="000000" w:themeColor="text1"/>
          <w:lang w:val="cs-CZ"/>
        </w:rPr>
        <w:t xml:space="preserve">ravidla pro odcházející zaměstnance a </w:t>
      </w:r>
      <w:bookmarkEnd w:id="52"/>
      <w:r w:rsidRPr="0055589B">
        <w:rPr>
          <w:color w:val="000000" w:themeColor="text1"/>
          <w:lang w:val="cs-CZ"/>
        </w:rPr>
        <w:t>důchodové dávky</w:t>
      </w:r>
      <w:bookmarkEnd w:id="60"/>
    </w:p>
    <w:p w14:paraId="34485313" w14:textId="23483B80" w:rsidR="00224561" w:rsidRPr="0055589B" w:rsidRDefault="00224561" w:rsidP="006033BF">
      <w:pPr>
        <w:pStyle w:val="Nadpis2"/>
        <w:rPr>
          <w:rFonts w:eastAsia="Times New Roman"/>
          <w:noProof/>
          <w:color w:val="000000" w:themeColor="text1"/>
          <w:lang w:val="cs-CZ"/>
        </w:rPr>
      </w:pPr>
      <w:bookmarkStart w:id="61" w:name="_Toc427853422"/>
      <w:bookmarkStart w:id="62" w:name="_Toc108689228"/>
      <w:r w:rsidRPr="0055589B">
        <w:rPr>
          <w:noProof/>
          <w:color w:val="000000" w:themeColor="text1"/>
          <w:lang w:val="cs-CZ"/>
        </w:rPr>
        <w:t>Obecná ustanovení</w:t>
      </w:r>
      <w:r w:rsidR="001577C5" w:rsidRPr="0055589B">
        <w:rPr>
          <w:noProof/>
          <w:color w:val="000000" w:themeColor="text1"/>
          <w:lang w:val="cs-CZ"/>
        </w:rPr>
        <w:t xml:space="preserve"> pro</w:t>
      </w:r>
      <w:r w:rsidRPr="0055589B">
        <w:rPr>
          <w:noProof/>
          <w:color w:val="000000" w:themeColor="text1"/>
          <w:lang w:val="cs-CZ"/>
        </w:rPr>
        <w:t xml:space="preserve"> </w:t>
      </w:r>
      <w:r w:rsidR="00E72F7C" w:rsidRPr="0055589B">
        <w:rPr>
          <w:noProof/>
          <w:color w:val="000000" w:themeColor="text1"/>
          <w:lang w:val="cs-CZ"/>
        </w:rPr>
        <w:t xml:space="preserve">zaměstnance, </w:t>
      </w:r>
      <w:r w:rsidR="00B435CB" w:rsidRPr="0055589B">
        <w:rPr>
          <w:noProof/>
          <w:color w:val="000000" w:themeColor="text1"/>
          <w:lang w:val="cs-CZ"/>
        </w:rPr>
        <w:t xml:space="preserve">jejichž pracovní poměr skončil v </w:t>
      </w:r>
      <w:r w:rsidR="00E72F7C" w:rsidRPr="0055589B">
        <w:rPr>
          <w:noProof/>
          <w:color w:val="000000" w:themeColor="text1"/>
          <w:lang w:val="cs-CZ"/>
        </w:rPr>
        <w:t>dobré víře</w:t>
      </w:r>
      <w:bookmarkEnd w:id="61"/>
      <w:bookmarkEnd w:id="62"/>
    </w:p>
    <w:p w14:paraId="4C1CC2DB" w14:textId="3EF7A7B9" w:rsidR="00694A20" w:rsidRPr="0055589B" w:rsidRDefault="00694A20" w:rsidP="00694A20">
      <w:pPr>
        <w:tabs>
          <w:tab w:val="left" w:pos="851"/>
        </w:tabs>
        <w:spacing w:before="240" w:after="0" w:line="280" w:lineRule="atLeast"/>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Variabilní odměna a/nebo výplata odloženého nebo nevyplaceného bonusu za předchozí hodnocené období je možná po skončení pracovněprávního vztahu ve společnosti:</w:t>
      </w:r>
    </w:p>
    <w:p w14:paraId="00BDAAE2" w14:textId="77777777" w:rsidR="00694A20" w:rsidRPr="0055589B" w:rsidRDefault="00694A20" w:rsidP="00694A20">
      <w:pPr>
        <w:tabs>
          <w:tab w:val="left" w:pos="851"/>
        </w:tabs>
        <w:spacing w:before="240" w:after="0" w:line="280" w:lineRule="atLeast"/>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1) Zaměstnanců, kteří z pracovního poměru odcházejí do starobního důchodu;</w:t>
      </w:r>
    </w:p>
    <w:p w14:paraId="07514831" w14:textId="77777777" w:rsidR="00694A20" w:rsidRPr="0055589B" w:rsidRDefault="00694A20" w:rsidP="00694A20">
      <w:pPr>
        <w:tabs>
          <w:tab w:val="left" w:pos="851"/>
        </w:tabs>
        <w:spacing w:before="240" w:after="0" w:line="280" w:lineRule="atLeast"/>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2) Zaměstnanců, s nimiž pracovní poměr ukončil zaměstnavatel nebo u nichž byl pracovní poměr ukončen dohodou zaměstnance a zaměstnavatele.  </w:t>
      </w:r>
    </w:p>
    <w:p w14:paraId="65009C32" w14:textId="5EE51DD2" w:rsidR="00694A20" w:rsidRPr="0055589B" w:rsidRDefault="00694A20" w:rsidP="00694A20">
      <w:pPr>
        <w:tabs>
          <w:tab w:val="left" w:pos="851"/>
        </w:tabs>
        <w:spacing w:before="240" w:after="0" w:line="280" w:lineRule="atLeast"/>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Pokud pracovník s odloženou výplatou bonusu, který je považován za pracovníka odcházejícího v</w:t>
      </w:r>
      <w:r w:rsidR="008C55E9">
        <w:rPr>
          <w:rFonts w:ascii="Arial" w:hAnsi="Arial" w:cs="Arial"/>
          <w:color w:val="000000" w:themeColor="text1"/>
          <w:szCs w:val="24"/>
          <w:lang w:val="cs-CZ" w:eastAsia="de-AT"/>
        </w:rPr>
        <w:t> </w:t>
      </w:r>
      <w:r w:rsidRPr="0055589B">
        <w:rPr>
          <w:rFonts w:ascii="Arial" w:hAnsi="Arial" w:cs="Arial"/>
          <w:color w:val="000000" w:themeColor="text1"/>
          <w:szCs w:val="24"/>
          <w:lang w:val="cs-CZ" w:eastAsia="de-AT"/>
        </w:rPr>
        <w:t>dobré</w:t>
      </w:r>
      <w:r w:rsidR="008C55E9">
        <w:rPr>
          <w:rFonts w:ascii="Arial" w:hAnsi="Arial" w:cs="Arial"/>
          <w:color w:val="000000" w:themeColor="text1"/>
          <w:szCs w:val="24"/>
          <w:lang w:val="cs-CZ" w:eastAsia="de-AT"/>
        </w:rPr>
        <w:t xml:space="preserve"> víře</w:t>
      </w:r>
      <w:r w:rsidRPr="0055589B">
        <w:rPr>
          <w:rFonts w:ascii="Arial" w:hAnsi="Arial" w:cs="Arial"/>
          <w:color w:val="000000" w:themeColor="text1"/>
          <w:szCs w:val="24"/>
          <w:lang w:val="cs-CZ" w:eastAsia="de-AT"/>
        </w:rPr>
        <w:t xml:space="preserve">, pracoval v průběhu hodnoceného období a pracovní vztah </w:t>
      </w:r>
      <w:proofErr w:type="gramStart"/>
      <w:r w:rsidRPr="0055589B">
        <w:rPr>
          <w:rFonts w:ascii="Arial" w:hAnsi="Arial" w:cs="Arial"/>
          <w:color w:val="000000" w:themeColor="text1"/>
          <w:szCs w:val="24"/>
          <w:lang w:val="cs-CZ" w:eastAsia="de-AT"/>
        </w:rPr>
        <w:t>skončí</w:t>
      </w:r>
      <w:proofErr w:type="gramEnd"/>
      <w:r w:rsidRPr="0055589B">
        <w:rPr>
          <w:rFonts w:ascii="Arial" w:hAnsi="Arial" w:cs="Arial"/>
          <w:color w:val="000000" w:themeColor="text1"/>
          <w:szCs w:val="24"/>
          <w:lang w:val="cs-CZ" w:eastAsia="de-AT"/>
        </w:rPr>
        <w:t xml:space="preserve"> během tohoto hodnoceného období nebo po jeho skončení, ale před skončením doby odkladu a retenčního období, bude s ním zacházeno podle stejných zásad jako by jeho pracovněprávní vztah ke společnosti dále trval. Výplata se řídí příslušným systémem odměňování (např. divizní obchody, zaměstnanci nejvíce dotčení riziky). </w:t>
      </w:r>
    </w:p>
    <w:p w14:paraId="63751ADB" w14:textId="16B5FB0D" w:rsidR="00694A20" w:rsidRPr="0055589B" w:rsidRDefault="00694A20" w:rsidP="00694A20">
      <w:pPr>
        <w:tabs>
          <w:tab w:val="left" w:pos="851"/>
        </w:tabs>
        <w:spacing w:before="240" w:after="0" w:line="280" w:lineRule="atLeast"/>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Pokud pracovní poměr </w:t>
      </w:r>
      <w:proofErr w:type="gramStart"/>
      <w:r w:rsidRPr="0055589B">
        <w:rPr>
          <w:rFonts w:ascii="Arial" w:hAnsi="Arial" w:cs="Arial"/>
          <w:color w:val="000000" w:themeColor="text1"/>
          <w:szCs w:val="24"/>
          <w:lang w:val="cs-CZ" w:eastAsia="de-AT"/>
        </w:rPr>
        <w:t>skončí</w:t>
      </w:r>
      <w:proofErr w:type="gramEnd"/>
      <w:r w:rsidRPr="0055589B">
        <w:rPr>
          <w:rFonts w:ascii="Arial" w:hAnsi="Arial" w:cs="Arial"/>
          <w:color w:val="000000" w:themeColor="text1"/>
          <w:szCs w:val="24"/>
          <w:lang w:val="cs-CZ" w:eastAsia="de-AT"/>
        </w:rPr>
        <w:t xml:space="preserve"> během hodnoceného období, příslušný zaměstnanec </w:t>
      </w:r>
      <w:r w:rsidR="00E1155A">
        <w:rPr>
          <w:rFonts w:ascii="Arial" w:hAnsi="Arial" w:cs="Arial"/>
          <w:color w:val="000000" w:themeColor="text1"/>
          <w:szCs w:val="24"/>
          <w:lang w:val="cs-CZ" w:eastAsia="de-AT"/>
        </w:rPr>
        <w:t xml:space="preserve">může </w:t>
      </w:r>
      <w:r w:rsidRPr="0055589B">
        <w:rPr>
          <w:rFonts w:ascii="Arial" w:hAnsi="Arial" w:cs="Arial"/>
          <w:color w:val="000000" w:themeColor="text1"/>
          <w:szCs w:val="24"/>
          <w:lang w:val="cs-CZ" w:eastAsia="de-AT"/>
        </w:rPr>
        <w:t>obdrž</w:t>
      </w:r>
      <w:r w:rsidR="00E1155A">
        <w:rPr>
          <w:rFonts w:ascii="Arial" w:hAnsi="Arial" w:cs="Arial"/>
          <w:color w:val="000000" w:themeColor="text1"/>
          <w:szCs w:val="24"/>
          <w:lang w:val="cs-CZ" w:eastAsia="de-AT"/>
        </w:rPr>
        <w:t>et</w:t>
      </w:r>
      <w:r w:rsidRPr="0055589B">
        <w:rPr>
          <w:rFonts w:ascii="Arial" w:hAnsi="Arial" w:cs="Arial"/>
          <w:color w:val="000000" w:themeColor="text1"/>
          <w:szCs w:val="24"/>
          <w:lang w:val="cs-CZ" w:eastAsia="de-AT"/>
        </w:rPr>
        <w:t xml:space="preserve"> poměrnou část dané odměny. Tento odstavec však sám o sobě nezaručuje individuální práva zaměstnancům nejvíce dotčeným riziky nebo jiným pracovníkům s odloženou výplatou bonusů.</w:t>
      </w:r>
    </w:p>
    <w:p w14:paraId="54BA1B1D" w14:textId="0D8A31EF" w:rsidR="00ED1567" w:rsidRPr="0055589B" w:rsidRDefault="008C55E9" w:rsidP="00ED1567">
      <w:pPr>
        <w:tabs>
          <w:tab w:val="left" w:pos="851"/>
        </w:tabs>
        <w:spacing w:after="0" w:line="280" w:lineRule="atLeast"/>
        <w:jc w:val="both"/>
        <w:rPr>
          <w:rFonts w:ascii="Arial" w:hAnsi="Arial" w:cs="Arial"/>
          <w:color w:val="000000" w:themeColor="text1"/>
          <w:lang w:val="cs-CZ" w:eastAsia="de-AT"/>
        </w:rPr>
      </w:pPr>
      <w:r>
        <w:rPr>
          <w:rFonts w:ascii="Arial" w:hAnsi="Arial" w:cs="Arial"/>
          <w:color w:val="000000" w:themeColor="text1"/>
          <w:szCs w:val="24"/>
          <w:lang w:val="cs-CZ" w:eastAsia="de-AT"/>
        </w:rPr>
        <w:t xml:space="preserve"> </w:t>
      </w:r>
      <w:r w:rsidRPr="008C55E9">
        <w:rPr>
          <w:rFonts w:ascii="Arial" w:hAnsi="Arial" w:cs="Arial"/>
          <w:color w:val="000000" w:themeColor="text1"/>
          <w:szCs w:val="24"/>
          <w:lang w:val="cs-CZ" w:eastAsia="de-AT"/>
        </w:rPr>
        <w:t xml:space="preserve">V případě, kdy zaměstnanec bohužel zemře před vyplacením odloženého nebo zadrženého bonusu za předchozí výkonnostní období, se uplatní výše uvedená pravidla. Variabilní výplata </w:t>
      </w:r>
      <w:r w:rsidRPr="008C55E9">
        <w:rPr>
          <w:rFonts w:ascii="Arial" w:hAnsi="Arial" w:cs="Arial"/>
          <w:color w:val="000000" w:themeColor="text1"/>
          <w:szCs w:val="24"/>
          <w:lang w:val="cs-CZ" w:eastAsia="de-AT"/>
        </w:rPr>
        <w:lastRenderedPageBreak/>
        <w:t>částek, které jsou přiznány před úmrtím zaměstnance a nebyly dosud vyplaceny, mohou být vyplaceny závislým osobám zaměstnance nebo zahrnuty do jeho pozůstalosti, v souladu s vnitrostátními právními předpisy.</w:t>
      </w:r>
    </w:p>
    <w:p w14:paraId="433F5FAE" w14:textId="574E5E09" w:rsidR="00224561" w:rsidRPr="0055589B" w:rsidRDefault="00224561" w:rsidP="006033BF">
      <w:pPr>
        <w:pStyle w:val="Nadpis2"/>
        <w:rPr>
          <w:rFonts w:eastAsia="Times New Roman"/>
          <w:noProof/>
          <w:color w:val="000000" w:themeColor="text1"/>
          <w:lang w:val="cs-CZ"/>
        </w:rPr>
      </w:pPr>
      <w:bookmarkStart w:id="63" w:name="_Toc427853423"/>
      <w:bookmarkStart w:id="64" w:name="_Toc108689229"/>
      <w:r w:rsidRPr="0055589B">
        <w:rPr>
          <w:noProof/>
          <w:color w:val="000000" w:themeColor="text1"/>
          <w:lang w:val="cs-CZ"/>
        </w:rPr>
        <w:t xml:space="preserve">Obecná ustanovení </w:t>
      </w:r>
      <w:r w:rsidR="001577C5" w:rsidRPr="0055589B">
        <w:rPr>
          <w:noProof/>
          <w:color w:val="000000" w:themeColor="text1"/>
          <w:lang w:val="cs-CZ"/>
        </w:rPr>
        <w:t xml:space="preserve">pro </w:t>
      </w:r>
      <w:r w:rsidR="00077F58" w:rsidRPr="0055589B">
        <w:rPr>
          <w:noProof/>
          <w:color w:val="000000" w:themeColor="text1"/>
          <w:lang w:val="cs-CZ"/>
        </w:rPr>
        <w:t xml:space="preserve">zaměstnance, </w:t>
      </w:r>
      <w:r w:rsidR="00B435CB" w:rsidRPr="0055589B">
        <w:rPr>
          <w:noProof/>
          <w:color w:val="000000" w:themeColor="text1"/>
          <w:lang w:val="cs-CZ"/>
        </w:rPr>
        <w:t xml:space="preserve">jejichž pracovní poměr </w:t>
      </w:r>
      <w:bookmarkEnd w:id="63"/>
      <w:r w:rsidR="00694A20" w:rsidRPr="0055589B">
        <w:rPr>
          <w:noProof/>
          <w:color w:val="000000" w:themeColor="text1"/>
          <w:lang w:val="cs-CZ"/>
        </w:rPr>
        <w:t>neskončil v dobré víře</w:t>
      </w:r>
      <w:bookmarkEnd w:id="64"/>
    </w:p>
    <w:p w14:paraId="6DF77DDF" w14:textId="77777777" w:rsidR="00694A20" w:rsidRPr="0055589B" w:rsidRDefault="00694A20" w:rsidP="00694A20">
      <w:pPr>
        <w:tabs>
          <w:tab w:val="left" w:pos="851"/>
        </w:tabs>
        <w:spacing w:before="240" w:after="0" w:line="276" w:lineRule="auto"/>
        <w:contextualSpacing/>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Po skončení pracovního poměru u Společnosti se neexistuje povinnost poskytovat variabilní odměnu (předem ani v podobě odložené hotovostní či nehotovostní složky) zaměstnancům z následujících kategorií („zaměstnanci, kteří neodcházejí v dobrém“): </w:t>
      </w:r>
    </w:p>
    <w:p w14:paraId="4AA4CB26" w14:textId="77777777" w:rsidR="00694A20" w:rsidRPr="0055589B" w:rsidRDefault="00694A20" w:rsidP="00694A20">
      <w:pPr>
        <w:tabs>
          <w:tab w:val="left" w:pos="851"/>
        </w:tabs>
        <w:spacing w:before="240" w:after="0" w:line="276" w:lineRule="auto"/>
        <w:ind w:left="720"/>
        <w:contextualSpacing/>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 xml:space="preserve">1) zaměstnanci, kteří svůj pracovněprávní vztah ukončili jednostranně; </w:t>
      </w:r>
    </w:p>
    <w:p w14:paraId="2F124374" w14:textId="77777777" w:rsidR="00694A20" w:rsidRPr="0055589B" w:rsidRDefault="00694A20" w:rsidP="00694A20">
      <w:pPr>
        <w:tabs>
          <w:tab w:val="left" w:pos="851"/>
        </w:tabs>
        <w:spacing w:before="240" w:after="0" w:line="276" w:lineRule="auto"/>
        <w:ind w:left="720"/>
        <w:contextualSpacing/>
        <w:jc w:val="both"/>
        <w:rPr>
          <w:rFonts w:ascii="Arial" w:hAnsi="Arial" w:cs="Arial"/>
          <w:color w:val="000000" w:themeColor="text1"/>
          <w:szCs w:val="24"/>
          <w:lang w:val="cs-CZ" w:eastAsia="de-AT"/>
        </w:rPr>
      </w:pPr>
      <w:r w:rsidRPr="0055589B">
        <w:rPr>
          <w:rFonts w:ascii="Arial" w:hAnsi="Arial" w:cs="Arial"/>
          <w:color w:val="000000" w:themeColor="text1"/>
          <w:szCs w:val="24"/>
          <w:lang w:val="cs-CZ" w:eastAsia="de-AT"/>
        </w:rPr>
        <w:t>2) zaměstnanci, jejichž pracovní poměr byl ukončen z důvodu porušení povinností, stanoví-li platné právní předpisy možnost ukončení pracovního poměru z důvodu porušení povinnosti;</w:t>
      </w:r>
    </w:p>
    <w:p w14:paraId="7955A576" w14:textId="6AB27A07" w:rsidR="00694A20" w:rsidRPr="0055589B" w:rsidRDefault="00694A20" w:rsidP="00694A20">
      <w:pPr>
        <w:tabs>
          <w:tab w:val="left" w:pos="851"/>
        </w:tabs>
        <w:spacing w:before="240" w:after="0" w:line="276" w:lineRule="auto"/>
        <w:ind w:left="720"/>
        <w:contextualSpacing/>
        <w:jc w:val="both"/>
        <w:rPr>
          <w:rFonts w:ascii="Arial" w:eastAsia="Times New Roman" w:hAnsi="Arial" w:cs="Arial"/>
          <w:color w:val="000000" w:themeColor="text1"/>
          <w:lang w:val="cs-CZ" w:eastAsia="de-AT"/>
        </w:rPr>
      </w:pPr>
      <w:r w:rsidRPr="0055589B">
        <w:rPr>
          <w:rFonts w:ascii="Arial" w:hAnsi="Arial" w:cs="Arial"/>
          <w:color w:val="000000" w:themeColor="text1"/>
          <w:szCs w:val="24"/>
          <w:lang w:val="cs-CZ" w:eastAsia="de-AT"/>
        </w:rPr>
        <w:t>3) zaměstnanci, jejichž pracovní poměr byl ukončen bez výpovědní lhůty, pokud platné právní předpisy takové ukončení stanoví.</w:t>
      </w:r>
    </w:p>
    <w:p w14:paraId="63653328" w14:textId="06A4C5E0" w:rsidR="00224561" w:rsidRPr="0055589B" w:rsidRDefault="00224561" w:rsidP="007F006A">
      <w:pPr>
        <w:spacing w:after="120" w:line="288" w:lineRule="auto"/>
        <w:jc w:val="both"/>
        <w:rPr>
          <w:rFonts w:ascii="Arial" w:eastAsia="Times New Roman" w:hAnsi="Arial" w:cs="Arial"/>
          <w:color w:val="000000" w:themeColor="text1"/>
          <w:szCs w:val="24"/>
          <w:lang w:val="cs-CZ" w:eastAsia="de-AT"/>
        </w:rPr>
      </w:pPr>
    </w:p>
    <w:p w14:paraId="5E773747" w14:textId="77777777" w:rsidR="00694A20" w:rsidRPr="0055589B" w:rsidRDefault="00694A20" w:rsidP="007F006A">
      <w:pPr>
        <w:spacing w:after="120" w:line="288" w:lineRule="auto"/>
        <w:jc w:val="both"/>
        <w:rPr>
          <w:rFonts w:ascii="Arial" w:eastAsia="Times New Roman" w:hAnsi="Arial" w:cs="Arial"/>
          <w:color w:val="000000" w:themeColor="text1"/>
          <w:szCs w:val="24"/>
          <w:lang w:val="cs-CZ" w:eastAsia="de-AT"/>
        </w:rPr>
      </w:pPr>
    </w:p>
    <w:p w14:paraId="281A48E5" w14:textId="77777777" w:rsidR="00694A20" w:rsidRPr="0055589B" w:rsidRDefault="00694A20" w:rsidP="00694A20">
      <w:pPr>
        <w:pStyle w:val="Nadpis1"/>
        <w:numPr>
          <w:ilvl w:val="0"/>
          <w:numId w:val="0"/>
        </w:numPr>
        <w:ind w:left="432" w:hanging="432"/>
        <w:rPr>
          <w:color w:val="000000" w:themeColor="text1"/>
          <w:lang w:val="cs-CZ"/>
        </w:rPr>
      </w:pPr>
      <w:bookmarkStart w:id="65" w:name="_Toc108689230"/>
      <w:r w:rsidRPr="0055589B">
        <w:rPr>
          <w:color w:val="000000" w:themeColor="text1"/>
          <w:lang w:val="cs-CZ"/>
        </w:rPr>
        <w:t>Příloha č. 1 Pravidla pro přípravu materiálů a body k diskusi předkládané Komisi pro odměňování</w:t>
      </w:r>
      <w:bookmarkEnd w:id="65"/>
      <w:r w:rsidRPr="0055589B">
        <w:rPr>
          <w:color w:val="000000" w:themeColor="text1"/>
          <w:lang w:val="cs-CZ"/>
        </w:rPr>
        <w:t xml:space="preserve"> </w:t>
      </w:r>
    </w:p>
    <w:p w14:paraId="136B459F" w14:textId="77777777" w:rsidR="00694A20" w:rsidRPr="0055589B" w:rsidRDefault="00694A20" w:rsidP="00694A20">
      <w:pPr>
        <w:pStyle w:val="Default"/>
        <w:rPr>
          <w:color w:val="000000" w:themeColor="text1"/>
          <w:sz w:val="28"/>
          <w:szCs w:val="28"/>
        </w:rPr>
      </w:pPr>
    </w:p>
    <w:p w14:paraId="155AA2BB" w14:textId="77777777" w:rsidR="00694A20" w:rsidRPr="0055589B" w:rsidRDefault="00694A20" w:rsidP="00694A20">
      <w:pPr>
        <w:pStyle w:val="Default"/>
        <w:rPr>
          <w:color w:val="000000" w:themeColor="text1"/>
          <w:sz w:val="22"/>
          <w:szCs w:val="22"/>
        </w:rPr>
      </w:pPr>
      <w:r w:rsidRPr="0055589B">
        <w:rPr>
          <w:b/>
          <w:bCs/>
          <w:color w:val="000000" w:themeColor="text1"/>
          <w:sz w:val="22"/>
          <w:szCs w:val="22"/>
        </w:rPr>
        <w:t xml:space="preserve">Přehled záležitostí souvisejících s odměňováním </w:t>
      </w:r>
    </w:p>
    <w:p w14:paraId="51219BBA" w14:textId="77777777" w:rsidR="00694A20" w:rsidRPr="0055589B" w:rsidRDefault="00694A20" w:rsidP="00694A20">
      <w:pPr>
        <w:rPr>
          <w:rFonts w:ascii="Arial" w:hAnsi="Arial" w:cs="Arial"/>
          <w:color w:val="000000" w:themeColor="text1"/>
          <w:lang w:val="cs-CZ"/>
        </w:rPr>
      </w:pPr>
      <w:r w:rsidRPr="0055589B">
        <w:rPr>
          <w:rFonts w:ascii="Arial" w:hAnsi="Arial" w:cs="Arial"/>
          <w:color w:val="000000" w:themeColor="text1"/>
          <w:lang w:val="cs-CZ"/>
        </w:rPr>
        <w:t xml:space="preserve">V následující tabulce je uveden informativní přehled témat, která </w:t>
      </w:r>
      <w:proofErr w:type="gramStart"/>
      <w:r w:rsidRPr="0055589B">
        <w:rPr>
          <w:rFonts w:ascii="Arial" w:hAnsi="Arial" w:cs="Arial"/>
          <w:color w:val="000000" w:themeColor="text1"/>
          <w:lang w:val="cs-CZ"/>
        </w:rPr>
        <w:t>řeší</w:t>
      </w:r>
      <w:proofErr w:type="gramEnd"/>
      <w:r w:rsidRPr="0055589B">
        <w:rPr>
          <w:rFonts w:ascii="Arial" w:hAnsi="Arial" w:cs="Arial"/>
          <w:color w:val="000000" w:themeColor="text1"/>
          <w:lang w:val="cs-CZ"/>
        </w:rPr>
        <w:t xml:space="preserve"> Komise pro odměňování jednotlivých subjektů:</w:t>
      </w:r>
    </w:p>
    <w:tbl>
      <w:tblPr>
        <w:tblW w:w="9747" w:type="dxa"/>
        <w:tblInd w:w="-113" w:type="dxa"/>
        <w:tblBorders>
          <w:top w:val="nil"/>
          <w:left w:val="nil"/>
          <w:bottom w:val="nil"/>
          <w:right w:val="nil"/>
        </w:tblBorders>
        <w:tblLayout w:type="fixed"/>
        <w:tblLook w:val="0000" w:firstRow="0" w:lastRow="0" w:firstColumn="0" w:lastColumn="0" w:noHBand="0" w:noVBand="0"/>
      </w:tblPr>
      <w:tblGrid>
        <w:gridCol w:w="1809"/>
        <w:gridCol w:w="4678"/>
        <w:gridCol w:w="3260"/>
      </w:tblGrid>
      <w:tr w:rsidR="0055589B" w:rsidRPr="0055589B" w14:paraId="713272B2" w14:textId="77777777" w:rsidTr="00694A20">
        <w:trPr>
          <w:trHeight w:val="262"/>
        </w:trPr>
        <w:tc>
          <w:tcPr>
            <w:tcW w:w="1809" w:type="dxa"/>
            <w:tcBorders>
              <w:top w:val="single" w:sz="4" w:space="0" w:color="auto"/>
              <w:left w:val="single" w:sz="4" w:space="0" w:color="auto"/>
              <w:bottom w:val="single" w:sz="4" w:space="0" w:color="auto"/>
              <w:right w:val="single" w:sz="4" w:space="0" w:color="auto"/>
            </w:tcBorders>
          </w:tcPr>
          <w:p w14:paraId="386A4861" w14:textId="77777777" w:rsidR="00694A20" w:rsidRPr="0055589B" w:rsidRDefault="00694A20" w:rsidP="006033BF">
            <w:pPr>
              <w:pStyle w:val="Default"/>
              <w:rPr>
                <w:color w:val="000000" w:themeColor="text1"/>
                <w:sz w:val="18"/>
                <w:szCs w:val="18"/>
              </w:rPr>
            </w:pPr>
          </w:p>
        </w:tc>
        <w:tc>
          <w:tcPr>
            <w:tcW w:w="4678" w:type="dxa"/>
            <w:tcBorders>
              <w:top w:val="single" w:sz="4" w:space="0" w:color="auto"/>
              <w:left w:val="single" w:sz="4" w:space="0" w:color="auto"/>
              <w:bottom w:val="single" w:sz="4" w:space="0" w:color="auto"/>
              <w:right w:val="single" w:sz="4" w:space="0" w:color="auto"/>
            </w:tcBorders>
          </w:tcPr>
          <w:p w14:paraId="60678BD3" w14:textId="77777777" w:rsidR="00694A20" w:rsidRPr="0055589B" w:rsidRDefault="00694A20" w:rsidP="006033BF">
            <w:pPr>
              <w:pStyle w:val="Default"/>
              <w:rPr>
                <w:color w:val="000000" w:themeColor="text1"/>
                <w:sz w:val="18"/>
                <w:szCs w:val="18"/>
              </w:rPr>
            </w:pPr>
            <w:r w:rsidRPr="0055589B">
              <w:rPr>
                <w:b/>
                <w:bCs/>
                <w:color w:val="000000" w:themeColor="text1"/>
                <w:sz w:val="18"/>
                <w:szCs w:val="18"/>
              </w:rPr>
              <w:t xml:space="preserve">Hlavní povinnosti Komise pro odměňování </w:t>
            </w:r>
          </w:p>
        </w:tc>
        <w:tc>
          <w:tcPr>
            <w:tcW w:w="3260" w:type="dxa"/>
            <w:tcBorders>
              <w:top w:val="single" w:sz="4" w:space="0" w:color="auto"/>
              <w:left w:val="single" w:sz="4" w:space="0" w:color="auto"/>
              <w:bottom w:val="single" w:sz="4" w:space="0" w:color="auto"/>
              <w:right w:val="single" w:sz="4" w:space="0" w:color="auto"/>
            </w:tcBorders>
          </w:tcPr>
          <w:p w14:paraId="7F6C1A1B" w14:textId="77777777" w:rsidR="00694A20" w:rsidRPr="0055589B" w:rsidRDefault="00694A20" w:rsidP="006033BF">
            <w:pPr>
              <w:pStyle w:val="Default"/>
              <w:rPr>
                <w:color w:val="000000" w:themeColor="text1"/>
                <w:sz w:val="18"/>
                <w:szCs w:val="18"/>
              </w:rPr>
            </w:pPr>
            <w:r w:rsidRPr="0055589B">
              <w:rPr>
                <w:b/>
                <w:bCs/>
                <w:color w:val="000000" w:themeColor="text1"/>
                <w:sz w:val="18"/>
                <w:szCs w:val="18"/>
              </w:rPr>
              <w:t xml:space="preserve">Kroky, které musí Komise pro odměňování provést  </w:t>
            </w:r>
          </w:p>
        </w:tc>
      </w:tr>
      <w:tr w:rsidR="0055589B" w:rsidRPr="0055589B" w14:paraId="6A87C551" w14:textId="77777777" w:rsidTr="00694A20">
        <w:trPr>
          <w:trHeight w:val="262"/>
        </w:trPr>
        <w:tc>
          <w:tcPr>
            <w:tcW w:w="1809" w:type="dxa"/>
            <w:tcBorders>
              <w:top w:val="single" w:sz="4" w:space="0" w:color="auto"/>
              <w:left w:val="single" w:sz="4" w:space="0" w:color="auto"/>
              <w:bottom w:val="single" w:sz="4" w:space="0" w:color="auto"/>
              <w:right w:val="single" w:sz="4" w:space="0" w:color="auto"/>
            </w:tcBorders>
          </w:tcPr>
          <w:p w14:paraId="3766FE4A"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1) </w:t>
            </w:r>
          </w:p>
        </w:tc>
        <w:tc>
          <w:tcPr>
            <w:tcW w:w="4678" w:type="dxa"/>
            <w:tcBorders>
              <w:top w:val="single" w:sz="4" w:space="0" w:color="auto"/>
              <w:left w:val="single" w:sz="4" w:space="0" w:color="auto"/>
              <w:bottom w:val="single" w:sz="4" w:space="0" w:color="auto"/>
              <w:right w:val="single" w:sz="4" w:space="0" w:color="auto"/>
            </w:tcBorders>
          </w:tcPr>
          <w:p w14:paraId="05363ED1"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Stanovení strategie odměňování pro vrcholové výkonné pracovníky, zaměstnance nejvíce dotčené riziky a ředitele kontrolních funkcí </w:t>
            </w:r>
          </w:p>
        </w:tc>
        <w:tc>
          <w:tcPr>
            <w:tcW w:w="3260" w:type="dxa"/>
            <w:tcBorders>
              <w:top w:val="single" w:sz="4" w:space="0" w:color="auto"/>
              <w:left w:val="single" w:sz="4" w:space="0" w:color="auto"/>
              <w:bottom w:val="single" w:sz="4" w:space="0" w:color="auto"/>
              <w:right w:val="single" w:sz="4" w:space="0" w:color="auto"/>
            </w:tcBorders>
          </w:tcPr>
          <w:p w14:paraId="0D149AEA" w14:textId="77777777" w:rsidR="00694A20" w:rsidRPr="0055589B" w:rsidRDefault="00694A20" w:rsidP="006033BF">
            <w:pPr>
              <w:pStyle w:val="Default"/>
              <w:rPr>
                <w:color w:val="000000" w:themeColor="text1"/>
                <w:sz w:val="18"/>
                <w:szCs w:val="18"/>
              </w:rPr>
            </w:pPr>
            <w:r w:rsidRPr="0055589B">
              <w:rPr>
                <w:color w:val="000000" w:themeColor="text1"/>
                <w:sz w:val="18"/>
                <w:szCs w:val="18"/>
              </w:rPr>
              <w:t>Souhlas</w:t>
            </w:r>
          </w:p>
        </w:tc>
      </w:tr>
      <w:tr w:rsidR="0055589B" w:rsidRPr="0055589B" w14:paraId="0175A0DE" w14:textId="77777777" w:rsidTr="00694A20">
        <w:trPr>
          <w:trHeight w:val="371"/>
        </w:trPr>
        <w:tc>
          <w:tcPr>
            <w:tcW w:w="1809" w:type="dxa"/>
            <w:tcBorders>
              <w:top w:val="single" w:sz="4" w:space="0" w:color="auto"/>
              <w:left w:val="single" w:sz="4" w:space="0" w:color="auto"/>
              <w:bottom w:val="single" w:sz="4" w:space="0" w:color="auto"/>
              <w:right w:val="single" w:sz="4" w:space="0" w:color="auto"/>
            </w:tcBorders>
          </w:tcPr>
          <w:p w14:paraId="75A9AB1C"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2) </w:t>
            </w:r>
          </w:p>
        </w:tc>
        <w:tc>
          <w:tcPr>
            <w:tcW w:w="4678" w:type="dxa"/>
            <w:tcBorders>
              <w:top w:val="single" w:sz="4" w:space="0" w:color="auto"/>
              <w:left w:val="single" w:sz="4" w:space="0" w:color="auto"/>
              <w:bottom w:val="single" w:sz="4" w:space="0" w:color="auto"/>
              <w:right w:val="single" w:sz="4" w:space="0" w:color="auto"/>
            </w:tcBorders>
          </w:tcPr>
          <w:p w14:paraId="09164697"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Schvalování modelu odměňování a postupů odměňování pro všechny zaměstnance (např. limity pro výplatu bonusů, typ instrumentu napojeného na akcie, poměr mezi pevnou a variabilní složkou odměny)  </w:t>
            </w:r>
          </w:p>
        </w:tc>
        <w:tc>
          <w:tcPr>
            <w:tcW w:w="3260" w:type="dxa"/>
            <w:tcBorders>
              <w:top w:val="single" w:sz="4" w:space="0" w:color="auto"/>
              <w:left w:val="single" w:sz="4" w:space="0" w:color="auto"/>
              <w:bottom w:val="single" w:sz="4" w:space="0" w:color="auto"/>
              <w:right w:val="single" w:sz="4" w:space="0" w:color="auto"/>
            </w:tcBorders>
          </w:tcPr>
          <w:p w14:paraId="369EB43F" w14:textId="77777777" w:rsidR="00694A20" w:rsidRPr="0055589B" w:rsidRDefault="00694A20" w:rsidP="006033BF">
            <w:pPr>
              <w:pStyle w:val="Default"/>
              <w:rPr>
                <w:color w:val="000000" w:themeColor="text1"/>
                <w:sz w:val="18"/>
                <w:szCs w:val="18"/>
              </w:rPr>
            </w:pPr>
            <w:r w:rsidRPr="0055589B">
              <w:rPr>
                <w:color w:val="000000" w:themeColor="text1"/>
                <w:sz w:val="18"/>
                <w:szCs w:val="18"/>
              </w:rPr>
              <w:t>Souhlas</w:t>
            </w:r>
          </w:p>
        </w:tc>
      </w:tr>
      <w:tr w:rsidR="0055589B" w:rsidRPr="0055589B" w14:paraId="06726370" w14:textId="77777777" w:rsidTr="00694A20">
        <w:trPr>
          <w:trHeight w:val="173"/>
        </w:trPr>
        <w:tc>
          <w:tcPr>
            <w:tcW w:w="1809" w:type="dxa"/>
            <w:tcBorders>
              <w:top w:val="single" w:sz="4" w:space="0" w:color="auto"/>
              <w:left w:val="single" w:sz="4" w:space="0" w:color="auto"/>
              <w:bottom w:val="single" w:sz="4" w:space="0" w:color="auto"/>
              <w:right w:val="single" w:sz="4" w:space="0" w:color="auto"/>
            </w:tcBorders>
          </w:tcPr>
          <w:p w14:paraId="18A91F2C"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3) </w:t>
            </w:r>
          </w:p>
        </w:tc>
        <w:tc>
          <w:tcPr>
            <w:tcW w:w="4678" w:type="dxa"/>
            <w:tcBorders>
              <w:top w:val="single" w:sz="4" w:space="0" w:color="auto"/>
              <w:left w:val="single" w:sz="4" w:space="0" w:color="auto"/>
              <w:bottom w:val="single" w:sz="4" w:space="0" w:color="auto"/>
              <w:right w:val="single" w:sz="4" w:space="0" w:color="auto"/>
            </w:tcBorders>
          </w:tcPr>
          <w:p w14:paraId="2B1D8925" w14:textId="5CF7FF6E" w:rsidR="00694A20" w:rsidRPr="0055589B" w:rsidRDefault="00694A20" w:rsidP="00ED1567">
            <w:pPr>
              <w:pStyle w:val="Default"/>
              <w:rPr>
                <w:color w:val="000000" w:themeColor="text1"/>
                <w:sz w:val="18"/>
                <w:szCs w:val="18"/>
              </w:rPr>
            </w:pPr>
            <w:r w:rsidRPr="0055589B">
              <w:rPr>
                <w:color w:val="000000" w:themeColor="text1"/>
                <w:sz w:val="18"/>
                <w:szCs w:val="18"/>
              </w:rPr>
              <w:t>Schvalování smě</w:t>
            </w:r>
            <w:r w:rsidR="00ED1567" w:rsidRPr="0055589B">
              <w:rPr>
                <w:color w:val="000000" w:themeColor="text1"/>
                <w:sz w:val="18"/>
                <w:szCs w:val="18"/>
              </w:rPr>
              <w:t>rnic a podmínek souvisejících s bonusovými prostředky</w:t>
            </w:r>
            <w:r w:rsidRPr="0055589B">
              <w:rPr>
                <w:color w:val="000000" w:themeColor="text1"/>
                <w:sz w:val="18"/>
                <w:szCs w:val="18"/>
              </w:rPr>
              <w:t xml:space="preserve">  </w:t>
            </w:r>
          </w:p>
        </w:tc>
        <w:tc>
          <w:tcPr>
            <w:tcW w:w="3260" w:type="dxa"/>
            <w:tcBorders>
              <w:top w:val="single" w:sz="4" w:space="0" w:color="auto"/>
              <w:left w:val="single" w:sz="4" w:space="0" w:color="auto"/>
              <w:bottom w:val="single" w:sz="4" w:space="0" w:color="auto"/>
              <w:right w:val="single" w:sz="4" w:space="0" w:color="auto"/>
            </w:tcBorders>
          </w:tcPr>
          <w:p w14:paraId="27230B39" w14:textId="77777777" w:rsidR="00694A20" w:rsidRPr="0055589B" w:rsidRDefault="00694A20" w:rsidP="006033BF">
            <w:pPr>
              <w:pStyle w:val="Default"/>
              <w:rPr>
                <w:color w:val="000000" w:themeColor="text1"/>
                <w:sz w:val="18"/>
                <w:szCs w:val="18"/>
              </w:rPr>
            </w:pPr>
            <w:r w:rsidRPr="0055589B">
              <w:rPr>
                <w:color w:val="000000" w:themeColor="text1"/>
                <w:sz w:val="18"/>
                <w:szCs w:val="18"/>
              </w:rPr>
              <w:t>Souhlas</w:t>
            </w:r>
          </w:p>
        </w:tc>
      </w:tr>
      <w:tr w:rsidR="0055589B" w:rsidRPr="0055589B" w14:paraId="375514E1" w14:textId="77777777" w:rsidTr="00694A20">
        <w:trPr>
          <w:trHeight w:val="246"/>
        </w:trPr>
        <w:tc>
          <w:tcPr>
            <w:tcW w:w="1809" w:type="dxa"/>
            <w:tcBorders>
              <w:top w:val="single" w:sz="4" w:space="0" w:color="auto"/>
              <w:left w:val="single" w:sz="4" w:space="0" w:color="auto"/>
              <w:bottom w:val="single" w:sz="4" w:space="0" w:color="auto"/>
              <w:right w:val="single" w:sz="4" w:space="0" w:color="auto"/>
            </w:tcBorders>
          </w:tcPr>
          <w:p w14:paraId="6D5D73B9"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4) </w:t>
            </w:r>
          </w:p>
        </w:tc>
        <w:tc>
          <w:tcPr>
            <w:tcW w:w="4678" w:type="dxa"/>
            <w:tcBorders>
              <w:top w:val="single" w:sz="4" w:space="0" w:color="auto"/>
              <w:left w:val="single" w:sz="4" w:space="0" w:color="auto"/>
              <w:bottom w:val="single" w:sz="4" w:space="0" w:color="auto"/>
              <w:right w:val="single" w:sz="4" w:space="0" w:color="auto"/>
            </w:tcBorders>
          </w:tcPr>
          <w:p w14:paraId="352D72F6"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Schvalování minimálních výkonnostních požadavků instituce k výplatě ročního bonusu a odložených plateb </w:t>
            </w:r>
          </w:p>
        </w:tc>
        <w:tc>
          <w:tcPr>
            <w:tcW w:w="3260" w:type="dxa"/>
            <w:tcBorders>
              <w:top w:val="single" w:sz="4" w:space="0" w:color="auto"/>
              <w:left w:val="single" w:sz="4" w:space="0" w:color="auto"/>
              <w:bottom w:val="single" w:sz="4" w:space="0" w:color="auto"/>
              <w:right w:val="single" w:sz="4" w:space="0" w:color="auto"/>
            </w:tcBorders>
          </w:tcPr>
          <w:p w14:paraId="2BA01512" w14:textId="77777777" w:rsidR="00694A20" w:rsidRPr="0055589B" w:rsidRDefault="00694A20" w:rsidP="006033BF">
            <w:pPr>
              <w:pStyle w:val="Default"/>
              <w:rPr>
                <w:color w:val="000000" w:themeColor="text1"/>
                <w:sz w:val="18"/>
                <w:szCs w:val="18"/>
              </w:rPr>
            </w:pPr>
            <w:r w:rsidRPr="0055589B">
              <w:rPr>
                <w:color w:val="000000" w:themeColor="text1"/>
                <w:sz w:val="18"/>
                <w:szCs w:val="18"/>
              </w:rPr>
              <w:t>Souhlas</w:t>
            </w:r>
          </w:p>
        </w:tc>
      </w:tr>
      <w:tr w:rsidR="0055589B" w:rsidRPr="0055589B" w14:paraId="0F4D483B" w14:textId="77777777" w:rsidTr="00694A20">
        <w:trPr>
          <w:trHeight w:val="246"/>
        </w:trPr>
        <w:tc>
          <w:tcPr>
            <w:tcW w:w="1809" w:type="dxa"/>
            <w:tcBorders>
              <w:top w:val="single" w:sz="4" w:space="0" w:color="auto"/>
              <w:left w:val="single" w:sz="4" w:space="0" w:color="auto"/>
              <w:bottom w:val="single" w:sz="4" w:space="0" w:color="auto"/>
              <w:right w:val="single" w:sz="4" w:space="0" w:color="auto"/>
            </w:tcBorders>
          </w:tcPr>
          <w:p w14:paraId="560EBE33" w14:textId="77777777" w:rsidR="00694A20" w:rsidRPr="0055589B" w:rsidRDefault="00694A20" w:rsidP="006033BF">
            <w:pPr>
              <w:pStyle w:val="Default"/>
              <w:rPr>
                <w:color w:val="000000" w:themeColor="text1"/>
                <w:sz w:val="18"/>
                <w:szCs w:val="18"/>
              </w:rPr>
            </w:pPr>
            <w:r w:rsidRPr="0055589B">
              <w:rPr>
                <w:color w:val="000000" w:themeColor="text1"/>
                <w:sz w:val="18"/>
                <w:szCs w:val="18"/>
              </w:rPr>
              <w:t>5)</w:t>
            </w:r>
          </w:p>
        </w:tc>
        <w:tc>
          <w:tcPr>
            <w:tcW w:w="4678" w:type="dxa"/>
            <w:tcBorders>
              <w:top w:val="single" w:sz="4" w:space="0" w:color="auto"/>
              <w:left w:val="single" w:sz="4" w:space="0" w:color="auto"/>
              <w:bottom w:val="single" w:sz="4" w:space="0" w:color="auto"/>
              <w:right w:val="single" w:sz="4" w:space="0" w:color="auto"/>
            </w:tcBorders>
          </w:tcPr>
          <w:p w14:paraId="0EA388CA"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Nastavení a hodnocení výkonnostních cílů (KPI) členů představenstva na příslušné hodnocené období  </w:t>
            </w:r>
          </w:p>
        </w:tc>
        <w:tc>
          <w:tcPr>
            <w:tcW w:w="3260" w:type="dxa"/>
            <w:tcBorders>
              <w:top w:val="single" w:sz="4" w:space="0" w:color="auto"/>
              <w:left w:val="single" w:sz="4" w:space="0" w:color="auto"/>
              <w:bottom w:val="single" w:sz="4" w:space="0" w:color="auto"/>
              <w:right w:val="single" w:sz="4" w:space="0" w:color="auto"/>
            </w:tcBorders>
          </w:tcPr>
          <w:p w14:paraId="32C37431" w14:textId="77777777" w:rsidR="00694A20" w:rsidRPr="0055589B" w:rsidRDefault="00694A20" w:rsidP="006033BF">
            <w:pPr>
              <w:pStyle w:val="Default"/>
              <w:rPr>
                <w:color w:val="000000" w:themeColor="text1"/>
                <w:sz w:val="18"/>
                <w:szCs w:val="18"/>
              </w:rPr>
            </w:pPr>
            <w:r w:rsidRPr="0055589B">
              <w:rPr>
                <w:color w:val="000000" w:themeColor="text1"/>
                <w:sz w:val="18"/>
                <w:szCs w:val="18"/>
              </w:rPr>
              <w:t>Souhlas</w:t>
            </w:r>
          </w:p>
        </w:tc>
      </w:tr>
      <w:tr w:rsidR="0055589B" w:rsidRPr="0055589B" w14:paraId="7FF59E9C" w14:textId="77777777" w:rsidTr="00694A20">
        <w:trPr>
          <w:trHeight w:val="371"/>
        </w:trPr>
        <w:tc>
          <w:tcPr>
            <w:tcW w:w="1809" w:type="dxa"/>
            <w:tcBorders>
              <w:top w:val="single" w:sz="4" w:space="0" w:color="auto"/>
              <w:left w:val="single" w:sz="4" w:space="0" w:color="auto"/>
              <w:bottom w:val="single" w:sz="4" w:space="0" w:color="auto"/>
              <w:right w:val="single" w:sz="4" w:space="0" w:color="auto"/>
            </w:tcBorders>
          </w:tcPr>
          <w:p w14:paraId="22D8BD67"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6) </w:t>
            </w:r>
          </w:p>
        </w:tc>
        <w:tc>
          <w:tcPr>
            <w:tcW w:w="4678" w:type="dxa"/>
            <w:tcBorders>
              <w:top w:val="single" w:sz="4" w:space="0" w:color="auto"/>
              <w:left w:val="single" w:sz="4" w:space="0" w:color="auto"/>
              <w:bottom w:val="single" w:sz="4" w:space="0" w:color="auto"/>
              <w:right w:val="single" w:sz="4" w:space="0" w:color="auto"/>
            </w:tcBorders>
          </w:tcPr>
          <w:p w14:paraId="6FE6D435" w14:textId="22E9B368" w:rsidR="00694A20" w:rsidRPr="0055589B" w:rsidRDefault="00694A20" w:rsidP="006033BF">
            <w:pPr>
              <w:pStyle w:val="Default"/>
              <w:rPr>
                <w:color w:val="000000" w:themeColor="text1"/>
                <w:sz w:val="18"/>
                <w:szCs w:val="18"/>
              </w:rPr>
            </w:pPr>
            <w:r w:rsidRPr="0055589B">
              <w:rPr>
                <w:color w:val="000000" w:themeColor="text1"/>
                <w:sz w:val="18"/>
                <w:szCs w:val="18"/>
              </w:rPr>
              <w:t>Dohled nad odměnami vyplácenými zaměstnancům nejvíce dotčeným riziky a</w:t>
            </w:r>
            <w:r w:rsidR="00ED1567" w:rsidRPr="0055589B">
              <w:rPr>
                <w:color w:val="000000" w:themeColor="text1"/>
                <w:sz w:val="18"/>
                <w:szCs w:val="18"/>
              </w:rPr>
              <w:t xml:space="preserve"> ředitelům kontrolních funkcí</w:t>
            </w:r>
            <w:r w:rsidRPr="0055589B">
              <w:rPr>
                <w:color w:val="000000" w:themeColor="text1"/>
                <w:sz w:val="12"/>
                <w:szCs w:val="12"/>
              </w:rPr>
              <w:t xml:space="preserve"> </w:t>
            </w:r>
            <w:r w:rsidRPr="0055589B">
              <w:rPr>
                <w:color w:val="000000" w:themeColor="text1"/>
                <w:sz w:val="18"/>
                <w:szCs w:val="18"/>
              </w:rPr>
              <w:t xml:space="preserve">(včetně schvalování srážek a omezení výplat, je-li to relevantní) </w:t>
            </w:r>
          </w:p>
        </w:tc>
        <w:tc>
          <w:tcPr>
            <w:tcW w:w="3260" w:type="dxa"/>
            <w:tcBorders>
              <w:top w:val="single" w:sz="4" w:space="0" w:color="auto"/>
              <w:left w:val="single" w:sz="4" w:space="0" w:color="auto"/>
              <w:bottom w:val="single" w:sz="4" w:space="0" w:color="auto"/>
              <w:right w:val="single" w:sz="4" w:space="0" w:color="auto"/>
            </w:tcBorders>
          </w:tcPr>
          <w:p w14:paraId="0567F383" w14:textId="77777777" w:rsidR="00694A20" w:rsidRPr="0055589B" w:rsidRDefault="00694A20" w:rsidP="006033BF">
            <w:pPr>
              <w:pStyle w:val="Default"/>
              <w:rPr>
                <w:color w:val="000000" w:themeColor="text1"/>
                <w:sz w:val="18"/>
                <w:szCs w:val="18"/>
              </w:rPr>
            </w:pPr>
            <w:r w:rsidRPr="0055589B">
              <w:rPr>
                <w:color w:val="000000" w:themeColor="text1"/>
                <w:sz w:val="18"/>
                <w:szCs w:val="18"/>
              </w:rPr>
              <w:t>Souhlas</w:t>
            </w:r>
          </w:p>
        </w:tc>
      </w:tr>
      <w:tr w:rsidR="0055589B" w:rsidRPr="0055589B" w14:paraId="6DA02A1F" w14:textId="77777777" w:rsidTr="00694A20">
        <w:trPr>
          <w:trHeight w:val="247"/>
        </w:trPr>
        <w:tc>
          <w:tcPr>
            <w:tcW w:w="1809" w:type="dxa"/>
            <w:tcBorders>
              <w:top w:val="single" w:sz="4" w:space="0" w:color="auto"/>
              <w:left w:val="single" w:sz="4" w:space="0" w:color="auto"/>
              <w:bottom w:val="single" w:sz="4" w:space="0" w:color="auto"/>
              <w:right w:val="single" w:sz="4" w:space="0" w:color="auto"/>
            </w:tcBorders>
          </w:tcPr>
          <w:p w14:paraId="0CD2C574"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7) </w:t>
            </w:r>
          </w:p>
        </w:tc>
        <w:tc>
          <w:tcPr>
            <w:tcW w:w="4678" w:type="dxa"/>
            <w:tcBorders>
              <w:top w:val="single" w:sz="4" w:space="0" w:color="auto"/>
              <w:left w:val="single" w:sz="4" w:space="0" w:color="auto"/>
              <w:bottom w:val="single" w:sz="4" w:space="0" w:color="auto"/>
              <w:right w:val="single" w:sz="4" w:space="0" w:color="auto"/>
            </w:tcBorders>
          </w:tcPr>
          <w:p w14:paraId="0CEDB382"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Navrhování výše výkonnostního bonusu pro členy představenstva na příslušné hodnocené období </w:t>
            </w:r>
          </w:p>
        </w:tc>
        <w:tc>
          <w:tcPr>
            <w:tcW w:w="3260" w:type="dxa"/>
            <w:tcBorders>
              <w:top w:val="single" w:sz="4" w:space="0" w:color="auto"/>
              <w:left w:val="single" w:sz="4" w:space="0" w:color="auto"/>
              <w:bottom w:val="single" w:sz="4" w:space="0" w:color="auto"/>
              <w:right w:val="single" w:sz="4" w:space="0" w:color="auto"/>
            </w:tcBorders>
          </w:tcPr>
          <w:p w14:paraId="160C36D4" w14:textId="042CF0F1" w:rsidR="00694A20" w:rsidRPr="0055589B" w:rsidRDefault="00B71C50" w:rsidP="006033BF">
            <w:pPr>
              <w:pStyle w:val="Default"/>
              <w:rPr>
                <w:color w:val="000000" w:themeColor="text1"/>
                <w:sz w:val="18"/>
                <w:szCs w:val="18"/>
              </w:rPr>
            </w:pPr>
            <w:r>
              <w:rPr>
                <w:color w:val="000000" w:themeColor="text1"/>
                <w:sz w:val="18"/>
                <w:szCs w:val="18"/>
              </w:rPr>
              <w:t>Přezkum</w:t>
            </w:r>
            <w:r w:rsidR="00694A20" w:rsidRPr="0055589B">
              <w:rPr>
                <w:color w:val="000000" w:themeColor="text1"/>
                <w:sz w:val="18"/>
                <w:szCs w:val="18"/>
              </w:rPr>
              <w:t xml:space="preserve"> </w:t>
            </w:r>
          </w:p>
        </w:tc>
      </w:tr>
      <w:tr w:rsidR="0055589B" w:rsidRPr="0055589B" w14:paraId="306FC83E" w14:textId="77777777" w:rsidTr="00694A20">
        <w:trPr>
          <w:trHeight w:val="247"/>
        </w:trPr>
        <w:tc>
          <w:tcPr>
            <w:tcW w:w="1809" w:type="dxa"/>
            <w:tcBorders>
              <w:top w:val="single" w:sz="4" w:space="0" w:color="auto"/>
              <w:left w:val="single" w:sz="4" w:space="0" w:color="auto"/>
              <w:bottom w:val="single" w:sz="4" w:space="0" w:color="auto"/>
              <w:right w:val="single" w:sz="4" w:space="0" w:color="auto"/>
            </w:tcBorders>
          </w:tcPr>
          <w:p w14:paraId="347CCF90"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8) </w:t>
            </w:r>
          </w:p>
        </w:tc>
        <w:tc>
          <w:tcPr>
            <w:tcW w:w="4678" w:type="dxa"/>
            <w:tcBorders>
              <w:top w:val="single" w:sz="4" w:space="0" w:color="auto"/>
              <w:left w:val="single" w:sz="4" w:space="0" w:color="auto"/>
              <w:bottom w:val="single" w:sz="4" w:space="0" w:color="auto"/>
              <w:right w:val="single" w:sz="4" w:space="0" w:color="auto"/>
            </w:tcBorders>
          </w:tcPr>
          <w:p w14:paraId="33339B29"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Platby členům představenstva v případě předčasného ukončení výkonu jejich funkce  </w:t>
            </w:r>
          </w:p>
        </w:tc>
        <w:tc>
          <w:tcPr>
            <w:tcW w:w="3260" w:type="dxa"/>
            <w:tcBorders>
              <w:top w:val="single" w:sz="4" w:space="0" w:color="auto"/>
              <w:left w:val="single" w:sz="4" w:space="0" w:color="auto"/>
              <w:bottom w:val="single" w:sz="4" w:space="0" w:color="auto"/>
              <w:right w:val="single" w:sz="4" w:space="0" w:color="auto"/>
            </w:tcBorders>
          </w:tcPr>
          <w:p w14:paraId="5DD4312F"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Doporučení dozorčí radě </w:t>
            </w:r>
          </w:p>
        </w:tc>
      </w:tr>
      <w:tr w:rsidR="0055589B" w:rsidRPr="0055589B" w14:paraId="759468B2" w14:textId="77777777" w:rsidTr="00694A20">
        <w:trPr>
          <w:trHeight w:val="371"/>
        </w:trPr>
        <w:tc>
          <w:tcPr>
            <w:tcW w:w="1809" w:type="dxa"/>
            <w:tcBorders>
              <w:top w:val="single" w:sz="4" w:space="0" w:color="auto"/>
              <w:left w:val="single" w:sz="4" w:space="0" w:color="auto"/>
              <w:bottom w:val="single" w:sz="4" w:space="0" w:color="auto"/>
              <w:right w:val="single" w:sz="4" w:space="0" w:color="auto"/>
            </w:tcBorders>
          </w:tcPr>
          <w:p w14:paraId="4B61C924" w14:textId="77777777" w:rsidR="00694A20" w:rsidRPr="0055589B" w:rsidRDefault="00694A20" w:rsidP="006033BF">
            <w:pPr>
              <w:pStyle w:val="Default"/>
              <w:rPr>
                <w:color w:val="000000" w:themeColor="text1"/>
                <w:sz w:val="18"/>
                <w:szCs w:val="18"/>
              </w:rPr>
            </w:pPr>
            <w:r w:rsidRPr="0055589B">
              <w:rPr>
                <w:color w:val="000000" w:themeColor="text1"/>
                <w:sz w:val="18"/>
                <w:szCs w:val="18"/>
              </w:rPr>
              <w:lastRenderedPageBreak/>
              <w:t xml:space="preserve">9) </w:t>
            </w:r>
          </w:p>
        </w:tc>
        <w:tc>
          <w:tcPr>
            <w:tcW w:w="4678" w:type="dxa"/>
            <w:tcBorders>
              <w:top w:val="single" w:sz="4" w:space="0" w:color="auto"/>
              <w:left w:val="single" w:sz="4" w:space="0" w:color="auto"/>
              <w:bottom w:val="single" w:sz="4" w:space="0" w:color="auto"/>
              <w:right w:val="single" w:sz="4" w:space="0" w:color="auto"/>
            </w:tcBorders>
          </w:tcPr>
          <w:p w14:paraId="016E4306"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Schvalování seznamu zaměstnanců označovaných za zaměstnance nejvíce dotčené riziky, včetně schvalování případných následných významných výjimek pro jednotlivé pracovníky </w:t>
            </w:r>
          </w:p>
        </w:tc>
        <w:tc>
          <w:tcPr>
            <w:tcW w:w="3260" w:type="dxa"/>
            <w:tcBorders>
              <w:top w:val="single" w:sz="4" w:space="0" w:color="auto"/>
              <w:left w:val="single" w:sz="4" w:space="0" w:color="auto"/>
              <w:bottom w:val="single" w:sz="4" w:space="0" w:color="auto"/>
              <w:right w:val="single" w:sz="4" w:space="0" w:color="auto"/>
            </w:tcBorders>
          </w:tcPr>
          <w:p w14:paraId="7E0DE197" w14:textId="77777777" w:rsidR="00694A20" w:rsidRPr="0055589B" w:rsidRDefault="00694A20" w:rsidP="006033BF">
            <w:pPr>
              <w:pStyle w:val="Default"/>
              <w:rPr>
                <w:color w:val="000000" w:themeColor="text1"/>
                <w:sz w:val="18"/>
                <w:szCs w:val="18"/>
              </w:rPr>
            </w:pPr>
            <w:r w:rsidRPr="0055589B">
              <w:rPr>
                <w:color w:val="000000" w:themeColor="text1"/>
                <w:sz w:val="18"/>
                <w:szCs w:val="18"/>
              </w:rPr>
              <w:t>Souhlas</w:t>
            </w:r>
          </w:p>
        </w:tc>
      </w:tr>
      <w:tr w:rsidR="0055589B" w:rsidRPr="0055589B" w14:paraId="1C5F91AA" w14:textId="77777777" w:rsidTr="00694A20">
        <w:trPr>
          <w:trHeight w:val="172"/>
        </w:trPr>
        <w:tc>
          <w:tcPr>
            <w:tcW w:w="1809" w:type="dxa"/>
            <w:tcBorders>
              <w:top w:val="single" w:sz="4" w:space="0" w:color="auto"/>
              <w:left w:val="single" w:sz="4" w:space="0" w:color="auto"/>
              <w:bottom w:val="single" w:sz="4" w:space="0" w:color="auto"/>
              <w:right w:val="single" w:sz="4" w:space="0" w:color="auto"/>
            </w:tcBorders>
          </w:tcPr>
          <w:p w14:paraId="5981705F"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10) </w:t>
            </w:r>
          </w:p>
        </w:tc>
        <w:tc>
          <w:tcPr>
            <w:tcW w:w="4678" w:type="dxa"/>
            <w:tcBorders>
              <w:top w:val="single" w:sz="4" w:space="0" w:color="auto"/>
              <w:left w:val="single" w:sz="4" w:space="0" w:color="auto"/>
              <w:bottom w:val="single" w:sz="4" w:space="0" w:color="auto"/>
              <w:right w:val="single" w:sz="4" w:space="0" w:color="auto"/>
            </w:tcBorders>
          </w:tcPr>
          <w:p w14:paraId="55C0C227"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Schvalování všeobecných zásad politiky odměňování (pravidelné revize) </w:t>
            </w:r>
          </w:p>
        </w:tc>
        <w:tc>
          <w:tcPr>
            <w:tcW w:w="3260" w:type="dxa"/>
            <w:tcBorders>
              <w:top w:val="single" w:sz="4" w:space="0" w:color="auto"/>
              <w:left w:val="single" w:sz="4" w:space="0" w:color="auto"/>
              <w:bottom w:val="single" w:sz="4" w:space="0" w:color="auto"/>
              <w:right w:val="single" w:sz="4" w:space="0" w:color="auto"/>
            </w:tcBorders>
          </w:tcPr>
          <w:p w14:paraId="5EE5439C" w14:textId="77777777" w:rsidR="00694A20" w:rsidRPr="0055589B" w:rsidRDefault="00694A20" w:rsidP="006033BF">
            <w:pPr>
              <w:pStyle w:val="Default"/>
              <w:rPr>
                <w:color w:val="000000" w:themeColor="text1"/>
                <w:sz w:val="18"/>
                <w:szCs w:val="18"/>
              </w:rPr>
            </w:pPr>
            <w:r w:rsidRPr="0055589B">
              <w:rPr>
                <w:color w:val="000000" w:themeColor="text1"/>
                <w:sz w:val="18"/>
                <w:szCs w:val="18"/>
              </w:rPr>
              <w:t>Souhlas</w:t>
            </w:r>
          </w:p>
        </w:tc>
      </w:tr>
      <w:tr w:rsidR="0055589B" w:rsidRPr="0055589B" w14:paraId="05077E64" w14:textId="77777777" w:rsidTr="00694A20">
        <w:trPr>
          <w:trHeight w:val="173"/>
        </w:trPr>
        <w:tc>
          <w:tcPr>
            <w:tcW w:w="1809" w:type="dxa"/>
            <w:tcBorders>
              <w:top w:val="single" w:sz="4" w:space="0" w:color="auto"/>
              <w:left w:val="single" w:sz="4" w:space="0" w:color="auto"/>
              <w:bottom w:val="single" w:sz="4" w:space="0" w:color="auto"/>
              <w:right w:val="single" w:sz="4" w:space="0" w:color="auto"/>
            </w:tcBorders>
          </w:tcPr>
          <w:p w14:paraId="1963E001"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11) </w:t>
            </w:r>
          </w:p>
        </w:tc>
        <w:tc>
          <w:tcPr>
            <w:tcW w:w="4678" w:type="dxa"/>
            <w:tcBorders>
              <w:top w:val="single" w:sz="4" w:space="0" w:color="auto"/>
              <w:left w:val="single" w:sz="4" w:space="0" w:color="auto"/>
              <w:bottom w:val="single" w:sz="4" w:space="0" w:color="auto"/>
              <w:right w:val="single" w:sz="4" w:space="0" w:color="auto"/>
            </w:tcBorders>
          </w:tcPr>
          <w:p w14:paraId="27955783" w14:textId="77777777" w:rsidR="00694A20" w:rsidRPr="0055589B" w:rsidRDefault="00694A20" w:rsidP="006033BF">
            <w:pPr>
              <w:pStyle w:val="Default"/>
              <w:rPr>
                <w:color w:val="000000" w:themeColor="text1"/>
                <w:sz w:val="18"/>
                <w:szCs w:val="18"/>
              </w:rPr>
            </w:pPr>
            <w:r w:rsidRPr="0055589B">
              <w:rPr>
                <w:color w:val="000000" w:themeColor="text1"/>
                <w:sz w:val="18"/>
                <w:szCs w:val="18"/>
              </w:rPr>
              <w:t xml:space="preserve">Schvalování oznámení příslušným orgánům, jsou-li relevantní </w:t>
            </w:r>
          </w:p>
        </w:tc>
        <w:tc>
          <w:tcPr>
            <w:tcW w:w="3260" w:type="dxa"/>
            <w:tcBorders>
              <w:top w:val="single" w:sz="4" w:space="0" w:color="auto"/>
              <w:left w:val="single" w:sz="4" w:space="0" w:color="auto"/>
              <w:bottom w:val="single" w:sz="4" w:space="0" w:color="auto"/>
              <w:right w:val="single" w:sz="4" w:space="0" w:color="auto"/>
            </w:tcBorders>
          </w:tcPr>
          <w:p w14:paraId="274B0B91" w14:textId="77777777" w:rsidR="00694A20" w:rsidRPr="0055589B" w:rsidRDefault="00694A20" w:rsidP="006033BF">
            <w:pPr>
              <w:pStyle w:val="Default"/>
              <w:rPr>
                <w:color w:val="000000" w:themeColor="text1"/>
                <w:sz w:val="18"/>
                <w:szCs w:val="18"/>
              </w:rPr>
            </w:pPr>
            <w:r w:rsidRPr="0055589B">
              <w:rPr>
                <w:color w:val="000000" w:themeColor="text1"/>
                <w:sz w:val="18"/>
                <w:szCs w:val="18"/>
              </w:rPr>
              <w:t>Souhlas</w:t>
            </w:r>
          </w:p>
        </w:tc>
      </w:tr>
    </w:tbl>
    <w:p w14:paraId="0B886519" w14:textId="77777777" w:rsidR="00694A20" w:rsidRPr="0055589B" w:rsidRDefault="00694A20" w:rsidP="00694A20">
      <w:pPr>
        <w:rPr>
          <w:rFonts w:ascii="Arial" w:hAnsi="Arial" w:cs="Arial"/>
          <w:color w:val="000000" w:themeColor="text1"/>
          <w:lang w:val="cs-CZ"/>
        </w:rPr>
      </w:pPr>
    </w:p>
    <w:p w14:paraId="0A9B2E5A" w14:textId="77777777" w:rsidR="00694A20" w:rsidRPr="0055589B" w:rsidRDefault="00694A20" w:rsidP="00694A20">
      <w:pPr>
        <w:pStyle w:val="Default"/>
        <w:rPr>
          <w:color w:val="000000" w:themeColor="text1"/>
        </w:rPr>
      </w:pPr>
    </w:p>
    <w:p w14:paraId="7E4DE3FF" w14:textId="3C80B5D2" w:rsidR="00694A20" w:rsidRPr="0055589B" w:rsidRDefault="00694A20" w:rsidP="00694A20">
      <w:pPr>
        <w:rPr>
          <w:rFonts w:ascii="Arial" w:hAnsi="Arial" w:cs="Arial"/>
          <w:b/>
          <w:bCs/>
          <w:color w:val="000000" w:themeColor="text1"/>
          <w:sz w:val="28"/>
          <w:szCs w:val="28"/>
          <w:lang w:val="cs-CZ"/>
        </w:rPr>
      </w:pPr>
    </w:p>
    <w:p w14:paraId="0D309B69" w14:textId="77777777" w:rsidR="00694A20" w:rsidRPr="0055589B" w:rsidRDefault="00694A20" w:rsidP="006033BF">
      <w:pPr>
        <w:pStyle w:val="Nadpis1"/>
        <w:numPr>
          <w:ilvl w:val="0"/>
          <w:numId w:val="0"/>
        </w:numPr>
        <w:ind w:left="432" w:hanging="432"/>
        <w:rPr>
          <w:color w:val="000000" w:themeColor="text1"/>
          <w:lang w:val="cs-CZ"/>
        </w:rPr>
      </w:pPr>
      <w:bookmarkStart w:id="66" w:name="_Toc108689231"/>
      <w:r w:rsidRPr="0055589B">
        <w:rPr>
          <w:color w:val="000000" w:themeColor="text1"/>
          <w:lang w:val="cs-CZ"/>
        </w:rPr>
        <w:t>Příloha č. 2 Odměňování členů dozorčí rady</w:t>
      </w:r>
      <w:bookmarkEnd w:id="66"/>
      <w:r w:rsidRPr="0055589B">
        <w:rPr>
          <w:color w:val="000000" w:themeColor="text1"/>
          <w:lang w:val="cs-CZ"/>
        </w:rPr>
        <w:t xml:space="preserve">  </w:t>
      </w:r>
    </w:p>
    <w:p w14:paraId="1CC6C2AB" w14:textId="77777777" w:rsidR="00694A20" w:rsidRPr="0055589B" w:rsidRDefault="00694A20" w:rsidP="00694A20">
      <w:pPr>
        <w:pStyle w:val="Default"/>
        <w:rPr>
          <w:color w:val="000000" w:themeColor="text1"/>
          <w:sz w:val="22"/>
          <w:szCs w:val="22"/>
        </w:rPr>
      </w:pPr>
    </w:p>
    <w:p w14:paraId="1026E474" w14:textId="77777777" w:rsidR="00694A20" w:rsidRPr="0055589B" w:rsidRDefault="00694A20" w:rsidP="00694A20">
      <w:pPr>
        <w:pStyle w:val="Default"/>
        <w:rPr>
          <w:color w:val="000000" w:themeColor="text1"/>
          <w:sz w:val="20"/>
          <w:szCs w:val="20"/>
        </w:rPr>
      </w:pPr>
      <w:r w:rsidRPr="0055589B">
        <w:rPr>
          <w:color w:val="000000" w:themeColor="text1"/>
          <w:sz w:val="20"/>
          <w:szCs w:val="20"/>
        </w:rPr>
        <w:t xml:space="preserve">Aby byl řádně ošetřen střet zájmů v souvislosti s jejich činností v dozorčí radě, jsou odměny členů dozorčí rady vždy pevně dané. To znamená, že členové dozorčí rady nedostávají za výkon své funkce v dozorčí radě odměnu s variabilní složkou.  </w:t>
      </w:r>
    </w:p>
    <w:p w14:paraId="3F16F0CF" w14:textId="77777777" w:rsidR="00694A20" w:rsidRPr="0055589B" w:rsidRDefault="00694A20" w:rsidP="00694A20">
      <w:pPr>
        <w:pStyle w:val="Default"/>
        <w:rPr>
          <w:color w:val="000000" w:themeColor="text1"/>
          <w:sz w:val="20"/>
          <w:szCs w:val="20"/>
        </w:rPr>
      </w:pPr>
    </w:p>
    <w:p w14:paraId="6E2117A7" w14:textId="77777777" w:rsidR="00694A20" w:rsidRPr="0055589B" w:rsidRDefault="00694A20" w:rsidP="00694A20">
      <w:pPr>
        <w:pStyle w:val="Default"/>
        <w:rPr>
          <w:color w:val="000000" w:themeColor="text1"/>
          <w:sz w:val="20"/>
          <w:szCs w:val="20"/>
        </w:rPr>
      </w:pPr>
      <w:r w:rsidRPr="0055589B">
        <w:rPr>
          <w:color w:val="000000" w:themeColor="text1"/>
          <w:sz w:val="20"/>
          <w:szCs w:val="20"/>
        </w:rPr>
        <w:t>Balíček odměn zahrnuje následující prvky:</w:t>
      </w:r>
    </w:p>
    <w:p w14:paraId="06955570" w14:textId="77777777" w:rsidR="00694A20" w:rsidRPr="0055589B" w:rsidRDefault="00694A20" w:rsidP="00694A20">
      <w:pPr>
        <w:pStyle w:val="Default"/>
        <w:spacing w:after="93"/>
        <w:rPr>
          <w:color w:val="000000" w:themeColor="text1"/>
          <w:sz w:val="20"/>
          <w:szCs w:val="20"/>
        </w:rPr>
      </w:pPr>
    </w:p>
    <w:p w14:paraId="29FB4F3A" w14:textId="77777777" w:rsidR="00694A20" w:rsidRPr="0055589B" w:rsidRDefault="00694A20" w:rsidP="00ED1567">
      <w:pPr>
        <w:pStyle w:val="Default"/>
        <w:spacing w:after="93"/>
        <w:rPr>
          <w:color w:val="000000" w:themeColor="text1"/>
          <w:sz w:val="20"/>
          <w:szCs w:val="20"/>
        </w:rPr>
      </w:pPr>
      <w:r w:rsidRPr="0055589B">
        <w:rPr>
          <w:color w:val="000000" w:themeColor="text1"/>
          <w:sz w:val="20"/>
          <w:szCs w:val="20"/>
        </w:rPr>
        <w:t xml:space="preserve">1) Pevně stanovená odměna (podle role, roční a poměrná k délce výkonu funkce); </w:t>
      </w:r>
    </w:p>
    <w:p w14:paraId="291B3DFC" w14:textId="77777777" w:rsidR="00694A20" w:rsidRPr="0055589B" w:rsidRDefault="00694A20" w:rsidP="00ED1567">
      <w:pPr>
        <w:pStyle w:val="Default"/>
        <w:spacing w:after="93"/>
        <w:rPr>
          <w:color w:val="000000" w:themeColor="text1"/>
          <w:sz w:val="20"/>
          <w:szCs w:val="20"/>
        </w:rPr>
      </w:pPr>
      <w:r w:rsidRPr="0055589B">
        <w:rPr>
          <w:color w:val="000000" w:themeColor="text1"/>
          <w:sz w:val="20"/>
          <w:szCs w:val="20"/>
        </w:rPr>
        <w:t>2) Platba za účast (za každé zasedání);</w:t>
      </w:r>
    </w:p>
    <w:p w14:paraId="1525C531" w14:textId="77777777" w:rsidR="00694A20" w:rsidRPr="0055589B" w:rsidRDefault="00694A20" w:rsidP="00ED1567">
      <w:pPr>
        <w:pStyle w:val="Default"/>
        <w:spacing w:after="93"/>
        <w:rPr>
          <w:color w:val="000000" w:themeColor="text1"/>
          <w:sz w:val="20"/>
          <w:szCs w:val="20"/>
        </w:rPr>
      </w:pPr>
      <w:r w:rsidRPr="0055589B">
        <w:rPr>
          <w:color w:val="000000" w:themeColor="text1"/>
          <w:sz w:val="20"/>
          <w:szCs w:val="20"/>
        </w:rPr>
        <w:t xml:space="preserve">3) Náhrada cestovného (v souladu se směrnicemi a podmínkami místního subjektu); a </w:t>
      </w:r>
    </w:p>
    <w:p w14:paraId="650A97B4" w14:textId="77777777" w:rsidR="00694A20" w:rsidRPr="0055589B" w:rsidRDefault="00694A20" w:rsidP="00ED1567">
      <w:pPr>
        <w:pStyle w:val="Default"/>
        <w:rPr>
          <w:color w:val="000000" w:themeColor="text1"/>
          <w:sz w:val="20"/>
          <w:szCs w:val="20"/>
        </w:rPr>
      </w:pPr>
      <w:r w:rsidRPr="0055589B">
        <w:rPr>
          <w:color w:val="000000" w:themeColor="text1"/>
          <w:sz w:val="20"/>
          <w:szCs w:val="20"/>
        </w:rPr>
        <w:t>4) Benefit na pojištění finanční odpovědnosti členů představenstva a činitelů společnosti (pro všechny členy dozorčí rady, včetně zástupců Pracovní rady).</w:t>
      </w:r>
    </w:p>
    <w:p w14:paraId="626AC95A" w14:textId="77777777" w:rsidR="00694A20" w:rsidRPr="0055589B" w:rsidRDefault="00694A20" w:rsidP="00694A20">
      <w:pPr>
        <w:pStyle w:val="Default"/>
        <w:rPr>
          <w:color w:val="000000" w:themeColor="text1"/>
          <w:sz w:val="20"/>
          <w:szCs w:val="20"/>
        </w:rPr>
      </w:pPr>
    </w:p>
    <w:p w14:paraId="35BB704A" w14:textId="77777777" w:rsidR="00694A20" w:rsidRPr="0055589B" w:rsidRDefault="00694A20" w:rsidP="00694A20">
      <w:pPr>
        <w:pStyle w:val="Default"/>
        <w:rPr>
          <w:color w:val="000000" w:themeColor="text1"/>
          <w:sz w:val="20"/>
          <w:szCs w:val="20"/>
        </w:rPr>
      </w:pPr>
      <w:r w:rsidRPr="0055589B">
        <w:rPr>
          <w:color w:val="000000" w:themeColor="text1"/>
          <w:sz w:val="20"/>
          <w:szCs w:val="20"/>
        </w:rPr>
        <w:t>Následující podmínky se vztahují na odměňování členů dozorčí rady ve vztahu k jejich funkci člena dozorčí rady:</w:t>
      </w:r>
    </w:p>
    <w:p w14:paraId="72CFA49E" w14:textId="77777777" w:rsidR="00694A20" w:rsidRPr="0055589B" w:rsidRDefault="00694A20" w:rsidP="00694A20">
      <w:pPr>
        <w:pStyle w:val="Default"/>
        <w:spacing w:after="91"/>
        <w:rPr>
          <w:color w:val="000000" w:themeColor="text1"/>
          <w:sz w:val="20"/>
          <w:szCs w:val="20"/>
        </w:rPr>
      </w:pPr>
    </w:p>
    <w:p w14:paraId="22EB2428" w14:textId="77777777" w:rsidR="00694A20" w:rsidRPr="0055589B" w:rsidRDefault="00694A20" w:rsidP="00694A20">
      <w:pPr>
        <w:pStyle w:val="Default"/>
        <w:spacing w:after="91"/>
        <w:rPr>
          <w:color w:val="000000" w:themeColor="text1"/>
          <w:sz w:val="20"/>
          <w:szCs w:val="20"/>
        </w:rPr>
      </w:pPr>
      <w:r w:rsidRPr="0055589B">
        <w:rPr>
          <w:color w:val="000000" w:themeColor="text1"/>
          <w:sz w:val="20"/>
          <w:szCs w:val="20"/>
        </w:rPr>
        <w:t xml:space="preserve">1) Pevná odměna je pouze pro stálé a jmenované členy dozorčí rady; členové přizvaní do jednotlivých dozorčích komisí nebo pozvaní hosté pevnou odměnu nedostávají; </w:t>
      </w:r>
    </w:p>
    <w:p w14:paraId="31D6D598" w14:textId="77777777" w:rsidR="00694A20" w:rsidRPr="0055589B" w:rsidRDefault="00694A20" w:rsidP="00694A20">
      <w:pPr>
        <w:pStyle w:val="Default"/>
        <w:spacing w:after="91"/>
        <w:rPr>
          <w:color w:val="000000" w:themeColor="text1"/>
          <w:sz w:val="20"/>
          <w:szCs w:val="20"/>
        </w:rPr>
      </w:pPr>
      <w:r w:rsidRPr="0055589B">
        <w:rPr>
          <w:color w:val="000000" w:themeColor="text1"/>
          <w:sz w:val="20"/>
          <w:szCs w:val="20"/>
        </w:rPr>
        <w:t xml:space="preserve">2) Pevná roční odměna se poskytuje poměrně k délce výkonu mandátu člena Dozorčí rady v daném období (kalendářním);  </w:t>
      </w:r>
    </w:p>
    <w:p w14:paraId="19CCF180" w14:textId="77777777" w:rsidR="00694A20" w:rsidRPr="0055589B" w:rsidRDefault="00694A20" w:rsidP="00694A20">
      <w:pPr>
        <w:pStyle w:val="Default"/>
        <w:spacing w:after="91"/>
        <w:rPr>
          <w:color w:val="000000" w:themeColor="text1"/>
          <w:sz w:val="20"/>
          <w:szCs w:val="20"/>
        </w:rPr>
      </w:pPr>
      <w:r w:rsidRPr="0055589B">
        <w:rPr>
          <w:color w:val="000000" w:themeColor="text1"/>
          <w:sz w:val="20"/>
          <w:szCs w:val="20"/>
        </w:rPr>
        <w:t xml:space="preserve">3) Nárok na platbu za účast je podmíněn přítomností na zasedání dozorčí rady nebo komise. Člen se musí zúčastnit více než 50 % zasedání, aby měl nárok na výplatu platby za účast. Pevná odměna a platba za účast se vyplácejí na konci finančního roku.  </w:t>
      </w:r>
    </w:p>
    <w:p w14:paraId="563B4215" w14:textId="77777777" w:rsidR="00ED1567" w:rsidRPr="0055589B" w:rsidRDefault="00694A20" w:rsidP="00694A20">
      <w:pPr>
        <w:pStyle w:val="Default"/>
        <w:spacing w:after="93"/>
        <w:rPr>
          <w:color w:val="000000" w:themeColor="text1"/>
          <w:sz w:val="20"/>
          <w:szCs w:val="20"/>
        </w:rPr>
      </w:pPr>
      <w:r w:rsidRPr="0055589B">
        <w:rPr>
          <w:color w:val="000000" w:themeColor="text1"/>
          <w:sz w:val="20"/>
          <w:szCs w:val="20"/>
        </w:rPr>
        <w:t xml:space="preserve">4) Náhrady za cestovné v souladu s příslušnými předpisy Společnosti nebo místního subjektu: </w:t>
      </w:r>
    </w:p>
    <w:p w14:paraId="665987B3" w14:textId="3A62FBCB" w:rsidR="00694A20" w:rsidRPr="0055589B" w:rsidRDefault="00694A20" w:rsidP="00ED1567">
      <w:pPr>
        <w:pStyle w:val="Default"/>
        <w:spacing w:after="93"/>
        <w:ind w:left="567" w:hanging="141"/>
        <w:rPr>
          <w:color w:val="000000" w:themeColor="text1"/>
          <w:sz w:val="20"/>
          <w:szCs w:val="20"/>
        </w:rPr>
      </w:pPr>
      <w:r w:rsidRPr="0055589B">
        <w:rPr>
          <w:color w:val="000000" w:themeColor="text1"/>
          <w:sz w:val="20"/>
          <w:szCs w:val="20"/>
        </w:rPr>
        <w:t>a) hotel, taxi, vlak, automobil: na základě platných dohod;</w:t>
      </w:r>
    </w:p>
    <w:p w14:paraId="13B7D3D1" w14:textId="77777777" w:rsidR="00694A20" w:rsidRPr="0055589B" w:rsidRDefault="00694A20" w:rsidP="00ED1567">
      <w:pPr>
        <w:pStyle w:val="Default"/>
        <w:spacing w:after="93"/>
        <w:ind w:left="567" w:hanging="141"/>
        <w:rPr>
          <w:color w:val="000000" w:themeColor="text1"/>
          <w:sz w:val="20"/>
          <w:szCs w:val="20"/>
        </w:rPr>
      </w:pPr>
      <w:r w:rsidRPr="0055589B">
        <w:rPr>
          <w:color w:val="000000" w:themeColor="text1"/>
          <w:sz w:val="20"/>
          <w:szCs w:val="20"/>
        </w:rPr>
        <w:t>b) Kontinentální lety: pevná sazba na základě platných dohod;</w:t>
      </w:r>
    </w:p>
    <w:p w14:paraId="0E45C116" w14:textId="77777777" w:rsidR="00694A20" w:rsidRPr="0055589B" w:rsidRDefault="00694A20" w:rsidP="00ED1567">
      <w:pPr>
        <w:pStyle w:val="Default"/>
        <w:ind w:left="567" w:hanging="141"/>
        <w:rPr>
          <w:color w:val="000000" w:themeColor="text1"/>
          <w:sz w:val="20"/>
          <w:szCs w:val="20"/>
        </w:rPr>
      </w:pPr>
      <w:r w:rsidRPr="0055589B">
        <w:rPr>
          <w:color w:val="000000" w:themeColor="text1"/>
          <w:sz w:val="20"/>
          <w:szCs w:val="20"/>
        </w:rPr>
        <w:t xml:space="preserve">c) Mezikontinentální lety: pevná sazba na základě cen v business třídě a na základě tarifu: home office/místní subjekt) </w:t>
      </w:r>
    </w:p>
    <w:p w14:paraId="250D1966" w14:textId="77777777" w:rsidR="00694A20" w:rsidRPr="0055589B" w:rsidRDefault="00694A20" w:rsidP="00694A20">
      <w:pPr>
        <w:pStyle w:val="Default"/>
        <w:rPr>
          <w:color w:val="000000" w:themeColor="text1"/>
          <w:sz w:val="20"/>
          <w:szCs w:val="20"/>
        </w:rPr>
      </w:pPr>
    </w:p>
    <w:p w14:paraId="02941E92" w14:textId="77777777" w:rsidR="00694A20" w:rsidRPr="0055589B" w:rsidRDefault="00694A20" w:rsidP="00694A20">
      <w:pPr>
        <w:pStyle w:val="Default"/>
        <w:rPr>
          <w:color w:val="000000" w:themeColor="text1"/>
          <w:sz w:val="20"/>
          <w:szCs w:val="20"/>
        </w:rPr>
      </w:pPr>
      <w:r w:rsidRPr="0055589B">
        <w:rPr>
          <w:color w:val="000000" w:themeColor="text1"/>
          <w:sz w:val="20"/>
          <w:szCs w:val="20"/>
        </w:rPr>
        <w:t xml:space="preserve">5) Členové jmenovaní akcionáři, kteří jsou v pracovním poměru k subjektu Erste Group, nemají nárok na odměny pro členy dozorčí rady (to platí i pro členy zaměstnanecké rady); </w:t>
      </w:r>
    </w:p>
    <w:p w14:paraId="07658994" w14:textId="77777777" w:rsidR="00694A20" w:rsidRPr="0055589B" w:rsidRDefault="00694A20" w:rsidP="00694A20">
      <w:pPr>
        <w:pStyle w:val="Default"/>
        <w:rPr>
          <w:color w:val="000000" w:themeColor="text1"/>
          <w:sz w:val="20"/>
          <w:szCs w:val="20"/>
        </w:rPr>
      </w:pPr>
      <w:r w:rsidRPr="0055589B">
        <w:rPr>
          <w:color w:val="000000" w:themeColor="text1"/>
          <w:sz w:val="20"/>
          <w:szCs w:val="20"/>
        </w:rPr>
        <w:t xml:space="preserve">6) Nevyplácí se žádná výkonnostní odměna, neposkytují se akcie ani nevznikají práva v rámci penzijních programů; </w:t>
      </w:r>
    </w:p>
    <w:p w14:paraId="5D5BB1A2" w14:textId="77777777" w:rsidR="00694A20" w:rsidRPr="0055589B" w:rsidRDefault="00694A20" w:rsidP="00694A20">
      <w:pPr>
        <w:pStyle w:val="Default"/>
        <w:rPr>
          <w:color w:val="000000" w:themeColor="text1"/>
          <w:sz w:val="20"/>
          <w:szCs w:val="20"/>
        </w:rPr>
      </w:pPr>
      <w:r w:rsidRPr="0055589B">
        <w:rPr>
          <w:color w:val="000000" w:themeColor="text1"/>
          <w:sz w:val="20"/>
          <w:szCs w:val="20"/>
        </w:rPr>
        <w:t>7) Při ukončení výkonu funkce člena dozorčí rady se nevyplácejí žádné benefity.</w:t>
      </w:r>
    </w:p>
    <w:p w14:paraId="21BA6D89" w14:textId="77777777" w:rsidR="00694A20" w:rsidRPr="0055589B" w:rsidRDefault="00694A20" w:rsidP="00694A20">
      <w:pPr>
        <w:rPr>
          <w:rFonts w:ascii="Arial" w:hAnsi="Arial" w:cs="Arial"/>
          <w:color w:val="000000" w:themeColor="text1"/>
          <w:sz w:val="20"/>
          <w:szCs w:val="20"/>
          <w:lang w:val="cs-CZ"/>
        </w:rPr>
      </w:pPr>
    </w:p>
    <w:p w14:paraId="77AFE6B3" w14:textId="77777777" w:rsidR="002568EB" w:rsidRPr="0055589B" w:rsidRDefault="002568EB" w:rsidP="007F006A">
      <w:pPr>
        <w:spacing w:after="120" w:line="288" w:lineRule="auto"/>
        <w:jc w:val="both"/>
        <w:rPr>
          <w:rFonts w:ascii="Arial" w:eastAsia="Times New Roman" w:hAnsi="Arial" w:cs="Arial"/>
          <w:color w:val="000000" w:themeColor="text1"/>
          <w:szCs w:val="24"/>
          <w:lang w:val="cs-CZ" w:eastAsia="de-AT"/>
        </w:rPr>
      </w:pPr>
    </w:p>
    <w:sectPr w:rsidR="002568EB" w:rsidRPr="005558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1D3A9" w14:textId="77777777" w:rsidR="006C0B1A" w:rsidRDefault="006C0B1A" w:rsidP="00224561">
      <w:pPr>
        <w:spacing w:after="0" w:line="240" w:lineRule="auto"/>
      </w:pPr>
      <w:r>
        <w:separator/>
      </w:r>
    </w:p>
  </w:endnote>
  <w:endnote w:type="continuationSeparator" w:id="0">
    <w:p w14:paraId="265BA1B2" w14:textId="77777777" w:rsidR="006C0B1A" w:rsidRDefault="006C0B1A" w:rsidP="0022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35BA" w14:textId="30EAED14" w:rsidR="006C0B1A" w:rsidRDefault="006C0B1A">
    <w:pPr>
      <w:pStyle w:val="Zpat"/>
      <w:jc w:val="right"/>
    </w:pPr>
  </w:p>
  <w:p w14:paraId="14049E3F" w14:textId="77777777" w:rsidR="006C0B1A" w:rsidRDefault="006C0B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FC3D1" w14:textId="77777777" w:rsidR="006C0B1A" w:rsidRDefault="006C0B1A" w:rsidP="00224561">
      <w:pPr>
        <w:spacing w:after="0" w:line="240" w:lineRule="auto"/>
      </w:pPr>
      <w:r>
        <w:separator/>
      </w:r>
    </w:p>
  </w:footnote>
  <w:footnote w:type="continuationSeparator" w:id="0">
    <w:p w14:paraId="5EEE1153" w14:textId="77777777" w:rsidR="006C0B1A" w:rsidRDefault="006C0B1A" w:rsidP="00224561">
      <w:pPr>
        <w:spacing w:after="0" w:line="240" w:lineRule="auto"/>
      </w:pPr>
      <w:r>
        <w:continuationSeparator/>
      </w:r>
    </w:p>
  </w:footnote>
  <w:footnote w:id="1">
    <w:p w14:paraId="1E50170A" w14:textId="7D87017A" w:rsidR="006C0B1A" w:rsidRPr="00AB519E" w:rsidRDefault="006C0B1A" w:rsidP="007F006A">
      <w:pPr>
        <w:pStyle w:val="Textpoznpodarou"/>
      </w:pPr>
      <w:r>
        <w:rPr>
          <w:rStyle w:val="Znakapoznpodarou"/>
          <w:lang w:val="cs"/>
        </w:rPr>
        <w:footnoteRef/>
      </w:r>
      <w:r>
        <w:rPr>
          <w:lang w:val="cs"/>
        </w:rPr>
        <w:t xml:space="preserve"> </w:t>
      </w:r>
      <w:r>
        <w:rPr>
          <w:sz w:val="18"/>
          <w:szCs w:val="18"/>
          <w:lang w:val="cs"/>
        </w:rPr>
        <w:t>Výbor pro odměňování</w:t>
      </w:r>
      <w:r w:rsidRPr="00AB519E">
        <w:rPr>
          <w:sz w:val="18"/>
          <w:szCs w:val="18"/>
          <w:lang w:val="cs"/>
        </w:rPr>
        <w:t xml:space="preserve"> </w:t>
      </w:r>
      <w:r>
        <w:rPr>
          <w:sz w:val="18"/>
          <w:szCs w:val="18"/>
          <w:lang w:val="cs"/>
        </w:rPr>
        <w:t xml:space="preserve">nese autonomní odpovědnost </w:t>
      </w:r>
      <w:r w:rsidRPr="00AB519E">
        <w:rPr>
          <w:sz w:val="18"/>
          <w:szCs w:val="18"/>
          <w:lang w:val="cs"/>
        </w:rPr>
        <w:t xml:space="preserve">za stanovení kritérií výběru, výběr, jmenování a </w:t>
      </w:r>
      <w:r>
        <w:rPr>
          <w:sz w:val="18"/>
          <w:szCs w:val="18"/>
          <w:lang w:val="cs"/>
        </w:rPr>
        <w:t xml:space="preserve">vymezení pravomocí </w:t>
      </w:r>
      <w:r w:rsidRPr="00AB519E">
        <w:rPr>
          <w:sz w:val="18"/>
          <w:szCs w:val="18"/>
          <w:lang w:val="cs"/>
        </w:rPr>
        <w:t xml:space="preserve">pro všechny konzultanty </w:t>
      </w:r>
      <w:r>
        <w:rPr>
          <w:sz w:val="18"/>
          <w:szCs w:val="18"/>
          <w:lang w:val="cs"/>
        </w:rPr>
        <w:t xml:space="preserve">v oblasti </w:t>
      </w:r>
      <w:r w:rsidRPr="00AB519E">
        <w:rPr>
          <w:sz w:val="18"/>
          <w:szCs w:val="18"/>
          <w:lang w:val="cs"/>
        </w:rPr>
        <w:t xml:space="preserve">odměňování, kteří radí </w:t>
      </w:r>
      <w:r>
        <w:rPr>
          <w:sz w:val="18"/>
          <w:szCs w:val="18"/>
          <w:lang w:val="cs"/>
        </w:rPr>
        <w:t>V</w:t>
      </w:r>
      <w:r w:rsidRPr="00AB519E">
        <w:rPr>
          <w:sz w:val="18"/>
          <w:szCs w:val="18"/>
          <w:lang w:val="cs"/>
        </w:rPr>
        <w:t xml:space="preserve">ýboru pro odměňování a/nebo příslušným </w:t>
      </w:r>
      <w:r>
        <w:rPr>
          <w:sz w:val="18"/>
          <w:szCs w:val="18"/>
          <w:lang w:val="cs"/>
        </w:rPr>
        <w:t>V</w:t>
      </w:r>
      <w:r w:rsidRPr="00AB519E">
        <w:rPr>
          <w:sz w:val="18"/>
          <w:szCs w:val="18"/>
          <w:lang w:val="cs"/>
        </w:rPr>
        <w:t>ýborům pro odměňování.</w:t>
      </w:r>
    </w:p>
  </w:footnote>
  <w:footnote w:id="2">
    <w:p w14:paraId="01909ED2" w14:textId="61685AB9" w:rsidR="006C0B1A" w:rsidRPr="00687B28" w:rsidRDefault="006C0B1A" w:rsidP="007F006A">
      <w:pPr>
        <w:pStyle w:val="Textpoznpodarou"/>
        <w:rPr>
          <w:sz w:val="18"/>
        </w:rPr>
      </w:pPr>
      <w:r w:rsidRPr="00687B28">
        <w:rPr>
          <w:rStyle w:val="Znakapoznpodarou"/>
          <w:sz w:val="18"/>
          <w:lang w:val="cs"/>
        </w:rPr>
        <w:footnoteRef/>
      </w:r>
      <w:r w:rsidRPr="00687B28">
        <w:rPr>
          <w:sz w:val="18"/>
          <w:lang w:val="cs"/>
        </w:rPr>
        <w:t xml:space="preserve"> Pokud </w:t>
      </w:r>
      <w:r>
        <w:rPr>
          <w:sz w:val="18"/>
          <w:lang w:val="cs"/>
        </w:rPr>
        <w:t xml:space="preserve">odstupné není v takových případech vyžadováno </w:t>
      </w:r>
      <w:r w:rsidRPr="00687B28">
        <w:rPr>
          <w:sz w:val="18"/>
          <w:lang w:val="cs"/>
        </w:rPr>
        <w:t>vnitrostátní</w:t>
      </w:r>
      <w:r>
        <w:rPr>
          <w:sz w:val="18"/>
          <w:lang w:val="cs"/>
        </w:rPr>
        <w:t>mi pracovněprávními předpisy.</w:t>
      </w:r>
    </w:p>
  </w:footnote>
  <w:footnote w:id="3">
    <w:p w14:paraId="24299D02" w14:textId="1A0A40F9" w:rsidR="006C0B1A" w:rsidRDefault="006C0B1A" w:rsidP="007F006A">
      <w:pPr>
        <w:pStyle w:val="Textpoznpodarou"/>
        <w:rPr>
          <w:lang w:val="en-US"/>
        </w:rPr>
      </w:pPr>
      <w:r>
        <w:rPr>
          <w:rStyle w:val="Znakapoznpodarou"/>
          <w:lang w:val="cs"/>
        </w:rPr>
        <w:footnoteRef/>
      </w:r>
      <w:r>
        <w:rPr>
          <w:lang w:val="cs"/>
        </w:rPr>
        <w:t xml:space="preserve"> </w:t>
      </w:r>
      <w:r>
        <w:rPr>
          <w:sz w:val="16"/>
          <w:szCs w:val="16"/>
          <w:lang w:val="cs"/>
        </w:rPr>
        <w:t>§ 17c ABS. 1 InvFG 2011;</w:t>
      </w:r>
      <w:r>
        <w:rPr>
          <w:lang w:val="cs"/>
        </w:rPr>
        <w:t xml:space="preserve"> </w:t>
      </w:r>
      <w:r>
        <w:rPr>
          <w:sz w:val="16"/>
          <w:szCs w:val="16"/>
          <w:lang w:val="cs"/>
        </w:rPr>
        <w:t>Příloha 2 č. 1 k článku 11 AIFMG.</w:t>
      </w:r>
    </w:p>
  </w:footnote>
  <w:footnote w:id="4">
    <w:p w14:paraId="1D93CADE" w14:textId="77777777" w:rsidR="006C0B1A" w:rsidRDefault="006C0B1A" w:rsidP="007F006A">
      <w:pPr>
        <w:spacing w:after="0"/>
        <w:rPr>
          <w:sz w:val="16"/>
          <w:szCs w:val="16"/>
          <w:lang w:val="de-DE"/>
        </w:rPr>
      </w:pPr>
      <w:r>
        <w:rPr>
          <w:rStyle w:val="Znakapoznpodarou"/>
          <w:sz w:val="16"/>
          <w:szCs w:val="16"/>
          <w:lang w:val="cs"/>
        </w:rPr>
        <w:footnoteRef/>
      </w:r>
      <w:r w:rsidRPr="00424C78">
        <w:rPr>
          <w:rStyle w:val="Znakapoznpodarou"/>
          <w:lang w:val="cs"/>
        </w:rPr>
        <w:t xml:space="preserve"> </w:t>
      </w:r>
      <w:r>
        <w:rPr>
          <w:sz w:val="16"/>
          <w:szCs w:val="16"/>
          <w:lang w:val="cs"/>
        </w:rPr>
        <w:t xml:space="preserve">Viz FMA Rundschreiben Grundsätze der Vergütungspolitik </w:t>
      </w:r>
      <w:proofErr w:type="gramStart"/>
      <w:r>
        <w:rPr>
          <w:sz w:val="16"/>
          <w:szCs w:val="16"/>
          <w:lang w:val="cs"/>
        </w:rPr>
        <w:t>und ‐praktiken</w:t>
      </w:r>
      <w:proofErr w:type="gramEnd"/>
      <w:r>
        <w:rPr>
          <w:sz w:val="16"/>
          <w:szCs w:val="16"/>
          <w:lang w:val="cs"/>
        </w:rPr>
        <w:t xml:space="preserve"> S. 21 RZ 64. Uveďte odkaz</w:t>
      </w:r>
    </w:p>
  </w:footnote>
  <w:footnote w:id="5">
    <w:p w14:paraId="49DA6F1B" w14:textId="77777777" w:rsidR="006C0B1A" w:rsidRDefault="006C0B1A" w:rsidP="007F006A">
      <w:pPr>
        <w:spacing w:after="0"/>
        <w:rPr>
          <w:lang w:val="de-DE"/>
        </w:rPr>
      </w:pPr>
      <w:r>
        <w:rPr>
          <w:rStyle w:val="Znakapoznpodarou"/>
          <w:sz w:val="16"/>
          <w:szCs w:val="16"/>
          <w:lang w:val="cs"/>
        </w:rPr>
        <w:footnoteRef/>
      </w:r>
      <w:r>
        <w:rPr>
          <w:sz w:val="16"/>
          <w:szCs w:val="16"/>
          <w:lang w:val="cs"/>
        </w:rPr>
        <w:t xml:space="preserve"> Viz FMA Rundschreiben Grundsätze der Vergütungspolitik </w:t>
      </w:r>
      <w:proofErr w:type="gramStart"/>
      <w:r>
        <w:rPr>
          <w:sz w:val="16"/>
          <w:szCs w:val="16"/>
          <w:lang w:val="cs"/>
        </w:rPr>
        <w:t>und ‐praktiken</w:t>
      </w:r>
      <w:proofErr w:type="gramEnd"/>
      <w:r>
        <w:rPr>
          <w:sz w:val="16"/>
          <w:szCs w:val="16"/>
          <w:lang w:val="cs"/>
        </w:rPr>
        <w:t xml:space="preserve"> S. 7 RZ 15.</w:t>
      </w:r>
    </w:p>
  </w:footnote>
  <w:footnote w:id="6">
    <w:p w14:paraId="5BE52B16" w14:textId="5501AE18" w:rsidR="006C0B1A" w:rsidRPr="00546E5D" w:rsidRDefault="006C0B1A" w:rsidP="007F006A">
      <w:pPr>
        <w:pStyle w:val="Textpoznpodarou"/>
        <w:rPr>
          <w:rFonts w:ascii="Calibri" w:hAnsi="Calibri"/>
          <w:sz w:val="16"/>
          <w:szCs w:val="16"/>
          <w:lang w:val="de-DE"/>
        </w:rPr>
      </w:pPr>
      <w:r w:rsidRPr="00546E5D">
        <w:rPr>
          <w:rStyle w:val="Znakapoznpodarou"/>
          <w:sz w:val="16"/>
          <w:szCs w:val="16"/>
          <w:lang w:val="cs"/>
        </w:rPr>
        <w:footnoteRef/>
      </w:r>
      <w:r w:rsidRPr="00546E5D">
        <w:rPr>
          <w:sz w:val="16"/>
          <w:szCs w:val="16"/>
          <w:lang w:val="cs"/>
        </w:rPr>
        <w:t xml:space="preserve"> </w:t>
      </w:r>
      <w:r w:rsidR="005A2350" w:rsidRPr="005A2350">
        <w:rPr>
          <w:sz w:val="16"/>
          <w:szCs w:val="16"/>
          <w:lang w:val="cs"/>
        </w:rPr>
        <w:t>Oběžník FMA "06/2022 Oběžník FMA k §§ 17a-17c InvFG 2011 a § 11 AIFMG o zásadách politik a postupů odměňování (nové znění listopad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3183" w14:textId="151EEC35" w:rsidR="006C0B1A" w:rsidRDefault="00382318" w:rsidP="003B231C">
    <w:pPr>
      <w:pStyle w:val="Zhlav"/>
      <w:tabs>
        <w:tab w:val="clear" w:pos="4536"/>
        <w:tab w:val="clear" w:pos="9072"/>
        <w:tab w:val="right" w:pos="9360"/>
      </w:tabs>
    </w:pPr>
    <w:r w:rsidRPr="009509AE">
      <w:rPr>
        <w:rFonts w:ascii="Calibri" w:hAnsi="Calibri" w:cs="Calibri"/>
        <w:noProof/>
      </w:rPr>
      <w:drawing>
        <wp:inline distT="0" distB="0" distL="0" distR="0" wp14:anchorId="20676D12" wp14:editId="3982BD55">
          <wp:extent cx="793630" cy="327530"/>
          <wp:effectExtent l="0" t="0" r="698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871" cy="337947"/>
                  </a:xfrm>
                  <a:prstGeom prst="rect">
                    <a:avLst/>
                  </a:prstGeom>
                  <a:noFill/>
                  <a:ln>
                    <a:noFill/>
                  </a:ln>
                </pic:spPr>
              </pic:pic>
            </a:graphicData>
          </a:graphic>
        </wp:inline>
      </w:drawing>
    </w:r>
    <w:r w:rsidR="006C0B1A">
      <w:tab/>
    </w:r>
    <w:r w:rsidR="006C0B1A" w:rsidRPr="003B231C">
      <w:rPr>
        <w:b/>
      </w:rPr>
      <w:t xml:space="preserve">REM </w:t>
    </w:r>
    <w:r w:rsidR="006C0B1A">
      <w:t>Remuneration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209682"/>
    <w:multiLevelType w:val="hybridMultilevel"/>
    <w:tmpl w:val="436CC9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A4462"/>
    <w:multiLevelType w:val="hybridMultilevel"/>
    <w:tmpl w:val="3AE4CFBC"/>
    <w:lvl w:ilvl="0" w:tplc="DFCAF888">
      <w:start w:val="1"/>
      <w:numFmt w:val="decimal"/>
      <w:lvlText w:val="%1)"/>
      <w:lvlJc w:val="left"/>
      <w:pPr>
        <w:ind w:left="720" w:hanging="360"/>
      </w:pPr>
      <w:rPr>
        <w:rFonts w:asciiTheme="minorHAnsi" w:hAnsiTheme="minorHAnsi"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001AE4"/>
    <w:multiLevelType w:val="hybridMultilevel"/>
    <w:tmpl w:val="C3E6E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8E7B51"/>
    <w:multiLevelType w:val="multilevel"/>
    <w:tmpl w:val="E1004CA2"/>
    <w:lvl w:ilvl="0">
      <w:start w:val="1"/>
      <w:numFmt w:val="decimal"/>
      <w:pStyle w:val="Nadpis1"/>
      <w:lvlText w:val="%1."/>
      <w:lvlJc w:val="left"/>
      <w:pPr>
        <w:ind w:left="432" w:hanging="432"/>
      </w:pPr>
      <w:rPr>
        <w:rFonts w:hint="default"/>
        <w:i w:val="0"/>
      </w:rPr>
    </w:lvl>
    <w:lvl w:ilvl="1">
      <w:start w:val="1"/>
      <w:numFmt w:val="decimal"/>
      <w:pStyle w:val="Nadpis2"/>
      <w:lvlText w:val="%1.%2"/>
      <w:lvlJc w:val="left"/>
      <w:pPr>
        <w:ind w:left="1427" w:hanging="576"/>
      </w:pPr>
      <w:rPr>
        <w:rFonts w:hint="default"/>
      </w:rPr>
    </w:lvl>
    <w:lvl w:ilvl="2">
      <w:start w:val="1"/>
      <w:numFmt w:val="decimal"/>
      <w:pStyle w:val="Nadpis3"/>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51238AF"/>
    <w:multiLevelType w:val="hybridMultilevel"/>
    <w:tmpl w:val="97960368"/>
    <w:lvl w:ilvl="0" w:tplc="0C07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7B13E8E"/>
    <w:multiLevelType w:val="hybridMultilevel"/>
    <w:tmpl w:val="774057DA"/>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09E2C66"/>
    <w:multiLevelType w:val="hybridMultilevel"/>
    <w:tmpl w:val="3AE4CFBC"/>
    <w:lvl w:ilvl="0" w:tplc="DFCAF888">
      <w:start w:val="1"/>
      <w:numFmt w:val="decimal"/>
      <w:lvlText w:val="%1)"/>
      <w:lvlJc w:val="left"/>
      <w:pPr>
        <w:ind w:left="786" w:hanging="360"/>
      </w:pPr>
      <w:rPr>
        <w:rFonts w:asciiTheme="minorHAnsi" w:hAnsiTheme="minorHAnsi"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17D1427"/>
    <w:multiLevelType w:val="hybridMultilevel"/>
    <w:tmpl w:val="7CECF4E8"/>
    <w:lvl w:ilvl="0" w:tplc="0C070017">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8" w15:restartNumberingAfterBreak="0">
    <w:nsid w:val="12917157"/>
    <w:multiLevelType w:val="hybridMultilevel"/>
    <w:tmpl w:val="BA9C7FEE"/>
    <w:lvl w:ilvl="0" w:tplc="C1348FA4">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18145DCC"/>
    <w:multiLevelType w:val="hybridMultilevel"/>
    <w:tmpl w:val="3AE4CFBC"/>
    <w:lvl w:ilvl="0" w:tplc="DFCAF888">
      <w:start w:val="1"/>
      <w:numFmt w:val="decimal"/>
      <w:lvlText w:val="%1)"/>
      <w:lvlJc w:val="left"/>
      <w:pPr>
        <w:ind w:left="786" w:hanging="360"/>
      </w:pPr>
      <w:rPr>
        <w:rFonts w:asciiTheme="minorHAnsi" w:hAnsiTheme="minorHAnsi"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593AC3"/>
    <w:multiLevelType w:val="hybridMultilevel"/>
    <w:tmpl w:val="044C21EA"/>
    <w:lvl w:ilvl="0" w:tplc="0C07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F03AF2"/>
    <w:multiLevelType w:val="hybridMultilevel"/>
    <w:tmpl w:val="2506D69A"/>
    <w:lvl w:ilvl="0" w:tplc="5F12AA18">
      <w:start w:val="1"/>
      <w:numFmt w:val="decimal"/>
      <w:lvlText w:val="%1)"/>
      <w:lvlJc w:val="left"/>
      <w:pPr>
        <w:ind w:left="720" w:hanging="360"/>
      </w:pPr>
      <w:rPr>
        <w:rFonts w:asciiTheme="minorHAnsi" w:hAnsiTheme="minorHAnsi" w:cs="Times New Roman" w:hint="default"/>
        <w:sz w:val="22"/>
        <w:szCs w:val="22"/>
        <w:lang w:val="c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594DAF"/>
    <w:multiLevelType w:val="hybridMultilevel"/>
    <w:tmpl w:val="3AE4CFBC"/>
    <w:lvl w:ilvl="0" w:tplc="DFCAF888">
      <w:start w:val="1"/>
      <w:numFmt w:val="decimal"/>
      <w:lvlText w:val="%1)"/>
      <w:lvlJc w:val="left"/>
      <w:pPr>
        <w:ind w:left="720" w:hanging="360"/>
      </w:pPr>
      <w:rPr>
        <w:rFonts w:asciiTheme="minorHAnsi" w:hAnsiTheme="minorHAnsi"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A92159"/>
    <w:multiLevelType w:val="hybridMultilevel"/>
    <w:tmpl w:val="649AF7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ACE4BD2"/>
    <w:multiLevelType w:val="hybridMultilevel"/>
    <w:tmpl w:val="4B0A1AD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3BA2F24"/>
    <w:multiLevelType w:val="hybridMultilevel"/>
    <w:tmpl w:val="8CE0E9E8"/>
    <w:lvl w:ilvl="0" w:tplc="0C07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49B4E38"/>
    <w:multiLevelType w:val="hybridMultilevel"/>
    <w:tmpl w:val="142079C2"/>
    <w:lvl w:ilvl="0" w:tplc="0C07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13854DF"/>
    <w:multiLevelType w:val="hybridMultilevel"/>
    <w:tmpl w:val="2EA82C14"/>
    <w:lvl w:ilvl="0" w:tplc="C33EA706">
      <w:start w:val="1"/>
      <w:numFmt w:val="lowerLetter"/>
      <w:lvlText w:val="%1)"/>
      <w:lvlJc w:val="left"/>
      <w:pPr>
        <w:ind w:left="1770" w:hanging="360"/>
      </w:pPr>
    </w:lvl>
    <w:lvl w:ilvl="1" w:tplc="0C070019">
      <w:start w:val="1"/>
      <w:numFmt w:val="lowerLetter"/>
      <w:lvlText w:val="%2."/>
      <w:lvlJc w:val="left"/>
      <w:pPr>
        <w:ind w:left="2490" w:hanging="360"/>
      </w:pPr>
    </w:lvl>
    <w:lvl w:ilvl="2" w:tplc="0C07001B">
      <w:start w:val="1"/>
      <w:numFmt w:val="lowerRoman"/>
      <w:lvlText w:val="%3."/>
      <w:lvlJc w:val="right"/>
      <w:pPr>
        <w:ind w:left="3210" w:hanging="180"/>
      </w:pPr>
    </w:lvl>
    <w:lvl w:ilvl="3" w:tplc="0C07000F">
      <w:start w:val="1"/>
      <w:numFmt w:val="decimal"/>
      <w:lvlText w:val="%4."/>
      <w:lvlJc w:val="left"/>
      <w:pPr>
        <w:ind w:left="3930" w:hanging="360"/>
      </w:pPr>
    </w:lvl>
    <w:lvl w:ilvl="4" w:tplc="0C070019">
      <w:start w:val="1"/>
      <w:numFmt w:val="lowerLetter"/>
      <w:lvlText w:val="%5."/>
      <w:lvlJc w:val="left"/>
      <w:pPr>
        <w:ind w:left="4650" w:hanging="360"/>
      </w:pPr>
    </w:lvl>
    <w:lvl w:ilvl="5" w:tplc="0C07001B">
      <w:start w:val="1"/>
      <w:numFmt w:val="lowerRoman"/>
      <w:lvlText w:val="%6."/>
      <w:lvlJc w:val="right"/>
      <w:pPr>
        <w:ind w:left="5370" w:hanging="180"/>
      </w:pPr>
    </w:lvl>
    <w:lvl w:ilvl="6" w:tplc="0C07000F">
      <w:start w:val="1"/>
      <w:numFmt w:val="decimal"/>
      <w:lvlText w:val="%7."/>
      <w:lvlJc w:val="left"/>
      <w:pPr>
        <w:ind w:left="6090" w:hanging="360"/>
      </w:pPr>
    </w:lvl>
    <w:lvl w:ilvl="7" w:tplc="0C070019">
      <w:start w:val="1"/>
      <w:numFmt w:val="lowerLetter"/>
      <w:lvlText w:val="%8."/>
      <w:lvlJc w:val="left"/>
      <w:pPr>
        <w:ind w:left="6810" w:hanging="360"/>
      </w:pPr>
    </w:lvl>
    <w:lvl w:ilvl="8" w:tplc="0C07001B">
      <w:start w:val="1"/>
      <w:numFmt w:val="lowerRoman"/>
      <w:lvlText w:val="%9."/>
      <w:lvlJc w:val="right"/>
      <w:pPr>
        <w:ind w:left="7530" w:hanging="180"/>
      </w:pPr>
    </w:lvl>
  </w:abstractNum>
  <w:abstractNum w:abstractNumId="18" w15:restartNumberingAfterBreak="0">
    <w:nsid w:val="420212DC"/>
    <w:multiLevelType w:val="hybridMultilevel"/>
    <w:tmpl w:val="B9580700"/>
    <w:lvl w:ilvl="0" w:tplc="0FE63126">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6016929"/>
    <w:multiLevelType w:val="hybridMultilevel"/>
    <w:tmpl w:val="ACCA5DC2"/>
    <w:lvl w:ilvl="0" w:tplc="59DA64E2">
      <w:start w:val="1"/>
      <w:numFmt w:val="decimal"/>
      <w:lvlText w:val="%1)"/>
      <w:lvlJc w:val="left"/>
      <w:pPr>
        <w:ind w:left="720" w:hanging="360"/>
      </w:pPr>
      <w:rPr>
        <w:lang w:val="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B390418"/>
    <w:multiLevelType w:val="hybridMultilevel"/>
    <w:tmpl w:val="BFF81152"/>
    <w:lvl w:ilvl="0" w:tplc="C8C02CA0">
      <w:start w:val="1"/>
      <w:numFmt w:val="decimal"/>
      <w:lvlText w:val="%1)"/>
      <w:lvlJc w:val="left"/>
      <w:pPr>
        <w:ind w:left="720" w:hanging="360"/>
      </w:pPr>
      <w:rPr>
        <w:lang w:val="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C9371D"/>
    <w:multiLevelType w:val="hybridMultilevel"/>
    <w:tmpl w:val="22AC70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3547722"/>
    <w:multiLevelType w:val="hybridMultilevel"/>
    <w:tmpl w:val="333CF4D4"/>
    <w:lvl w:ilvl="0" w:tplc="F552E96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81327F"/>
    <w:multiLevelType w:val="hybridMultilevel"/>
    <w:tmpl w:val="918C1EC4"/>
    <w:lvl w:ilvl="0" w:tplc="A468D754">
      <w:start w:val="1"/>
      <w:numFmt w:val="decimal"/>
      <w:lvlText w:val="%1)"/>
      <w:lvlJc w:val="left"/>
      <w:pPr>
        <w:ind w:left="720" w:hanging="360"/>
      </w:pPr>
      <w:rPr>
        <w:lang w:val="en-GB"/>
      </w:rPr>
    </w:lvl>
    <w:lvl w:ilvl="1" w:tplc="0C07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736E4C"/>
    <w:multiLevelType w:val="hybridMultilevel"/>
    <w:tmpl w:val="400C92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B286A11"/>
    <w:multiLevelType w:val="hybridMultilevel"/>
    <w:tmpl w:val="B7887C42"/>
    <w:lvl w:ilvl="0" w:tplc="0C07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F2014BD"/>
    <w:multiLevelType w:val="hybridMultilevel"/>
    <w:tmpl w:val="7C7C31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B161FC"/>
    <w:multiLevelType w:val="hybridMultilevel"/>
    <w:tmpl w:val="29DE985A"/>
    <w:lvl w:ilvl="0" w:tplc="04050011">
      <w:start w:val="1"/>
      <w:numFmt w:val="decimal"/>
      <w:lvlText w:val="%1)"/>
      <w:lvlJc w:val="left"/>
      <w:pPr>
        <w:ind w:left="778" w:hanging="360"/>
      </w:pPr>
    </w:lvl>
    <w:lvl w:ilvl="1" w:tplc="04050019" w:tentative="1">
      <w:start w:val="1"/>
      <w:numFmt w:val="lowerLetter"/>
      <w:lvlText w:val="%2."/>
      <w:lvlJc w:val="left"/>
      <w:pPr>
        <w:ind w:left="1498" w:hanging="360"/>
      </w:pPr>
    </w:lvl>
    <w:lvl w:ilvl="2" w:tplc="0405001B" w:tentative="1">
      <w:start w:val="1"/>
      <w:numFmt w:val="lowerRoman"/>
      <w:lvlText w:val="%3."/>
      <w:lvlJc w:val="right"/>
      <w:pPr>
        <w:ind w:left="2218" w:hanging="180"/>
      </w:pPr>
    </w:lvl>
    <w:lvl w:ilvl="3" w:tplc="0405000F" w:tentative="1">
      <w:start w:val="1"/>
      <w:numFmt w:val="decimal"/>
      <w:lvlText w:val="%4."/>
      <w:lvlJc w:val="left"/>
      <w:pPr>
        <w:ind w:left="2938" w:hanging="360"/>
      </w:pPr>
    </w:lvl>
    <w:lvl w:ilvl="4" w:tplc="04050019" w:tentative="1">
      <w:start w:val="1"/>
      <w:numFmt w:val="lowerLetter"/>
      <w:lvlText w:val="%5."/>
      <w:lvlJc w:val="left"/>
      <w:pPr>
        <w:ind w:left="3658" w:hanging="360"/>
      </w:pPr>
    </w:lvl>
    <w:lvl w:ilvl="5" w:tplc="0405001B" w:tentative="1">
      <w:start w:val="1"/>
      <w:numFmt w:val="lowerRoman"/>
      <w:lvlText w:val="%6."/>
      <w:lvlJc w:val="right"/>
      <w:pPr>
        <w:ind w:left="4378" w:hanging="180"/>
      </w:pPr>
    </w:lvl>
    <w:lvl w:ilvl="6" w:tplc="0405000F" w:tentative="1">
      <w:start w:val="1"/>
      <w:numFmt w:val="decimal"/>
      <w:lvlText w:val="%7."/>
      <w:lvlJc w:val="left"/>
      <w:pPr>
        <w:ind w:left="5098" w:hanging="360"/>
      </w:pPr>
    </w:lvl>
    <w:lvl w:ilvl="7" w:tplc="04050019" w:tentative="1">
      <w:start w:val="1"/>
      <w:numFmt w:val="lowerLetter"/>
      <w:lvlText w:val="%8."/>
      <w:lvlJc w:val="left"/>
      <w:pPr>
        <w:ind w:left="5818" w:hanging="360"/>
      </w:pPr>
    </w:lvl>
    <w:lvl w:ilvl="8" w:tplc="0405001B" w:tentative="1">
      <w:start w:val="1"/>
      <w:numFmt w:val="lowerRoman"/>
      <w:lvlText w:val="%9."/>
      <w:lvlJc w:val="right"/>
      <w:pPr>
        <w:ind w:left="6538" w:hanging="180"/>
      </w:pPr>
    </w:lvl>
  </w:abstractNum>
  <w:abstractNum w:abstractNumId="28" w15:restartNumberingAfterBreak="0">
    <w:nsid w:val="6B2B0D12"/>
    <w:multiLevelType w:val="hybridMultilevel"/>
    <w:tmpl w:val="44863700"/>
    <w:lvl w:ilvl="0" w:tplc="FFF4F5EA">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B457974"/>
    <w:multiLevelType w:val="hybridMultilevel"/>
    <w:tmpl w:val="D8C48638"/>
    <w:lvl w:ilvl="0" w:tplc="0C07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FD87B03"/>
    <w:multiLevelType w:val="hybridMultilevel"/>
    <w:tmpl w:val="CEC88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5C0A4A"/>
    <w:multiLevelType w:val="hybridMultilevel"/>
    <w:tmpl w:val="38661746"/>
    <w:lvl w:ilvl="0" w:tplc="4E661858">
      <w:start w:val="1"/>
      <w:numFmt w:val="lowerLetter"/>
      <w:lvlText w:val="%1)"/>
      <w:lvlJc w:val="left"/>
      <w:pPr>
        <w:ind w:left="1080" w:hanging="360"/>
      </w:pPr>
    </w:lvl>
    <w:lvl w:ilvl="1" w:tplc="0C07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7635435"/>
    <w:multiLevelType w:val="hybridMultilevel"/>
    <w:tmpl w:val="ECEA52D2"/>
    <w:lvl w:ilvl="0" w:tplc="91841BA6">
      <w:start w:val="1"/>
      <w:numFmt w:val="decimal"/>
      <w:lvlText w:val="%1)"/>
      <w:lvlJc w:val="left"/>
      <w:pPr>
        <w:ind w:left="720" w:hanging="360"/>
      </w:pPr>
      <w:rPr>
        <w:rFonts w:asciiTheme="minorHAnsi" w:hAnsiTheme="minorHAnsi" w:cs="Times New Roman" w:hint="default"/>
        <w:sz w:val="22"/>
        <w:szCs w:val="22"/>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470F7E"/>
    <w:multiLevelType w:val="hybridMultilevel"/>
    <w:tmpl w:val="1838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367409">
    <w:abstractNumId w:val="3"/>
  </w:num>
  <w:num w:numId="2" w16cid:durableId="3767784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64030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03378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3504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7256423">
    <w:abstractNumId w:val="9"/>
    <w:lvlOverride w:ilvl="0">
      <w:startOverride w:val="1"/>
    </w:lvlOverride>
    <w:lvlOverride w:ilvl="1"/>
    <w:lvlOverride w:ilvl="2"/>
    <w:lvlOverride w:ilvl="3"/>
    <w:lvlOverride w:ilvl="4"/>
    <w:lvlOverride w:ilvl="5"/>
    <w:lvlOverride w:ilvl="6"/>
    <w:lvlOverride w:ilvl="7"/>
    <w:lvlOverride w:ilvl="8"/>
  </w:num>
  <w:num w:numId="7" w16cid:durableId="1181506487">
    <w:abstractNumId w:val="32"/>
    <w:lvlOverride w:ilvl="0">
      <w:startOverride w:val="1"/>
    </w:lvlOverride>
    <w:lvlOverride w:ilvl="1"/>
    <w:lvlOverride w:ilvl="2"/>
    <w:lvlOverride w:ilvl="3"/>
    <w:lvlOverride w:ilvl="4"/>
    <w:lvlOverride w:ilvl="5"/>
    <w:lvlOverride w:ilvl="6"/>
    <w:lvlOverride w:ilvl="7"/>
    <w:lvlOverride w:ilvl="8"/>
  </w:num>
  <w:num w:numId="8" w16cid:durableId="1621570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2043100">
    <w:abstractNumId w:val="11"/>
    <w:lvlOverride w:ilvl="0">
      <w:startOverride w:val="1"/>
    </w:lvlOverride>
    <w:lvlOverride w:ilvl="1"/>
    <w:lvlOverride w:ilvl="2"/>
    <w:lvlOverride w:ilvl="3"/>
    <w:lvlOverride w:ilvl="4"/>
    <w:lvlOverride w:ilvl="5"/>
    <w:lvlOverride w:ilvl="6"/>
    <w:lvlOverride w:ilvl="7"/>
    <w:lvlOverride w:ilvl="8"/>
  </w:num>
  <w:num w:numId="10" w16cid:durableId="16396525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71524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21019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2959011">
    <w:abstractNumId w:val="12"/>
    <w:lvlOverride w:ilvl="0">
      <w:startOverride w:val="1"/>
    </w:lvlOverride>
    <w:lvlOverride w:ilvl="1"/>
    <w:lvlOverride w:ilvl="2"/>
    <w:lvlOverride w:ilvl="3"/>
    <w:lvlOverride w:ilvl="4"/>
    <w:lvlOverride w:ilvl="5"/>
    <w:lvlOverride w:ilvl="6"/>
    <w:lvlOverride w:ilvl="7"/>
    <w:lvlOverride w:ilvl="8"/>
  </w:num>
  <w:num w:numId="14" w16cid:durableId="1459638304">
    <w:abstractNumId w:val="1"/>
    <w:lvlOverride w:ilvl="0">
      <w:startOverride w:val="1"/>
    </w:lvlOverride>
    <w:lvlOverride w:ilvl="1"/>
    <w:lvlOverride w:ilvl="2"/>
    <w:lvlOverride w:ilvl="3"/>
    <w:lvlOverride w:ilvl="4"/>
    <w:lvlOverride w:ilvl="5"/>
    <w:lvlOverride w:ilvl="6"/>
    <w:lvlOverride w:ilvl="7"/>
    <w:lvlOverride w:ilvl="8"/>
  </w:num>
  <w:num w:numId="15" w16cid:durableId="18978894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7631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42222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13235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099549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97923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706923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3515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598275">
    <w:abstractNumId w:val="6"/>
  </w:num>
  <w:num w:numId="24" w16cid:durableId="474107070">
    <w:abstractNumId w:val="33"/>
  </w:num>
  <w:num w:numId="25" w16cid:durableId="1595161405">
    <w:abstractNumId w:val="5"/>
  </w:num>
  <w:num w:numId="26" w16cid:durableId="519584204">
    <w:abstractNumId w:val="14"/>
  </w:num>
  <w:num w:numId="27" w16cid:durableId="1688212254">
    <w:abstractNumId w:val="18"/>
  </w:num>
  <w:num w:numId="28" w16cid:durableId="67729006">
    <w:abstractNumId w:val="27"/>
  </w:num>
  <w:num w:numId="29" w16cid:durableId="1154180932">
    <w:abstractNumId w:val="26"/>
  </w:num>
  <w:num w:numId="30" w16cid:durableId="2040423833">
    <w:abstractNumId w:val="2"/>
  </w:num>
  <w:num w:numId="31" w16cid:durableId="2013682960">
    <w:abstractNumId w:val="0"/>
  </w:num>
  <w:num w:numId="32" w16cid:durableId="1758401804">
    <w:abstractNumId w:val="30"/>
  </w:num>
  <w:num w:numId="33" w16cid:durableId="861300">
    <w:abstractNumId w:val="13"/>
  </w:num>
  <w:num w:numId="34" w16cid:durableId="1619406626">
    <w:abstractNumId w:val="24"/>
  </w:num>
  <w:num w:numId="35" w16cid:durableId="13578040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49F"/>
    <w:rsid w:val="00001DF8"/>
    <w:rsid w:val="00004D23"/>
    <w:rsid w:val="00013128"/>
    <w:rsid w:val="00035212"/>
    <w:rsid w:val="000359D7"/>
    <w:rsid w:val="000439F5"/>
    <w:rsid w:val="00061F03"/>
    <w:rsid w:val="00061FEC"/>
    <w:rsid w:val="00067398"/>
    <w:rsid w:val="00077F58"/>
    <w:rsid w:val="00080C0B"/>
    <w:rsid w:val="00091ECF"/>
    <w:rsid w:val="000A1DF9"/>
    <w:rsid w:val="000A541E"/>
    <w:rsid w:val="000D6417"/>
    <w:rsid w:val="000E4C50"/>
    <w:rsid w:val="000E7891"/>
    <w:rsid w:val="000F2FF0"/>
    <w:rsid w:val="0010158D"/>
    <w:rsid w:val="00107594"/>
    <w:rsid w:val="001213CC"/>
    <w:rsid w:val="00122EF7"/>
    <w:rsid w:val="00126B85"/>
    <w:rsid w:val="00127C63"/>
    <w:rsid w:val="0013318F"/>
    <w:rsid w:val="0013331E"/>
    <w:rsid w:val="00136253"/>
    <w:rsid w:val="00136917"/>
    <w:rsid w:val="0013763A"/>
    <w:rsid w:val="001521D4"/>
    <w:rsid w:val="0015331B"/>
    <w:rsid w:val="00154760"/>
    <w:rsid w:val="001577C5"/>
    <w:rsid w:val="00174A7F"/>
    <w:rsid w:val="00174E55"/>
    <w:rsid w:val="00177F20"/>
    <w:rsid w:val="00181070"/>
    <w:rsid w:val="0018227C"/>
    <w:rsid w:val="00183115"/>
    <w:rsid w:val="00186CFB"/>
    <w:rsid w:val="00187820"/>
    <w:rsid w:val="0019469E"/>
    <w:rsid w:val="001A1B63"/>
    <w:rsid w:val="001A449F"/>
    <w:rsid w:val="001A55F2"/>
    <w:rsid w:val="001A7858"/>
    <w:rsid w:val="001B3607"/>
    <w:rsid w:val="001D161A"/>
    <w:rsid w:val="001D1A42"/>
    <w:rsid w:val="001D382A"/>
    <w:rsid w:val="001D4475"/>
    <w:rsid w:val="001E17B1"/>
    <w:rsid w:val="001E39AA"/>
    <w:rsid w:val="001F62AD"/>
    <w:rsid w:val="001F76D7"/>
    <w:rsid w:val="002000EE"/>
    <w:rsid w:val="00203905"/>
    <w:rsid w:val="002148F7"/>
    <w:rsid w:val="00215E3B"/>
    <w:rsid w:val="002160B8"/>
    <w:rsid w:val="00224561"/>
    <w:rsid w:val="002338E7"/>
    <w:rsid w:val="00245581"/>
    <w:rsid w:val="002568EB"/>
    <w:rsid w:val="00256AC5"/>
    <w:rsid w:val="00263B09"/>
    <w:rsid w:val="00280D95"/>
    <w:rsid w:val="002848F6"/>
    <w:rsid w:val="0029310A"/>
    <w:rsid w:val="002969BA"/>
    <w:rsid w:val="002A71F9"/>
    <w:rsid w:val="002C3469"/>
    <w:rsid w:val="002D4071"/>
    <w:rsid w:val="002D5DE7"/>
    <w:rsid w:val="002F0F7E"/>
    <w:rsid w:val="002F7BF4"/>
    <w:rsid w:val="00303A68"/>
    <w:rsid w:val="00303F0F"/>
    <w:rsid w:val="00307315"/>
    <w:rsid w:val="0031092A"/>
    <w:rsid w:val="003209D9"/>
    <w:rsid w:val="00322643"/>
    <w:rsid w:val="003316D9"/>
    <w:rsid w:val="00337A4B"/>
    <w:rsid w:val="003434DE"/>
    <w:rsid w:val="0036259D"/>
    <w:rsid w:val="00372C93"/>
    <w:rsid w:val="003758F7"/>
    <w:rsid w:val="0037642E"/>
    <w:rsid w:val="00381BB4"/>
    <w:rsid w:val="00382318"/>
    <w:rsid w:val="00382E45"/>
    <w:rsid w:val="0039028E"/>
    <w:rsid w:val="00393A22"/>
    <w:rsid w:val="0039440C"/>
    <w:rsid w:val="003A6EFD"/>
    <w:rsid w:val="003B231C"/>
    <w:rsid w:val="003B3EC5"/>
    <w:rsid w:val="003C175E"/>
    <w:rsid w:val="003C2422"/>
    <w:rsid w:val="003D0E62"/>
    <w:rsid w:val="003D139D"/>
    <w:rsid w:val="003D20B3"/>
    <w:rsid w:val="003D3E30"/>
    <w:rsid w:val="003F1A3B"/>
    <w:rsid w:val="00420A66"/>
    <w:rsid w:val="0042437E"/>
    <w:rsid w:val="00433B94"/>
    <w:rsid w:val="004405EC"/>
    <w:rsid w:val="00443B6D"/>
    <w:rsid w:val="0044728D"/>
    <w:rsid w:val="004516F6"/>
    <w:rsid w:val="0047230E"/>
    <w:rsid w:val="00480A6B"/>
    <w:rsid w:val="004835DF"/>
    <w:rsid w:val="00490B03"/>
    <w:rsid w:val="00492C96"/>
    <w:rsid w:val="004932AD"/>
    <w:rsid w:val="004B004D"/>
    <w:rsid w:val="004B433D"/>
    <w:rsid w:val="004B730C"/>
    <w:rsid w:val="004D0B62"/>
    <w:rsid w:val="004D1641"/>
    <w:rsid w:val="004E3859"/>
    <w:rsid w:val="004E3E38"/>
    <w:rsid w:val="004E7013"/>
    <w:rsid w:val="00510BF9"/>
    <w:rsid w:val="00515CE7"/>
    <w:rsid w:val="00525BFA"/>
    <w:rsid w:val="00527851"/>
    <w:rsid w:val="00534463"/>
    <w:rsid w:val="005401C8"/>
    <w:rsid w:val="00545644"/>
    <w:rsid w:val="00545762"/>
    <w:rsid w:val="0055589B"/>
    <w:rsid w:val="00556A8E"/>
    <w:rsid w:val="00560BD9"/>
    <w:rsid w:val="00561E71"/>
    <w:rsid w:val="00562CA2"/>
    <w:rsid w:val="00567310"/>
    <w:rsid w:val="00581AE8"/>
    <w:rsid w:val="00585B1C"/>
    <w:rsid w:val="00594ADF"/>
    <w:rsid w:val="0059711E"/>
    <w:rsid w:val="005A154A"/>
    <w:rsid w:val="005A2350"/>
    <w:rsid w:val="005A31FB"/>
    <w:rsid w:val="005A32CD"/>
    <w:rsid w:val="005A4089"/>
    <w:rsid w:val="005A5180"/>
    <w:rsid w:val="005A7D2E"/>
    <w:rsid w:val="005C0B74"/>
    <w:rsid w:val="005D170C"/>
    <w:rsid w:val="005D3351"/>
    <w:rsid w:val="005D3B21"/>
    <w:rsid w:val="005D634E"/>
    <w:rsid w:val="005D71C5"/>
    <w:rsid w:val="005E2AF7"/>
    <w:rsid w:val="005E4F49"/>
    <w:rsid w:val="005F14FF"/>
    <w:rsid w:val="006033BF"/>
    <w:rsid w:val="00610743"/>
    <w:rsid w:val="00611326"/>
    <w:rsid w:val="00611E30"/>
    <w:rsid w:val="00612E95"/>
    <w:rsid w:val="006146EF"/>
    <w:rsid w:val="00615446"/>
    <w:rsid w:val="0061613E"/>
    <w:rsid w:val="00634898"/>
    <w:rsid w:val="00645C6E"/>
    <w:rsid w:val="00647533"/>
    <w:rsid w:val="00647958"/>
    <w:rsid w:val="00650896"/>
    <w:rsid w:val="00653314"/>
    <w:rsid w:val="0065464D"/>
    <w:rsid w:val="006547C4"/>
    <w:rsid w:val="00660381"/>
    <w:rsid w:val="00665E05"/>
    <w:rsid w:val="00667CBF"/>
    <w:rsid w:val="00675E03"/>
    <w:rsid w:val="00676CA2"/>
    <w:rsid w:val="00682E98"/>
    <w:rsid w:val="00693441"/>
    <w:rsid w:val="00694A20"/>
    <w:rsid w:val="0069655F"/>
    <w:rsid w:val="006B7C58"/>
    <w:rsid w:val="006C0B1A"/>
    <w:rsid w:val="006C17D8"/>
    <w:rsid w:val="006C742E"/>
    <w:rsid w:val="006D2134"/>
    <w:rsid w:val="006D3F88"/>
    <w:rsid w:val="006E270D"/>
    <w:rsid w:val="006F6D58"/>
    <w:rsid w:val="006F7255"/>
    <w:rsid w:val="00701C43"/>
    <w:rsid w:val="00705154"/>
    <w:rsid w:val="00706D89"/>
    <w:rsid w:val="00707C8C"/>
    <w:rsid w:val="00720BF8"/>
    <w:rsid w:val="00722D79"/>
    <w:rsid w:val="0072618A"/>
    <w:rsid w:val="007312DF"/>
    <w:rsid w:val="0074403D"/>
    <w:rsid w:val="0075793F"/>
    <w:rsid w:val="00776B5D"/>
    <w:rsid w:val="00780B84"/>
    <w:rsid w:val="007957B2"/>
    <w:rsid w:val="007A2C83"/>
    <w:rsid w:val="007B1DC5"/>
    <w:rsid w:val="007B5EFF"/>
    <w:rsid w:val="007E4DE3"/>
    <w:rsid w:val="007E5518"/>
    <w:rsid w:val="007E7BD7"/>
    <w:rsid w:val="007E7C09"/>
    <w:rsid w:val="007F006A"/>
    <w:rsid w:val="00806C41"/>
    <w:rsid w:val="008159B7"/>
    <w:rsid w:val="008239FC"/>
    <w:rsid w:val="008265C2"/>
    <w:rsid w:val="008301A6"/>
    <w:rsid w:val="00831E05"/>
    <w:rsid w:val="008406FB"/>
    <w:rsid w:val="00846797"/>
    <w:rsid w:val="00850927"/>
    <w:rsid w:val="00850ACA"/>
    <w:rsid w:val="0086783A"/>
    <w:rsid w:val="00867F7E"/>
    <w:rsid w:val="00890A8F"/>
    <w:rsid w:val="008B07BE"/>
    <w:rsid w:val="008C4408"/>
    <w:rsid w:val="008C55E9"/>
    <w:rsid w:val="008D1585"/>
    <w:rsid w:val="008D7AC3"/>
    <w:rsid w:val="008E0341"/>
    <w:rsid w:val="008E393D"/>
    <w:rsid w:val="008F0F33"/>
    <w:rsid w:val="00905AB1"/>
    <w:rsid w:val="00924810"/>
    <w:rsid w:val="009309A7"/>
    <w:rsid w:val="009345EC"/>
    <w:rsid w:val="00935FCB"/>
    <w:rsid w:val="00957278"/>
    <w:rsid w:val="009632D0"/>
    <w:rsid w:val="00971709"/>
    <w:rsid w:val="009830A9"/>
    <w:rsid w:val="00984154"/>
    <w:rsid w:val="009844AB"/>
    <w:rsid w:val="00992995"/>
    <w:rsid w:val="00995E80"/>
    <w:rsid w:val="009A0176"/>
    <w:rsid w:val="009A1F01"/>
    <w:rsid w:val="009A7749"/>
    <w:rsid w:val="009A7A57"/>
    <w:rsid w:val="009B6683"/>
    <w:rsid w:val="009C016B"/>
    <w:rsid w:val="009C4CC8"/>
    <w:rsid w:val="009D0E51"/>
    <w:rsid w:val="009D3092"/>
    <w:rsid w:val="009D5052"/>
    <w:rsid w:val="009E121D"/>
    <w:rsid w:val="009E4CC8"/>
    <w:rsid w:val="009F0702"/>
    <w:rsid w:val="009F4FC5"/>
    <w:rsid w:val="009F7B28"/>
    <w:rsid w:val="00A04393"/>
    <w:rsid w:val="00A116B8"/>
    <w:rsid w:val="00A12244"/>
    <w:rsid w:val="00A15CAF"/>
    <w:rsid w:val="00A22AE9"/>
    <w:rsid w:val="00A24760"/>
    <w:rsid w:val="00A31268"/>
    <w:rsid w:val="00A42D9E"/>
    <w:rsid w:val="00A431F8"/>
    <w:rsid w:val="00A4691E"/>
    <w:rsid w:val="00A50FB8"/>
    <w:rsid w:val="00A57643"/>
    <w:rsid w:val="00A57B1B"/>
    <w:rsid w:val="00A656EB"/>
    <w:rsid w:val="00A667B1"/>
    <w:rsid w:val="00A945D3"/>
    <w:rsid w:val="00A96F7F"/>
    <w:rsid w:val="00A97322"/>
    <w:rsid w:val="00AB374F"/>
    <w:rsid w:val="00AB5924"/>
    <w:rsid w:val="00AC65D0"/>
    <w:rsid w:val="00AC6AAD"/>
    <w:rsid w:val="00AE6177"/>
    <w:rsid w:val="00AF19B9"/>
    <w:rsid w:val="00AF3FFA"/>
    <w:rsid w:val="00AF4380"/>
    <w:rsid w:val="00AF570E"/>
    <w:rsid w:val="00B05A31"/>
    <w:rsid w:val="00B247CF"/>
    <w:rsid w:val="00B32070"/>
    <w:rsid w:val="00B34A21"/>
    <w:rsid w:val="00B35037"/>
    <w:rsid w:val="00B42628"/>
    <w:rsid w:val="00B435CB"/>
    <w:rsid w:val="00B606A7"/>
    <w:rsid w:val="00B60F93"/>
    <w:rsid w:val="00B71C50"/>
    <w:rsid w:val="00B73E23"/>
    <w:rsid w:val="00B8122F"/>
    <w:rsid w:val="00B87B46"/>
    <w:rsid w:val="00B91A38"/>
    <w:rsid w:val="00B92898"/>
    <w:rsid w:val="00B97E32"/>
    <w:rsid w:val="00BB5795"/>
    <w:rsid w:val="00BD05A0"/>
    <w:rsid w:val="00BD45BD"/>
    <w:rsid w:val="00BE5736"/>
    <w:rsid w:val="00BF0C42"/>
    <w:rsid w:val="00C00C05"/>
    <w:rsid w:val="00C05D6C"/>
    <w:rsid w:val="00C10CBB"/>
    <w:rsid w:val="00C13E9F"/>
    <w:rsid w:val="00C1661B"/>
    <w:rsid w:val="00C36437"/>
    <w:rsid w:val="00C5497B"/>
    <w:rsid w:val="00C57F36"/>
    <w:rsid w:val="00C6148B"/>
    <w:rsid w:val="00C61FC2"/>
    <w:rsid w:val="00C6744B"/>
    <w:rsid w:val="00C70E68"/>
    <w:rsid w:val="00C75185"/>
    <w:rsid w:val="00C765C2"/>
    <w:rsid w:val="00C777DA"/>
    <w:rsid w:val="00C86D25"/>
    <w:rsid w:val="00CA60B8"/>
    <w:rsid w:val="00CA6A70"/>
    <w:rsid w:val="00CB34F3"/>
    <w:rsid w:val="00CC583B"/>
    <w:rsid w:val="00CC6380"/>
    <w:rsid w:val="00CE0B49"/>
    <w:rsid w:val="00CE6CCA"/>
    <w:rsid w:val="00CF3090"/>
    <w:rsid w:val="00CF4360"/>
    <w:rsid w:val="00CF480D"/>
    <w:rsid w:val="00D00916"/>
    <w:rsid w:val="00D04032"/>
    <w:rsid w:val="00D0498C"/>
    <w:rsid w:val="00D055CF"/>
    <w:rsid w:val="00D05D21"/>
    <w:rsid w:val="00D131BE"/>
    <w:rsid w:val="00D15944"/>
    <w:rsid w:val="00D253C9"/>
    <w:rsid w:val="00D30BDD"/>
    <w:rsid w:val="00D365C3"/>
    <w:rsid w:val="00D37EE4"/>
    <w:rsid w:val="00D4314D"/>
    <w:rsid w:val="00D445A7"/>
    <w:rsid w:val="00D51392"/>
    <w:rsid w:val="00D543E2"/>
    <w:rsid w:val="00D63AC5"/>
    <w:rsid w:val="00D72310"/>
    <w:rsid w:val="00D76F49"/>
    <w:rsid w:val="00D921FA"/>
    <w:rsid w:val="00D9744B"/>
    <w:rsid w:val="00DA52FA"/>
    <w:rsid w:val="00DA654E"/>
    <w:rsid w:val="00DB4655"/>
    <w:rsid w:val="00DC4E7C"/>
    <w:rsid w:val="00DD7629"/>
    <w:rsid w:val="00DE7401"/>
    <w:rsid w:val="00DF6999"/>
    <w:rsid w:val="00E1155A"/>
    <w:rsid w:val="00E12A0D"/>
    <w:rsid w:val="00E22C1B"/>
    <w:rsid w:val="00E238A6"/>
    <w:rsid w:val="00E25C3B"/>
    <w:rsid w:val="00E467A6"/>
    <w:rsid w:val="00E46BB0"/>
    <w:rsid w:val="00E55B8C"/>
    <w:rsid w:val="00E61AA4"/>
    <w:rsid w:val="00E72F7C"/>
    <w:rsid w:val="00E83904"/>
    <w:rsid w:val="00E873A0"/>
    <w:rsid w:val="00EA0A22"/>
    <w:rsid w:val="00EA13B4"/>
    <w:rsid w:val="00EA3971"/>
    <w:rsid w:val="00EC5510"/>
    <w:rsid w:val="00ED1567"/>
    <w:rsid w:val="00ED4130"/>
    <w:rsid w:val="00EE57B4"/>
    <w:rsid w:val="00EE64EB"/>
    <w:rsid w:val="00EF5620"/>
    <w:rsid w:val="00F03026"/>
    <w:rsid w:val="00F13F2A"/>
    <w:rsid w:val="00F158EB"/>
    <w:rsid w:val="00F25199"/>
    <w:rsid w:val="00F30DF0"/>
    <w:rsid w:val="00F32622"/>
    <w:rsid w:val="00F40288"/>
    <w:rsid w:val="00F4366E"/>
    <w:rsid w:val="00F51099"/>
    <w:rsid w:val="00F53E6D"/>
    <w:rsid w:val="00F75220"/>
    <w:rsid w:val="00F80A66"/>
    <w:rsid w:val="00F9687F"/>
    <w:rsid w:val="00FA4AAE"/>
    <w:rsid w:val="00FA7A83"/>
    <w:rsid w:val="00FB534A"/>
    <w:rsid w:val="00FC6A17"/>
    <w:rsid w:val="00FD1D98"/>
    <w:rsid w:val="00FD58CB"/>
    <w:rsid w:val="00FE6C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650075"/>
  <w15:chartTrackingRefBased/>
  <w15:docId w15:val="{284F542A-C980-4B6B-8E4A-B54109A3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694A20"/>
    <w:pPr>
      <w:keepNext/>
      <w:numPr>
        <w:numId w:val="1"/>
      </w:numPr>
      <w:tabs>
        <w:tab w:val="left" w:pos="680"/>
      </w:tabs>
      <w:spacing w:after="240" w:line="276" w:lineRule="auto"/>
      <w:jc w:val="both"/>
      <w:outlineLvl w:val="0"/>
    </w:pPr>
    <w:rPr>
      <w:rFonts w:ascii="Arial" w:hAnsi="Arial" w:cs="Arial"/>
      <w:b/>
      <w:bCs/>
      <w:sz w:val="36"/>
      <w:szCs w:val="24"/>
      <w:lang w:val="cs" w:eastAsia="de-AT"/>
    </w:rPr>
  </w:style>
  <w:style w:type="paragraph" w:styleId="Nadpis2">
    <w:name w:val="heading 2"/>
    <w:basedOn w:val="Normln"/>
    <w:next w:val="Normln"/>
    <w:link w:val="Nadpis2Char"/>
    <w:autoRedefine/>
    <w:qFormat/>
    <w:rsid w:val="00245581"/>
    <w:pPr>
      <w:keepNext/>
      <w:numPr>
        <w:ilvl w:val="1"/>
        <w:numId w:val="1"/>
      </w:numPr>
      <w:tabs>
        <w:tab w:val="left" w:pos="680"/>
      </w:tabs>
      <w:spacing w:before="120" w:after="240" w:line="276" w:lineRule="auto"/>
      <w:ind w:left="1002"/>
      <w:jc w:val="both"/>
      <w:outlineLvl w:val="1"/>
    </w:pPr>
    <w:rPr>
      <w:rFonts w:cstheme="minorHAnsi"/>
      <w:b/>
      <w:bCs/>
      <w:iCs/>
      <w:sz w:val="28"/>
      <w:szCs w:val="28"/>
      <w:lang w:val="cs" w:eastAsia="de-AT"/>
    </w:rPr>
  </w:style>
  <w:style w:type="paragraph" w:styleId="Nadpis3">
    <w:name w:val="heading 3"/>
    <w:basedOn w:val="Normln"/>
    <w:next w:val="Normln"/>
    <w:link w:val="Nadpis3Char"/>
    <w:qFormat/>
    <w:rsid w:val="006033BF"/>
    <w:pPr>
      <w:keepNext/>
      <w:numPr>
        <w:ilvl w:val="2"/>
        <w:numId w:val="1"/>
      </w:numPr>
      <w:tabs>
        <w:tab w:val="left" w:pos="680"/>
      </w:tabs>
      <w:spacing w:before="120" w:after="120" w:line="276" w:lineRule="auto"/>
      <w:jc w:val="both"/>
      <w:outlineLvl w:val="2"/>
    </w:pPr>
    <w:rPr>
      <w:rFonts w:ascii="Arial" w:hAnsi="Arial" w:cs="Arial"/>
      <w:b/>
      <w:bCs/>
      <w:sz w:val="24"/>
      <w:szCs w:val="26"/>
      <w:lang w:val="cs" w:eastAsia="de-A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94A20"/>
    <w:rPr>
      <w:rFonts w:ascii="Arial" w:hAnsi="Arial" w:cs="Arial"/>
      <w:b/>
      <w:bCs/>
      <w:sz w:val="36"/>
      <w:szCs w:val="24"/>
      <w:lang w:val="cs" w:eastAsia="de-AT"/>
    </w:rPr>
  </w:style>
  <w:style w:type="character" w:customStyle="1" w:styleId="Nadpis2Char">
    <w:name w:val="Nadpis 2 Char"/>
    <w:basedOn w:val="Standardnpsmoodstavce"/>
    <w:link w:val="Nadpis2"/>
    <w:rsid w:val="00245581"/>
    <w:rPr>
      <w:rFonts w:cstheme="minorHAnsi"/>
      <w:b/>
      <w:bCs/>
      <w:iCs/>
      <w:sz w:val="28"/>
      <w:szCs w:val="28"/>
      <w:lang w:val="cs" w:eastAsia="de-AT"/>
    </w:rPr>
  </w:style>
  <w:style w:type="character" w:customStyle="1" w:styleId="Nadpis3Char">
    <w:name w:val="Nadpis 3 Char"/>
    <w:basedOn w:val="Standardnpsmoodstavce"/>
    <w:link w:val="Nadpis3"/>
    <w:rsid w:val="006033BF"/>
    <w:rPr>
      <w:rFonts w:ascii="Arial" w:hAnsi="Arial" w:cs="Arial"/>
      <w:b/>
      <w:bCs/>
      <w:sz w:val="24"/>
      <w:szCs w:val="26"/>
      <w:lang w:val="cs" w:eastAsia="de-AT"/>
    </w:rPr>
  </w:style>
  <w:style w:type="paragraph" w:styleId="Textpoznpodarou">
    <w:name w:val="footnote text"/>
    <w:basedOn w:val="Normln"/>
    <w:link w:val="TextpoznpodarouChar"/>
    <w:semiHidden/>
    <w:rsid w:val="00224561"/>
    <w:pPr>
      <w:spacing w:after="120" w:line="288" w:lineRule="auto"/>
    </w:pPr>
    <w:rPr>
      <w:rFonts w:ascii="Arial" w:eastAsia="Times New Roman" w:hAnsi="Arial" w:cs="Times New Roman"/>
      <w:szCs w:val="20"/>
      <w:lang w:val="en-GB" w:eastAsia="de-DE"/>
    </w:rPr>
  </w:style>
  <w:style w:type="character" w:customStyle="1" w:styleId="TextpoznpodarouChar">
    <w:name w:val="Text pozn. pod čarou Char"/>
    <w:basedOn w:val="Standardnpsmoodstavce"/>
    <w:link w:val="Textpoznpodarou"/>
    <w:semiHidden/>
    <w:rsid w:val="00224561"/>
    <w:rPr>
      <w:rFonts w:ascii="Arial" w:eastAsia="Times New Roman" w:hAnsi="Arial" w:cs="Times New Roman"/>
      <w:szCs w:val="20"/>
      <w:lang w:val="en-GB" w:eastAsia="de-DE"/>
    </w:rPr>
  </w:style>
  <w:style w:type="character" w:styleId="Znakapoznpodarou">
    <w:name w:val="footnote reference"/>
    <w:semiHidden/>
    <w:rsid w:val="00224561"/>
    <w:rPr>
      <w:vertAlign w:val="superscript"/>
    </w:rPr>
  </w:style>
  <w:style w:type="table" w:customStyle="1" w:styleId="Table3">
    <w:name w:val="Table3"/>
    <w:basedOn w:val="Normlntabulka"/>
    <w:next w:val="Mkatabulky"/>
    <w:rsid w:val="00224561"/>
    <w:pPr>
      <w:spacing w:after="0" w:line="240" w:lineRule="auto"/>
    </w:pPr>
    <w:rPr>
      <w:rFonts w:ascii="Arial" w:eastAsia="Times New Roman" w:hAnsi="Arial" w:cs="Times New Roman"/>
      <w:sz w:val="18"/>
      <w:szCs w:val="20"/>
      <w:lang w:val="en-GB" w:eastAsia="en-GB"/>
    </w:rPr>
    <w:tblPr>
      <w:tblBorders>
        <w:top w:val="single" w:sz="4" w:space="0" w:color="083676"/>
        <w:left w:val="single" w:sz="4" w:space="0" w:color="083676"/>
        <w:bottom w:val="single" w:sz="4" w:space="0" w:color="083676"/>
        <w:right w:val="single" w:sz="4" w:space="0" w:color="083676"/>
        <w:insideH w:val="single" w:sz="4" w:space="0" w:color="083676"/>
        <w:insideV w:val="single" w:sz="4" w:space="0" w:color="083676"/>
      </w:tblBorders>
      <w:tblCellMar>
        <w:left w:w="85" w:type="dxa"/>
        <w:right w:w="85" w:type="dxa"/>
      </w:tblCellMar>
    </w:tblPr>
    <w:tcPr>
      <w:shd w:val="clear" w:color="auto" w:fill="auto"/>
      <w:noWrap/>
      <w:tcMar>
        <w:top w:w="57" w:type="dxa"/>
      </w:tcMar>
      <w:vAlign w:val="center"/>
    </w:tcPr>
    <w:tblStylePr w:type="firstRow">
      <w:rPr>
        <w:rFonts w:ascii="Arial" w:hAnsi="Arial"/>
        <w:b/>
        <w:color w:val="FFFFFF"/>
        <w:sz w:val="18"/>
      </w:rPr>
      <w:tblPr/>
      <w:tcPr>
        <w:tcBorders>
          <w:top w:val="single" w:sz="4" w:space="0" w:color="083676"/>
          <w:left w:val="single" w:sz="4" w:space="0" w:color="083676"/>
          <w:bottom w:val="single" w:sz="4" w:space="0" w:color="083676"/>
          <w:right w:val="single" w:sz="4" w:space="0" w:color="083676"/>
          <w:insideH w:val="single" w:sz="4" w:space="0" w:color="083676"/>
          <w:insideV w:val="single" w:sz="4" w:space="0" w:color="083676"/>
          <w:tl2br w:val="nil"/>
          <w:tr2bl w:val="nil"/>
        </w:tcBorders>
        <w:shd w:val="clear" w:color="auto" w:fill="083676"/>
      </w:tcPr>
    </w:tblStylePr>
  </w:style>
  <w:style w:type="table" w:styleId="Mkatabulky">
    <w:name w:val="Table Grid"/>
    <w:basedOn w:val="Normlntabulka"/>
    <w:uiPriority w:val="39"/>
    <w:rsid w:val="00224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1">
    <w:name w:val="toc 1"/>
    <w:basedOn w:val="Normln"/>
    <w:next w:val="Normln"/>
    <w:autoRedefine/>
    <w:uiPriority w:val="39"/>
    <w:unhideWhenUsed/>
    <w:rsid w:val="00AC65D0"/>
    <w:pPr>
      <w:spacing w:after="100"/>
    </w:pPr>
  </w:style>
  <w:style w:type="paragraph" w:styleId="Obsah2">
    <w:name w:val="toc 2"/>
    <w:basedOn w:val="Normln"/>
    <w:next w:val="Normln"/>
    <w:autoRedefine/>
    <w:uiPriority w:val="39"/>
    <w:unhideWhenUsed/>
    <w:rsid w:val="00AC65D0"/>
    <w:pPr>
      <w:spacing w:after="100"/>
      <w:ind w:left="220"/>
    </w:pPr>
  </w:style>
  <w:style w:type="paragraph" w:styleId="Obsah3">
    <w:name w:val="toc 3"/>
    <w:basedOn w:val="Normln"/>
    <w:next w:val="Normln"/>
    <w:autoRedefine/>
    <w:uiPriority w:val="39"/>
    <w:unhideWhenUsed/>
    <w:rsid w:val="00AC65D0"/>
    <w:pPr>
      <w:spacing w:after="100"/>
      <w:ind w:left="440"/>
    </w:pPr>
  </w:style>
  <w:style w:type="character" w:styleId="Hypertextovodkaz">
    <w:name w:val="Hyperlink"/>
    <w:basedOn w:val="Standardnpsmoodstavce"/>
    <w:uiPriority w:val="99"/>
    <w:unhideWhenUsed/>
    <w:rsid w:val="00AC65D0"/>
    <w:rPr>
      <w:color w:val="0563C1" w:themeColor="hyperlink"/>
      <w:u w:val="single"/>
    </w:rPr>
  </w:style>
  <w:style w:type="paragraph" w:customStyle="1" w:styleId="Default">
    <w:name w:val="Default"/>
    <w:rsid w:val="00510BF9"/>
    <w:pPr>
      <w:autoSpaceDE w:val="0"/>
      <w:autoSpaceDN w:val="0"/>
      <w:adjustRightInd w:val="0"/>
      <w:spacing w:after="0" w:line="240" w:lineRule="auto"/>
    </w:pPr>
    <w:rPr>
      <w:rFonts w:ascii="Arial" w:hAnsi="Arial" w:cs="Arial"/>
      <w:color w:val="000000"/>
      <w:sz w:val="24"/>
      <w:szCs w:val="24"/>
      <w:lang w:val="cs-CZ"/>
    </w:rPr>
  </w:style>
  <w:style w:type="paragraph" w:styleId="Zhlav">
    <w:name w:val="header"/>
    <w:basedOn w:val="Normln"/>
    <w:link w:val="ZhlavChar"/>
    <w:uiPriority w:val="99"/>
    <w:unhideWhenUsed/>
    <w:rsid w:val="0092481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4810"/>
  </w:style>
  <w:style w:type="paragraph" w:styleId="Zpat">
    <w:name w:val="footer"/>
    <w:basedOn w:val="Normln"/>
    <w:link w:val="ZpatChar"/>
    <w:uiPriority w:val="99"/>
    <w:unhideWhenUsed/>
    <w:rsid w:val="00924810"/>
    <w:pPr>
      <w:tabs>
        <w:tab w:val="center" w:pos="4536"/>
        <w:tab w:val="right" w:pos="9072"/>
      </w:tabs>
      <w:spacing w:after="0" w:line="240" w:lineRule="auto"/>
    </w:pPr>
  </w:style>
  <w:style w:type="character" w:customStyle="1" w:styleId="ZpatChar">
    <w:name w:val="Zápatí Char"/>
    <w:basedOn w:val="Standardnpsmoodstavce"/>
    <w:link w:val="Zpat"/>
    <w:uiPriority w:val="99"/>
    <w:rsid w:val="00924810"/>
  </w:style>
  <w:style w:type="paragraph" w:styleId="Odstavecseseznamem">
    <w:name w:val="List Paragraph"/>
    <w:basedOn w:val="Normln"/>
    <w:uiPriority w:val="34"/>
    <w:qFormat/>
    <w:rsid w:val="00174E55"/>
    <w:pPr>
      <w:ind w:left="720"/>
      <w:contextualSpacing/>
    </w:pPr>
  </w:style>
  <w:style w:type="paragraph" w:styleId="Textbubliny">
    <w:name w:val="Balloon Text"/>
    <w:basedOn w:val="Normln"/>
    <w:link w:val="TextbublinyChar"/>
    <w:uiPriority w:val="99"/>
    <w:semiHidden/>
    <w:unhideWhenUsed/>
    <w:rsid w:val="007E7C0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E7C09"/>
    <w:rPr>
      <w:rFonts w:ascii="Segoe UI" w:hAnsi="Segoe UI" w:cs="Segoe UI"/>
      <w:sz w:val="18"/>
      <w:szCs w:val="18"/>
    </w:rPr>
  </w:style>
  <w:style w:type="paragraph" w:customStyle="1" w:styleId="Zkladntext-odsazen">
    <w:name w:val="Základní text - odsazený"/>
    <w:basedOn w:val="Zkladntext"/>
    <w:rsid w:val="00527851"/>
    <w:pPr>
      <w:suppressAutoHyphens/>
      <w:autoSpaceDE w:val="0"/>
      <w:autoSpaceDN w:val="0"/>
      <w:adjustRightInd w:val="0"/>
      <w:spacing w:before="80" w:after="0" w:line="240" w:lineRule="auto"/>
      <w:ind w:left="540" w:right="3" w:hanging="540"/>
      <w:jc w:val="both"/>
    </w:pPr>
    <w:rPr>
      <w:rFonts w:ascii="Verdana" w:eastAsia="Times New Roman" w:hAnsi="Verdana" w:cs="Times New Roman"/>
      <w:sz w:val="20"/>
      <w:szCs w:val="20"/>
      <w:lang w:val="cs-CZ" w:eastAsia="ar-SA"/>
    </w:rPr>
  </w:style>
  <w:style w:type="paragraph" w:styleId="Zkladntext">
    <w:name w:val="Body Text"/>
    <w:basedOn w:val="Normln"/>
    <w:link w:val="ZkladntextChar"/>
    <w:uiPriority w:val="99"/>
    <w:semiHidden/>
    <w:unhideWhenUsed/>
    <w:rsid w:val="00527851"/>
    <w:pPr>
      <w:spacing w:after="120"/>
    </w:pPr>
  </w:style>
  <w:style w:type="character" w:customStyle="1" w:styleId="ZkladntextChar">
    <w:name w:val="Základní text Char"/>
    <w:basedOn w:val="Standardnpsmoodstavce"/>
    <w:link w:val="Zkladntext"/>
    <w:uiPriority w:val="99"/>
    <w:semiHidden/>
    <w:rsid w:val="00527851"/>
  </w:style>
  <w:style w:type="paragraph" w:customStyle="1" w:styleId="TableContent">
    <w:name w:val="Table Content"/>
    <w:basedOn w:val="Normln"/>
    <w:link w:val="TableContentZchn"/>
    <w:qFormat/>
    <w:rsid w:val="00B71C50"/>
    <w:pPr>
      <w:spacing w:after="0" w:line="288" w:lineRule="auto"/>
    </w:pPr>
    <w:rPr>
      <w:rFonts w:ascii="Arial" w:eastAsia="Times New Roman" w:hAnsi="Arial" w:cs="Times New Roman"/>
      <w:sz w:val="18"/>
      <w:szCs w:val="24"/>
      <w:lang w:val="en-GB" w:eastAsia="de-AT"/>
    </w:rPr>
  </w:style>
  <w:style w:type="paragraph" w:customStyle="1" w:styleId="TableCaption">
    <w:name w:val="Table Caption"/>
    <w:basedOn w:val="Normln"/>
    <w:link w:val="TableCaptionZchn"/>
    <w:qFormat/>
    <w:rsid w:val="00B71C50"/>
    <w:pPr>
      <w:spacing w:after="120" w:line="288" w:lineRule="auto"/>
      <w:jc w:val="center"/>
    </w:pPr>
    <w:rPr>
      <w:rFonts w:ascii="Arial" w:eastAsia="Times New Roman" w:hAnsi="Arial" w:cs="Times New Roman"/>
      <w:color w:val="FFFFFF"/>
      <w:szCs w:val="24"/>
      <w:lang w:val="en-GB" w:eastAsia="de-AT"/>
    </w:rPr>
  </w:style>
  <w:style w:type="character" w:customStyle="1" w:styleId="TableContentZchn">
    <w:name w:val="Table Content Zchn"/>
    <w:link w:val="TableContent"/>
    <w:rsid w:val="00B71C50"/>
    <w:rPr>
      <w:rFonts w:ascii="Arial" w:eastAsia="Times New Roman" w:hAnsi="Arial" w:cs="Times New Roman"/>
      <w:sz w:val="18"/>
      <w:szCs w:val="24"/>
      <w:lang w:val="en-GB" w:eastAsia="de-AT"/>
    </w:rPr>
  </w:style>
  <w:style w:type="character" w:customStyle="1" w:styleId="TableCaptionZchn">
    <w:name w:val="Table Caption Zchn"/>
    <w:link w:val="TableCaption"/>
    <w:rsid w:val="00B71C50"/>
    <w:rPr>
      <w:rFonts w:ascii="Arial" w:eastAsia="Times New Roman" w:hAnsi="Arial" w:cs="Times New Roman"/>
      <w:color w:val="FFFFFF"/>
      <w:szCs w:val="24"/>
      <w:lang w:val="en-GB" w:eastAsia="de-AT"/>
    </w:rPr>
  </w:style>
  <w:style w:type="paragraph" w:customStyle="1" w:styleId="FormatvorlageDeckblatt411ptRechts-015cm">
    <w:name w:val="Formatvorlage Deckblatt 4 + 11 pt Rechts:  -015 cm"/>
    <w:basedOn w:val="Normln"/>
    <w:rsid w:val="00B71C50"/>
    <w:pPr>
      <w:keepNext/>
      <w:pBdr>
        <w:top w:val="single" w:sz="8" w:space="15" w:color="083676"/>
        <w:bottom w:val="single" w:sz="8" w:space="15" w:color="083676"/>
        <w:between w:val="single" w:sz="8" w:space="15" w:color="083676"/>
      </w:pBdr>
      <w:tabs>
        <w:tab w:val="left" w:pos="680"/>
      </w:tabs>
      <w:spacing w:before="120" w:after="240" w:line="288" w:lineRule="auto"/>
      <w:ind w:right="-86"/>
      <w:outlineLvl w:val="1"/>
    </w:pPr>
    <w:rPr>
      <w:rFonts w:ascii="Arial" w:eastAsia="Times New Roman" w:hAnsi="Arial" w:cs="Times New Roman"/>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36"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EEE5C2-051C-4E12-9340-626C53818178}">
  <we:reference id="cd7f7d77-5385-4c0e-9997-08526b7ab600" version="1.0.0.0" store="\\officefile\public\vthota\ogma\manifest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FDDEF-8E8E-4CCF-9721-FEB8A81B4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10800</Words>
  <Characters>63726</Characters>
  <Application>Microsoft Office Word</Application>
  <DocSecurity>0</DocSecurity>
  <Lines>531</Lines>
  <Paragraphs>148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 CZ</dc:creator>
  <cp:keywords/>
  <dc:description/>
  <cp:lastModifiedBy>Kolář Jan</cp:lastModifiedBy>
  <cp:revision>11</cp:revision>
  <cp:lastPrinted>2023-01-16T13:23:00Z</cp:lastPrinted>
  <dcterms:created xsi:type="dcterms:W3CDTF">2023-01-16T13:23:00Z</dcterms:created>
  <dcterms:modified xsi:type="dcterms:W3CDTF">2023-05-16T11:58:00Z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a104e-2916-42dc-a2f6-6210338509ed_Enabled">
    <vt:lpwstr>true</vt:lpwstr>
  </property>
  <property fmtid="{D5CDD505-2E9C-101B-9397-08002B2CF9AE}" pid="3" name="MSIP_Label_2b3a104e-2916-42dc-a2f6-6210338509ed_SetDate">
    <vt:lpwstr>2022-07-21T08:07:04Z</vt:lpwstr>
  </property>
  <property fmtid="{D5CDD505-2E9C-101B-9397-08002B2CF9AE}" pid="4" name="MSIP_Label_2b3a104e-2916-42dc-a2f6-6210338509ed_Method">
    <vt:lpwstr>Standard</vt:lpwstr>
  </property>
  <property fmtid="{D5CDD505-2E9C-101B-9397-08002B2CF9AE}" pid="5" name="MSIP_Label_2b3a104e-2916-42dc-a2f6-6210338509ed_Name">
    <vt:lpwstr>2b3a104e-2916-42dc-a2f6-6210338509ed</vt:lpwstr>
  </property>
  <property fmtid="{D5CDD505-2E9C-101B-9397-08002B2CF9AE}" pid="6" name="MSIP_Label_2b3a104e-2916-42dc-a2f6-6210338509ed_SiteId">
    <vt:lpwstr>e70aafb3-2e89-46a5-ba50-66803e8a4411</vt:lpwstr>
  </property>
  <property fmtid="{D5CDD505-2E9C-101B-9397-08002B2CF9AE}" pid="7" name="MSIP_Label_2b3a104e-2916-42dc-a2f6-6210338509ed_ActionId">
    <vt:lpwstr>7ba754a2-3449-41e5-81ac-54fd821f3c8c</vt:lpwstr>
  </property>
  <property fmtid="{D5CDD505-2E9C-101B-9397-08002B2CF9AE}" pid="8" name="MSIP_Label_2b3a104e-2916-42dc-a2f6-6210338509ed_ContentBits">
    <vt:lpwstr>1</vt:lpwstr>
  </property>
  <property fmtid="{D5CDD505-2E9C-101B-9397-08002B2CF9AE}" pid="9" name="MSIP_Label_38939b85-7e40-4a1d-91e1-0e84c3b219d7_Enabled">
    <vt:lpwstr>true</vt:lpwstr>
  </property>
  <property fmtid="{D5CDD505-2E9C-101B-9397-08002B2CF9AE}" pid="10" name="MSIP_Label_38939b85-7e40-4a1d-91e1-0e84c3b219d7_SetDate">
    <vt:lpwstr>2023-01-01T21:34:21Z</vt:lpwstr>
  </property>
  <property fmtid="{D5CDD505-2E9C-101B-9397-08002B2CF9AE}" pid="11" name="MSIP_Label_38939b85-7e40-4a1d-91e1-0e84c3b219d7_Method">
    <vt:lpwstr>Standard</vt:lpwstr>
  </property>
  <property fmtid="{D5CDD505-2E9C-101B-9397-08002B2CF9AE}" pid="12" name="MSIP_Label_38939b85-7e40-4a1d-91e1-0e84c3b219d7_Name">
    <vt:lpwstr>38939b85-7e40-4a1d-91e1-0e84c3b219d7</vt:lpwstr>
  </property>
  <property fmtid="{D5CDD505-2E9C-101B-9397-08002B2CF9AE}" pid="13" name="MSIP_Label_38939b85-7e40-4a1d-91e1-0e84c3b219d7_SiteId">
    <vt:lpwstr>3ad0376a-54d3-49a6-9e20-52de0a92fc89</vt:lpwstr>
  </property>
  <property fmtid="{D5CDD505-2E9C-101B-9397-08002B2CF9AE}" pid="14" name="MSIP_Label_38939b85-7e40-4a1d-91e1-0e84c3b219d7_ActionId">
    <vt:lpwstr>6b794317-def3-447c-a3f3-631c67bc7cdb</vt:lpwstr>
  </property>
  <property fmtid="{D5CDD505-2E9C-101B-9397-08002B2CF9AE}" pid="15" name="MSIP_Label_38939b85-7e40-4a1d-91e1-0e84c3b219d7_ContentBits">
    <vt:lpwstr>0</vt:lpwstr>
  </property>
</Properties>
</file>