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BECF" w14:textId="01265B7B" w:rsidR="00CE3901" w:rsidRPr="00A82E7F" w:rsidRDefault="00FB5494" w:rsidP="00CE3901">
      <w:pPr>
        <w:pStyle w:val="Nadpis2"/>
        <w:rPr>
          <w:color w:val="000000"/>
          <w:lang w:val="en-US"/>
        </w:rPr>
      </w:pPr>
      <w:r w:rsidRPr="00C271AD">
        <w:rPr>
          <w:color w:val="000000" w:themeColor="text1"/>
          <w:lang w:val="en-US"/>
        </w:rPr>
        <w:t xml:space="preserve">Annual results </w:t>
      </w:r>
      <w:r w:rsidR="00CE3901" w:rsidRPr="00C271AD">
        <w:rPr>
          <w:color w:val="000000" w:themeColor="text1"/>
          <w:lang w:val="en-US"/>
        </w:rPr>
        <w:t>2024:</w:t>
      </w:r>
      <w:r w:rsidR="00CE3901" w:rsidRPr="009A6C7A">
        <w:rPr>
          <w:color w:val="000000" w:themeColor="text1"/>
          <w:lang w:val="en-US"/>
        </w:rPr>
        <w:t xml:space="preserve"> Good performance reflects strong growth in customer business</w:t>
      </w:r>
    </w:p>
    <w:p w14:paraId="641A417C" w14:textId="77777777" w:rsidR="00A23F87" w:rsidRPr="00A82E7F" w:rsidRDefault="00A23F87" w:rsidP="00A23F87">
      <w:pPr>
        <w:rPr>
          <w:rFonts w:ascii="Inter" w:hAnsi="Inter"/>
          <w:lang w:val="en-US"/>
        </w:rPr>
      </w:pPr>
    </w:p>
    <w:p w14:paraId="772864E1" w14:textId="1C281240" w:rsidR="00A06D1B" w:rsidRPr="00A82E7F" w:rsidRDefault="00A06D1B" w:rsidP="002E0645">
      <w:pPr>
        <w:pStyle w:val="Odstavecseseznamem"/>
        <w:numPr>
          <w:ilvl w:val="0"/>
          <w:numId w:val="21"/>
        </w:numPr>
        <w:shd w:val="clear" w:color="auto" w:fill="FFFFFF"/>
        <w:ind w:right="-6"/>
        <w:rPr>
          <w:rFonts w:ascii="Inter" w:hAnsi="Inter"/>
          <w:lang w:val="en-US"/>
        </w:rPr>
      </w:pPr>
      <w:r w:rsidRPr="00A82E7F">
        <w:rPr>
          <w:rFonts w:ascii="Inter" w:hAnsi="Inter"/>
          <w:lang w:val="en-US"/>
        </w:rPr>
        <w:t>Significant increase in customer loans (+</w:t>
      </w:r>
      <w:r w:rsidR="00B52FF9" w:rsidRPr="00A82E7F">
        <w:rPr>
          <w:rFonts w:ascii="Inter" w:hAnsi="Inter"/>
          <w:lang w:val="en-US"/>
        </w:rPr>
        <w:t>4.9</w:t>
      </w:r>
      <w:r w:rsidRPr="00A82E7F">
        <w:rPr>
          <w:rFonts w:ascii="Inter" w:hAnsi="Inter"/>
          <w:lang w:val="en-US"/>
        </w:rPr>
        <w:t>%) and deposits (+</w:t>
      </w:r>
      <w:r w:rsidR="00B52FF9" w:rsidRPr="00A82E7F">
        <w:rPr>
          <w:rFonts w:ascii="Inter" w:hAnsi="Inter"/>
          <w:lang w:val="en-US"/>
        </w:rPr>
        <w:t>3.8</w:t>
      </w:r>
      <w:r w:rsidRPr="00A82E7F">
        <w:rPr>
          <w:rFonts w:ascii="Inter" w:hAnsi="Inter"/>
          <w:lang w:val="en-US"/>
        </w:rPr>
        <w:t>%)</w:t>
      </w:r>
    </w:p>
    <w:p w14:paraId="1E8F9B33" w14:textId="332B16E7" w:rsidR="00A23F87" w:rsidRPr="00A82E7F" w:rsidRDefault="007426F1" w:rsidP="002E0645">
      <w:pPr>
        <w:pStyle w:val="Odstavecseseznamem"/>
        <w:numPr>
          <w:ilvl w:val="0"/>
          <w:numId w:val="21"/>
        </w:numPr>
        <w:shd w:val="clear" w:color="auto" w:fill="FFFFFF"/>
        <w:ind w:right="-6"/>
        <w:rPr>
          <w:rFonts w:ascii="Inter" w:hAnsi="Inter"/>
          <w:lang w:val="en-US"/>
        </w:rPr>
      </w:pPr>
      <w:r w:rsidRPr="00A82E7F">
        <w:rPr>
          <w:rFonts w:ascii="Inter" w:hAnsi="Inter"/>
          <w:lang w:val="en-US"/>
        </w:rPr>
        <w:t xml:space="preserve">NPL ratio in line with expectations at </w:t>
      </w:r>
      <w:r w:rsidR="00B52FF9" w:rsidRPr="00A82E7F">
        <w:rPr>
          <w:rFonts w:ascii="Inter" w:hAnsi="Inter"/>
          <w:lang w:val="en-US"/>
        </w:rPr>
        <w:t>2.6</w:t>
      </w:r>
      <w:r w:rsidRPr="00A82E7F">
        <w:rPr>
          <w:rFonts w:ascii="Inter" w:hAnsi="Inter"/>
          <w:lang w:val="en-US"/>
        </w:rPr>
        <w:t>%</w:t>
      </w:r>
    </w:p>
    <w:p w14:paraId="0641C820" w14:textId="5573DC7B" w:rsidR="00A23F87" w:rsidRPr="00A82E7F" w:rsidRDefault="009D01C0" w:rsidP="002E0645">
      <w:pPr>
        <w:pStyle w:val="Odstavecseseznamem"/>
        <w:numPr>
          <w:ilvl w:val="0"/>
          <w:numId w:val="21"/>
        </w:numPr>
        <w:shd w:val="clear" w:color="auto" w:fill="FFFFFF"/>
        <w:ind w:right="-6"/>
        <w:rPr>
          <w:rFonts w:ascii="Inter" w:hAnsi="Inter"/>
          <w:lang w:val="en-US"/>
        </w:rPr>
      </w:pPr>
      <w:r w:rsidRPr="00A82E7F">
        <w:rPr>
          <w:rFonts w:ascii="Inter" w:hAnsi="Inter"/>
          <w:lang w:val="en-US"/>
        </w:rPr>
        <w:t>Banking platform George reaches 1</w:t>
      </w:r>
      <w:r w:rsidR="00B52FF9" w:rsidRPr="00A82E7F">
        <w:rPr>
          <w:rFonts w:ascii="Inter" w:hAnsi="Inter"/>
          <w:lang w:val="en-US"/>
        </w:rPr>
        <w:t>0.8</w:t>
      </w:r>
      <w:r w:rsidRPr="00A82E7F">
        <w:rPr>
          <w:rFonts w:ascii="Inter" w:hAnsi="Inter"/>
          <w:lang w:val="en-US"/>
        </w:rPr>
        <w:t xml:space="preserve"> million users</w:t>
      </w:r>
    </w:p>
    <w:p w14:paraId="24A729E0" w14:textId="77777777" w:rsidR="00A23F87" w:rsidRPr="00A82E7F" w:rsidRDefault="00A23F87" w:rsidP="00A23F87">
      <w:pPr>
        <w:rPr>
          <w:rFonts w:ascii="Inter" w:hAnsi="Inter"/>
          <w:lang w:val="en-US"/>
        </w:rPr>
      </w:pPr>
    </w:p>
    <w:p w14:paraId="3BFE3D55" w14:textId="0374C2AC" w:rsidR="00A23F87" w:rsidRPr="00C271AD" w:rsidRDefault="00F4655D" w:rsidP="00A23F87">
      <w:pPr>
        <w:spacing w:line="280" w:lineRule="exact"/>
        <w:rPr>
          <w:rFonts w:ascii="Inter" w:hAnsi="Inter"/>
          <w:b/>
          <w:lang w:val="en-US"/>
        </w:rPr>
      </w:pPr>
      <w:r>
        <w:rPr>
          <w:rFonts w:ascii="Inter" w:hAnsi="Inter"/>
          <w:b/>
          <w:lang w:val="en-US"/>
        </w:rPr>
        <w:t>Erste Group Bank AG</w:t>
      </w:r>
      <w:r w:rsidRPr="00F4655D">
        <w:rPr>
          <w:rFonts w:ascii="Inter" w:hAnsi="Inter"/>
          <w:b/>
          <w:lang w:val="en-US"/>
        </w:rPr>
        <w:t xml:space="preserve"> posted an operating </w:t>
      </w:r>
      <w:r w:rsidR="006359CB">
        <w:rPr>
          <w:rFonts w:ascii="Inter" w:hAnsi="Inter"/>
          <w:b/>
          <w:lang w:val="en-US"/>
        </w:rPr>
        <w:t>result</w:t>
      </w:r>
      <w:r w:rsidRPr="00F4655D">
        <w:rPr>
          <w:rFonts w:ascii="Inter" w:hAnsi="Inter"/>
          <w:b/>
          <w:lang w:val="en-US"/>
        </w:rPr>
        <w:t xml:space="preserve"> of </w:t>
      </w:r>
      <w:r w:rsidR="006359CB">
        <w:rPr>
          <w:rFonts w:ascii="Inter" w:hAnsi="Inter"/>
          <w:b/>
          <w:lang w:val="en-US"/>
        </w:rPr>
        <w:t>5.9</w:t>
      </w:r>
      <w:r w:rsidRPr="00F4655D">
        <w:rPr>
          <w:rFonts w:ascii="Inter" w:hAnsi="Inter"/>
          <w:b/>
          <w:lang w:val="en-US"/>
        </w:rPr>
        <w:t xml:space="preserve"> billion euros (+</w:t>
      </w:r>
      <w:r w:rsidR="006359CB">
        <w:rPr>
          <w:rFonts w:ascii="Inter" w:hAnsi="Inter"/>
          <w:b/>
          <w:lang w:val="en-US"/>
        </w:rPr>
        <w:t>6.6</w:t>
      </w:r>
      <w:r w:rsidRPr="00F4655D">
        <w:rPr>
          <w:rFonts w:ascii="Inter" w:hAnsi="Inter"/>
          <w:b/>
          <w:lang w:val="en-US"/>
        </w:rPr>
        <w:t xml:space="preserve">%) in 2024 </w:t>
      </w:r>
      <w:r w:rsidR="00413EA6">
        <w:rPr>
          <w:rFonts w:ascii="Inter" w:hAnsi="Inter"/>
          <w:b/>
          <w:lang w:val="en-US"/>
        </w:rPr>
        <w:t>on the back of</w:t>
      </w:r>
      <w:r w:rsidRPr="00F4655D">
        <w:rPr>
          <w:rFonts w:ascii="Inter" w:hAnsi="Inter"/>
          <w:b/>
          <w:lang w:val="en-US"/>
        </w:rPr>
        <w:t xml:space="preserve"> strong growth in customer business. </w:t>
      </w:r>
      <w:r w:rsidR="61061B23" w:rsidRPr="2B0CD044">
        <w:rPr>
          <w:rFonts w:ascii="Inter" w:hAnsi="Inter"/>
          <w:b/>
          <w:bCs/>
          <w:lang w:val="en-US"/>
        </w:rPr>
        <w:t>Customer l</w:t>
      </w:r>
      <w:r w:rsidR="006359CB" w:rsidRPr="2B0CD044">
        <w:rPr>
          <w:rFonts w:ascii="Inter" w:hAnsi="Inter"/>
          <w:b/>
          <w:bCs/>
          <w:lang w:val="en-US"/>
        </w:rPr>
        <w:t>oans</w:t>
      </w:r>
      <w:r w:rsidRPr="00F4655D">
        <w:rPr>
          <w:rFonts w:ascii="Inter" w:hAnsi="Inter"/>
          <w:b/>
          <w:lang w:val="en-US"/>
        </w:rPr>
        <w:t xml:space="preserve"> rose significantly to </w:t>
      </w:r>
      <w:r w:rsidR="002B05D3">
        <w:rPr>
          <w:rFonts w:ascii="Inter" w:hAnsi="Inter"/>
          <w:b/>
          <w:lang w:val="en-US"/>
        </w:rPr>
        <w:t>218.1</w:t>
      </w:r>
      <w:r w:rsidRPr="00F4655D">
        <w:rPr>
          <w:rFonts w:ascii="Inter" w:hAnsi="Inter"/>
          <w:b/>
          <w:lang w:val="en-US"/>
        </w:rPr>
        <w:t xml:space="preserve"> billion </w:t>
      </w:r>
      <w:r w:rsidR="003E6679">
        <w:rPr>
          <w:rFonts w:ascii="Inter" w:hAnsi="Inter"/>
          <w:b/>
          <w:lang w:val="en-US"/>
        </w:rPr>
        <w:t xml:space="preserve">euros </w:t>
      </w:r>
      <w:r w:rsidRPr="00F4655D">
        <w:rPr>
          <w:rFonts w:ascii="Inter" w:hAnsi="Inter"/>
          <w:b/>
          <w:lang w:val="en-US"/>
        </w:rPr>
        <w:t>(+</w:t>
      </w:r>
      <w:r w:rsidR="002B05D3">
        <w:rPr>
          <w:rFonts w:ascii="Inter" w:hAnsi="Inter"/>
          <w:b/>
          <w:lang w:val="en-US"/>
        </w:rPr>
        <w:t>4.9</w:t>
      </w:r>
      <w:r w:rsidRPr="00F4655D">
        <w:rPr>
          <w:rFonts w:ascii="Inter" w:hAnsi="Inter"/>
          <w:b/>
          <w:lang w:val="en-US"/>
        </w:rPr>
        <w:t>%), with</w:t>
      </w:r>
      <w:r w:rsidR="002B05D3">
        <w:rPr>
          <w:rFonts w:ascii="Inter" w:hAnsi="Inter"/>
          <w:b/>
          <w:lang w:val="en-US"/>
        </w:rPr>
        <w:t xml:space="preserve"> </w:t>
      </w:r>
      <w:r w:rsidR="00770010">
        <w:rPr>
          <w:rFonts w:ascii="Inter" w:hAnsi="Inter"/>
          <w:b/>
          <w:lang w:val="en-US"/>
        </w:rPr>
        <w:t xml:space="preserve">growth </w:t>
      </w:r>
      <w:r w:rsidR="002B05D3" w:rsidRPr="2B0CD044">
        <w:rPr>
          <w:rFonts w:ascii="Inter" w:hAnsi="Inter"/>
          <w:b/>
          <w:bCs/>
          <w:lang w:val="en-US"/>
        </w:rPr>
        <w:t>dynamic</w:t>
      </w:r>
      <w:r w:rsidR="25837EA6" w:rsidRPr="2B0CD044">
        <w:rPr>
          <w:rFonts w:ascii="Inter" w:hAnsi="Inter"/>
          <w:b/>
          <w:bCs/>
          <w:lang w:val="en-US"/>
        </w:rPr>
        <w:t>s</w:t>
      </w:r>
      <w:r w:rsidR="002B05D3">
        <w:rPr>
          <w:rFonts w:ascii="Inter" w:hAnsi="Inter"/>
          <w:b/>
          <w:lang w:val="en-US"/>
        </w:rPr>
        <w:t xml:space="preserve"> </w:t>
      </w:r>
      <w:r w:rsidR="00770010" w:rsidRPr="00C271AD">
        <w:rPr>
          <w:rFonts w:ascii="Inter" w:hAnsi="Inter"/>
          <w:b/>
          <w:lang w:val="en-US"/>
        </w:rPr>
        <w:t>slight</w:t>
      </w:r>
      <w:r w:rsidR="00F16883" w:rsidRPr="00C271AD">
        <w:rPr>
          <w:rFonts w:ascii="Inter" w:hAnsi="Inter"/>
          <w:b/>
          <w:lang w:val="en-US"/>
        </w:rPr>
        <w:t>ly</w:t>
      </w:r>
      <w:r w:rsidR="00770010" w:rsidRPr="00C271AD">
        <w:rPr>
          <w:rFonts w:ascii="Inter" w:hAnsi="Inter"/>
          <w:b/>
          <w:lang w:val="en-US"/>
        </w:rPr>
        <w:t xml:space="preserve"> s</w:t>
      </w:r>
      <w:r w:rsidR="00770010">
        <w:rPr>
          <w:rFonts w:ascii="Inter" w:hAnsi="Inter"/>
          <w:b/>
          <w:lang w:val="en-US"/>
        </w:rPr>
        <w:t>tronger</w:t>
      </w:r>
      <w:r w:rsidR="002B05D3">
        <w:rPr>
          <w:rFonts w:ascii="Inter" w:hAnsi="Inter"/>
          <w:b/>
          <w:lang w:val="en-US"/>
        </w:rPr>
        <w:t xml:space="preserve"> in Central and Eastern Europe</w:t>
      </w:r>
      <w:r w:rsidR="00A002D6">
        <w:rPr>
          <w:rFonts w:ascii="Inter" w:hAnsi="Inter"/>
          <w:b/>
          <w:lang w:val="en-US"/>
        </w:rPr>
        <w:t xml:space="preserve"> (CEE)</w:t>
      </w:r>
      <w:r w:rsidRPr="00F4655D">
        <w:rPr>
          <w:rFonts w:ascii="Inter" w:hAnsi="Inter"/>
          <w:b/>
          <w:lang w:val="en-US"/>
        </w:rPr>
        <w:t xml:space="preserve">. After somewhat weaker demand in the first half of the year, </w:t>
      </w:r>
      <w:r w:rsidR="00E44115">
        <w:rPr>
          <w:rFonts w:ascii="Inter" w:hAnsi="Inter"/>
          <w:b/>
          <w:lang w:val="en-US"/>
        </w:rPr>
        <w:t xml:space="preserve">the </w:t>
      </w:r>
      <w:r w:rsidR="00D22570">
        <w:rPr>
          <w:rFonts w:ascii="Inter" w:hAnsi="Inter"/>
          <w:b/>
          <w:lang w:val="en-US"/>
        </w:rPr>
        <w:t>appetite</w:t>
      </w:r>
      <w:r w:rsidR="00E44115">
        <w:rPr>
          <w:rFonts w:ascii="Inter" w:hAnsi="Inter"/>
          <w:b/>
          <w:lang w:val="en-US"/>
        </w:rPr>
        <w:t xml:space="preserve"> for loans</w:t>
      </w:r>
      <w:r w:rsidRPr="00F4655D">
        <w:rPr>
          <w:rFonts w:ascii="Inter" w:hAnsi="Inter"/>
          <w:b/>
          <w:lang w:val="en-US"/>
        </w:rPr>
        <w:t xml:space="preserve"> grew</w:t>
      </w:r>
      <w:r w:rsidRPr="2B0CD044">
        <w:rPr>
          <w:rFonts w:ascii="Inter" w:hAnsi="Inter"/>
          <w:b/>
          <w:bCs/>
          <w:lang w:val="en-US"/>
        </w:rPr>
        <w:t xml:space="preserve"> </w:t>
      </w:r>
      <w:r w:rsidRPr="00F4655D">
        <w:rPr>
          <w:rFonts w:ascii="Inter" w:hAnsi="Inter"/>
          <w:b/>
          <w:lang w:val="en-US"/>
        </w:rPr>
        <w:t xml:space="preserve">in the fourth quarter. Deposits </w:t>
      </w:r>
      <w:r w:rsidR="007416FE">
        <w:rPr>
          <w:rFonts w:ascii="Inter" w:hAnsi="Inter"/>
          <w:b/>
          <w:lang w:val="en-US"/>
        </w:rPr>
        <w:t>too</w:t>
      </w:r>
      <w:r w:rsidRPr="00F4655D">
        <w:rPr>
          <w:rFonts w:ascii="Inter" w:hAnsi="Inter"/>
          <w:b/>
          <w:lang w:val="en-US"/>
        </w:rPr>
        <w:t xml:space="preserve"> increased to </w:t>
      </w:r>
      <w:r w:rsidR="003110C0">
        <w:rPr>
          <w:rFonts w:ascii="Inter" w:hAnsi="Inter"/>
          <w:b/>
          <w:lang w:val="en-US"/>
        </w:rPr>
        <w:t>241.7</w:t>
      </w:r>
      <w:r w:rsidRPr="00F4655D">
        <w:rPr>
          <w:rFonts w:ascii="Inter" w:hAnsi="Inter"/>
          <w:b/>
          <w:lang w:val="en-US"/>
        </w:rPr>
        <w:t xml:space="preserve"> billion </w:t>
      </w:r>
      <w:r w:rsidR="003110C0">
        <w:rPr>
          <w:rFonts w:ascii="Inter" w:hAnsi="Inter"/>
          <w:b/>
          <w:lang w:val="en-US"/>
        </w:rPr>
        <w:t xml:space="preserve">euros </w:t>
      </w:r>
      <w:r w:rsidRPr="00F4655D">
        <w:rPr>
          <w:rFonts w:ascii="Inter" w:hAnsi="Inter"/>
          <w:b/>
          <w:lang w:val="en-US"/>
        </w:rPr>
        <w:t>(+</w:t>
      </w:r>
      <w:r w:rsidR="003110C0">
        <w:rPr>
          <w:rFonts w:ascii="Inter" w:hAnsi="Inter"/>
          <w:b/>
          <w:lang w:val="en-US"/>
        </w:rPr>
        <w:t>3.8</w:t>
      </w:r>
      <w:r w:rsidRPr="00F4655D">
        <w:rPr>
          <w:rFonts w:ascii="Inter" w:hAnsi="Inter"/>
          <w:b/>
          <w:lang w:val="en-US"/>
        </w:rPr>
        <w:t xml:space="preserve">%). The NPL ratio rose from </w:t>
      </w:r>
      <w:r w:rsidR="003110C0">
        <w:rPr>
          <w:rFonts w:ascii="Inter" w:hAnsi="Inter"/>
          <w:b/>
          <w:lang w:val="en-US"/>
        </w:rPr>
        <w:t>2.3</w:t>
      </w:r>
      <w:r w:rsidRPr="00F4655D">
        <w:rPr>
          <w:rFonts w:ascii="Inter" w:hAnsi="Inter"/>
          <w:b/>
          <w:lang w:val="en-US"/>
        </w:rPr>
        <w:t xml:space="preserve">% to </w:t>
      </w:r>
      <w:r w:rsidR="003110C0">
        <w:rPr>
          <w:rFonts w:ascii="Inter" w:hAnsi="Inter"/>
          <w:b/>
          <w:lang w:val="en-US"/>
        </w:rPr>
        <w:t>2.6</w:t>
      </w:r>
      <w:r w:rsidRPr="00F4655D">
        <w:rPr>
          <w:rFonts w:ascii="Inter" w:hAnsi="Inter"/>
          <w:b/>
          <w:lang w:val="en-US"/>
        </w:rPr>
        <w:t xml:space="preserve">%, in line with expectations. This was primarily due to the lack of </w:t>
      </w:r>
      <w:r w:rsidR="00770010">
        <w:rPr>
          <w:rFonts w:ascii="Inter" w:hAnsi="Inter"/>
          <w:b/>
          <w:lang w:val="en-US"/>
        </w:rPr>
        <w:t xml:space="preserve">a </w:t>
      </w:r>
      <w:r w:rsidR="00CD4C2D">
        <w:rPr>
          <w:rFonts w:ascii="Inter" w:hAnsi="Inter"/>
          <w:b/>
          <w:lang w:val="en-US"/>
        </w:rPr>
        <w:t>macro</w:t>
      </w:r>
      <w:r w:rsidRPr="00F4655D">
        <w:rPr>
          <w:rFonts w:ascii="Inter" w:hAnsi="Inter"/>
          <w:b/>
          <w:lang w:val="en-US"/>
        </w:rPr>
        <w:t>economic re</w:t>
      </w:r>
      <w:r w:rsidR="00CD4C2D">
        <w:rPr>
          <w:rFonts w:ascii="Inter" w:hAnsi="Inter"/>
          <w:b/>
          <w:lang w:val="en-US"/>
        </w:rPr>
        <w:t>bound</w:t>
      </w:r>
      <w:r w:rsidRPr="00F4655D">
        <w:rPr>
          <w:rFonts w:ascii="Inter" w:hAnsi="Inter"/>
          <w:b/>
          <w:lang w:val="en-US"/>
        </w:rPr>
        <w:t xml:space="preserve"> in </w:t>
      </w:r>
      <w:r w:rsidR="003110C0">
        <w:rPr>
          <w:rFonts w:ascii="Inter" w:hAnsi="Inter"/>
          <w:b/>
          <w:lang w:val="en-US"/>
        </w:rPr>
        <w:t>Austria</w:t>
      </w:r>
      <w:r w:rsidRPr="00F4655D">
        <w:rPr>
          <w:rFonts w:ascii="Inter" w:hAnsi="Inter"/>
          <w:b/>
          <w:lang w:val="en-US"/>
        </w:rPr>
        <w:t xml:space="preserve">, as </w:t>
      </w:r>
      <w:r w:rsidR="003110C0">
        <w:rPr>
          <w:rFonts w:ascii="Inter" w:hAnsi="Inter"/>
          <w:b/>
          <w:lang w:val="en-US"/>
        </w:rPr>
        <w:t>the asset quality</w:t>
      </w:r>
      <w:r w:rsidR="00A002D6">
        <w:rPr>
          <w:rFonts w:ascii="Inter" w:hAnsi="Inter"/>
          <w:b/>
          <w:lang w:val="en-US"/>
        </w:rPr>
        <w:t xml:space="preserve"> in CEE</w:t>
      </w:r>
      <w:r w:rsidRPr="00F4655D">
        <w:rPr>
          <w:rFonts w:ascii="Inter" w:hAnsi="Inter"/>
          <w:b/>
          <w:lang w:val="en-US"/>
        </w:rPr>
        <w:t xml:space="preserve"> countries remained at a very good level. The tax rate rose by around </w:t>
      </w:r>
      <w:r w:rsidR="00A002D6">
        <w:rPr>
          <w:rFonts w:ascii="Inter" w:hAnsi="Inter"/>
          <w:b/>
          <w:lang w:val="en-US"/>
        </w:rPr>
        <w:t>3</w:t>
      </w:r>
      <w:r w:rsidRPr="00F4655D">
        <w:rPr>
          <w:rFonts w:ascii="Inter" w:hAnsi="Inter"/>
          <w:b/>
          <w:lang w:val="en-US"/>
        </w:rPr>
        <w:t xml:space="preserve"> percentage points year-on-year to </w:t>
      </w:r>
      <w:r w:rsidR="00A002D6">
        <w:rPr>
          <w:rFonts w:ascii="Inter" w:hAnsi="Inter"/>
          <w:b/>
          <w:lang w:val="en-US"/>
        </w:rPr>
        <w:t>21.1</w:t>
      </w:r>
      <w:r w:rsidRPr="00F4655D">
        <w:rPr>
          <w:rFonts w:ascii="Inter" w:hAnsi="Inter"/>
          <w:b/>
          <w:lang w:val="en-US"/>
        </w:rPr>
        <w:t>%.</w:t>
      </w:r>
      <w:r w:rsidR="00A1156A">
        <w:rPr>
          <w:rFonts w:ascii="Inter" w:hAnsi="Inter"/>
          <w:b/>
          <w:lang w:val="en-US"/>
        </w:rPr>
        <w:t xml:space="preserve"> </w:t>
      </w:r>
      <w:r w:rsidR="00A002D6">
        <w:rPr>
          <w:rFonts w:ascii="Inter" w:hAnsi="Inter"/>
          <w:b/>
          <w:lang w:val="en-US"/>
        </w:rPr>
        <w:t>Erste Group</w:t>
      </w:r>
      <w:r w:rsidRPr="00F4655D">
        <w:rPr>
          <w:rFonts w:ascii="Inter" w:hAnsi="Inter"/>
          <w:b/>
          <w:lang w:val="en-US"/>
        </w:rPr>
        <w:t xml:space="preserve"> generated a net profit of </w:t>
      </w:r>
      <w:r w:rsidR="00A002D6">
        <w:rPr>
          <w:rFonts w:ascii="Inter" w:hAnsi="Inter"/>
          <w:b/>
          <w:lang w:val="en-US"/>
        </w:rPr>
        <w:t>3.1</w:t>
      </w:r>
      <w:r w:rsidRPr="00F4655D">
        <w:rPr>
          <w:rFonts w:ascii="Inter" w:hAnsi="Inter"/>
          <w:b/>
          <w:lang w:val="en-US"/>
        </w:rPr>
        <w:t xml:space="preserve"> billion euros (+</w:t>
      </w:r>
      <w:r w:rsidR="00F01A78">
        <w:rPr>
          <w:rFonts w:ascii="Inter" w:hAnsi="Inter"/>
          <w:b/>
          <w:lang w:val="en-US"/>
        </w:rPr>
        <w:t>4.3</w:t>
      </w:r>
      <w:r w:rsidRPr="00C271AD">
        <w:rPr>
          <w:rFonts w:ascii="Inter" w:hAnsi="Inter"/>
          <w:b/>
          <w:lang w:val="en-US"/>
        </w:rPr>
        <w:t>%)</w:t>
      </w:r>
      <w:r w:rsidR="001F797B" w:rsidRPr="00C271AD">
        <w:rPr>
          <w:rFonts w:ascii="Inter" w:hAnsi="Inter"/>
          <w:b/>
          <w:lang w:val="en-US"/>
        </w:rPr>
        <w:t xml:space="preserve"> and</w:t>
      </w:r>
      <w:r w:rsidRPr="00C271AD">
        <w:rPr>
          <w:rFonts w:ascii="Inter" w:hAnsi="Inter"/>
          <w:b/>
          <w:lang w:val="en-US"/>
        </w:rPr>
        <w:t xml:space="preserve"> </w:t>
      </w:r>
      <w:r w:rsidR="0010588D" w:rsidRPr="00C271AD">
        <w:rPr>
          <w:rFonts w:ascii="Inter" w:hAnsi="Inter"/>
          <w:b/>
          <w:lang w:val="en-US"/>
        </w:rPr>
        <w:t xml:space="preserve">remained </w:t>
      </w:r>
      <w:r w:rsidRPr="00C271AD">
        <w:rPr>
          <w:rFonts w:ascii="Inter" w:hAnsi="Inter"/>
          <w:b/>
          <w:lang w:val="en-US"/>
        </w:rPr>
        <w:t>strongly</w:t>
      </w:r>
      <w:r w:rsidRPr="00F4655D">
        <w:rPr>
          <w:rFonts w:ascii="Inter" w:hAnsi="Inter"/>
          <w:b/>
          <w:lang w:val="en-US"/>
        </w:rPr>
        <w:t xml:space="preserve"> capitalized</w:t>
      </w:r>
      <w:r w:rsidR="09DA8C5C" w:rsidRPr="2B0CD044">
        <w:rPr>
          <w:rFonts w:ascii="Inter" w:hAnsi="Inter"/>
          <w:b/>
          <w:bCs/>
          <w:lang w:val="en-US"/>
        </w:rPr>
        <w:t xml:space="preserve">. Its </w:t>
      </w:r>
      <w:r w:rsidR="1E3758AB" w:rsidRPr="2B0CD044">
        <w:rPr>
          <w:rFonts w:ascii="Inter" w:hAnsi="Inter"/>
          <w:b/>
          <w:bCs/>
          <w:lang w:val="en-US"/>
        </w:rPr>
        <w:t>year</w:t>
      </w:r>
      <w:r w:rsidR="0098660F">
        <w:rPr>
          <w:rFonts w:ascii="Inter" w:hAnsi="Inter"/>
          <w:b/>
          <w:bCs/>
          <w:lang w:val="en-US"/>
        </w:rPr>
        <w:t>-</w:t>
      </w:r>
      <w:r w:rsidR="1E3758AB" w:rsidRPr="2B0CD044">
        <w:rPr>
          <w:rFonts w:ascii="Inter" w:hAnsi="Inter"/>
          <w:b/>
          <w:bCs/>
          <w:lang w:val="en-US"/>
        </w:rPr>
        <w:t>end 2024</w:t>
      </w:r>
      <w:r w:rsidRPr="00F4655D">
        <w:rPr>
          <w:rFonts w:ascii="Inter" w:hAnsi="Inter"/>
          <w:b/>
          <w:lang w:val="en-US"/>
        </w:rPr>
        <w:t xml:space="preserve"> Common Equity Tier 1 (CET1) </w:t>
      </w:r>
      <w:r w:rsidRPr="00A7288E">
        <w:rPr>
          <w:rFonts w:ascii="Inter" w:hAnsi="Inter"/>
          <w:b/>
          <w:lang w:val="en-US"/>
        </w:rPr>
        <w:t xml:space="preserve">capital ratio of </w:t>
      </w:r>
      <w:r w:rsidR="00F01A78" w:rsidRPr="00A7288E">
        <w:rPr>
          <w:rFonts w:ascii="Inter" w:hAnsi="Inter"/>
          <w:b/>
          <w:lang w:val="en-US"/>
        </w:rPr>
        <w:t>15.1</w:t>
      </w:r>
      <w:r w:rsidRPr="00A7288E">
        <w:rPr>
          <w:rFonts w:ascii="Inter" w:hAnsi="Inter"/>
          <w:b/>
          <w:lang w:val="en-US"/>
        </w:rPr>
        <w:t>%</w:t>
      </w:r>
      <w:r w:rsidR="00491314" w:rsidRPr="00A7288E">
        <w:rPr>
          <w:rFonts w:ascii="Inter" w:hAnsi="Inter"/>
          <w:b/>
          <w:lang w:val="en-US"/>
        </w:rPr>
        <w:t xml:space="preserve"> </w:t>
      </w:r>
      <w:r w:rsidRPr="00A7288E">
        <w:rPr>
          <w:rFonts w:ascii="Inter" w:hAnsi="Inter"/>
          <w:b/>
          <w:lang w:val="en-US"/>
        </w:rPr>
        <w:t xml:space="preserve">already </w:t>
      </w:r>
      <w:r w:rsidR="0010588D" w:rsidRPr="00C271AD">
        <w:rPr>
          <w:rFonts w:ascii="Inter" w:hAnsi="Inter"/>
          <w:b/>
          <w:bCs/>
          <w:lang w:val="en-US"/>
        </w:rPr>
        <w:t>included</w:t>
      </w:r>
      <w:r w:rsidR="0010588D" w:rsidRPr="00C271AD">
        <w:rPr>
          <w:rFonts w:ascii="Inter" w:hAnsi="Inter"/>
          <w:b/>
          <w:lang w:val="en-US"/>
        </w:rPr>
        <w:t xml:space="preserve"> </w:t>
      </w:r>
      <w:r w:rsidRPr="00C271AD">
        <w:rPr>
          <w:rFonts w:ascii="Inter" w:hAnsi="Inter"/>
          <w:b/>
          <w:lang w:val="en-US"/>
        </w:rPr>
        <w:t xml:space="preserve">a dividend proposal </w:t>
      </w:r>
      <w:r w:rsidR="0037038F" w:rsidRPr="00C271AD">
        <w:rPr>
          <w:rFonts w:ascii="Inter" w:hAnsi="Inter"/>
          <w:b/>
          <w:lang w:val="en-US"/>
        </w:rPr>
        <w:t xml:space="preserve">for the financial year 2024 </w:t>
      </w:r>
      <w:r w:rsidRPr="00C271AD">
        <w:rPr>
          <w:rFonts w:ascii="Inter" w:hAnsi="Inter"/>
          <w:b/>
          <w:lang w:val="en-US"/>
        </w:rPr>
        <w:t>and a potential share buyback program.</w:t>
      </w:r>
    </w:p>
    <w:p w14:paraId="2383C03F" w14:textId="77777777" w:rsidR="00711D5D" w:rsidRPr="00C271AD" w:rsidRDefault="00711D5D" w:rsidP="00A23F87">
      <w:pPr>
        <w:rPr>
          <w:rFonts w:ascii="Inter" w:hAnsi="Inter"/>
          <w:color w:val="FFFFFF" w:themeColor="background1"/>
          <w:lang w:val="en-US"/>
        </w:rPr>
      </w:pPr>
    </w:p>
    <w:p w14:paraId="1072E69D" w14:textId="549FC15C" w:rsidR="00C71EFA" w:rsidRPr="00C271AD" w:rsidRDefault="00C71EFA" w:rsidP="00810BAF">
      <w:pPr>
        <w:spacing w:line="280" w:lineRule="exact"/>
        <w:rPr>
          <w:rFonts w:ascii="Inter" w:hAnsi="Inter"/>
          <w:lang w:val="en-US"/>
        </w:rPr>
      </w:pPr>
      <w:r w:rsidRPr="00C271AD">
        <w:rPr>
          <w:rFonts w:ascii="Inter" w:hAnsi="Inter"/>
          <w:i/>
          <w:iCs/>
          <w:lang w:val="en-US"/>
        </w:rPr>
        <w:t>“</w:t>
      </w:r>
      <w:r w:rsidR="2ED36E33" w:rsidRPr="00C271AD">
        <w:rPr>
          <w:rFonts w:ascii="Inter" w:hAnsi="Inter"/>
          <w:i/>
          <w:iCs/>
          <w:lang w:val="en-US"/>
        </w:rPr>
        <w:t>Our results show</w:t>
      </w:r>
      <w:r w:rsidR="00EB4BF6" w:rsidRPr="00C271AD">
        <w:rPr>
          <w:rFonts w:ascii="Inter" w:hAnsi="Inter"/>
          <w:i/>
          <w:iCs/>
          <w:lang w:val="en-US"/>
        </w:rPr>
        <w:t xml:space="preserve"> that</w:t>
      </w:r>
      <w:r w:rsidR="2ED36E33" w:rsidRPr="00C271AD">
        <w:rPr>
          <w:rFonts w:ascii="Inter" w:hAnsi="Inter"/>
          <w:i/>
          <w:iCs/>
          <w:lang w:val="en-US"/>
        </w:rPr>
        <w:t xml:space="preserve"> w</w:t>
      </w:r>
      <w:r w:rsidR="00497908" w:rsidRPr="00C271AD">
        <w:rPr>
          <w:rFonts w:ascii="Inter" w:hAnsi="Inter"/>
          <w:i/>
          <w:iCs/>
          <w:lang w:val="en-US"/>
        </w:rPr>
        <w:t xml:space="preserve">e are active in Europe's growth region, </w:t>
      </w:r>
      <w:r w:rsidR="000E2CCC" w:rsidRPr="00C271AD">
        <w:rPr>
          <w:rFonts w:ascii="Inter" w:hAnsi="Inter"/>
          <w:i/>
          <w:iCs/>
          <w:lang w:val="en-US"/>
        </w:rPr>
        <w:t>with</w:t>
      </w:r>
      <w:r w:rsidR="33109FA5" w:rsidRPr="00C271AD">
        <w:rPr>
          <w:rFonts w:ascii="Inter" w:hAnsi="Inter"/>
          <w:i/>
          <w:iCs/>
          <w:lang w:val="en-US"/>
        </w:rPr>
        <w:t xml:space="preserve"> </w:t>
      </w:r>
      <w:r w:rsidR="0098660F" w:rsidRPr="00C271AD">
        <w:rPr>
          <w:rFonts w:ascii="Inter" w:hAnsi="Inter"/>
          <w:i/>
          <w:iCs/>
          <w:lang w:val="en-US"/>
        </w:rPr>
        <w:t>t</w:t>
      </w:r>
      <w:r w:rsidR="00497908" w:rsidRPr="00C271AD">
        <w:rPr>
          <w:rFonts w:ascii="Inter" w:hAnsi="Inter"/>
          <w:i/>
          <w:iCs/>
          <w:lang w:val="en-US"/>
        </w:rPr>
        <w:t>wo-thirds of our profits com</w:t>
      </w:r>
      <w:r w:rsidR="000E2CCC" w:rsidRPr="00C271AD">
        <w:rPr>
          <w:rFonts w:ascii="Inter" w:hAnsi="Inter"/>
          <w:i/>
          <w:iCs/>
          <w:lang w:val="en-US"/>
        </w:rPr>
        <w:t>ing</w:t>
      </w:r>
      <w:r w:rsidR="00497908" w:rsidRPr="00C271AD">
        <w:rPr>
          <w:rFonts w:ascii="Inter" w:hAnsi="Inter"/>
          <w:i/>
          <w:iCs/>
          <w:lang w:val="en-US"/>
        </w:rPr>
        <w:t xml:space="preserve"> from our banks in </w:t>
      </w:r>
      <w:r w:rsidR="0037038F" w:rsidRPr="00C271AD">
        <w:rPr>
          <w:rFonts w:ascii="Inter" w:hAnsi="Inter"/>
          <w:i/>
          <w:iCs/>
          <w:lang w:val="en-US"/>
        </w:rPr>
        <w:t>Central and Eastern Europe</w:t>
      </w:r>
      <w:r w:rsidR="00497908" w:rsidRPr="00C271AD">
        <w:rPr>
          <w:rFonts w:ascii="Inter" w:hAnsi="Inter"/>
          <w:i/>
          <w:iCs/>
          <w:lang w:val="en-US"/>
        </w:rPr>
        <w:t xml:space="preserve">. </w:t>
      </w:r>
      <w:r w:rsidR="460279AB" w:rsidRPr="00C271AD">
        <w:rPr>
          <w:rFonts w:ascii="Inter" w:hAnsi="Inter"/>
          <w:i/>
          <w:iCs/>
          <w:lang w:val="en-US"/>
        </w:rPr>
        <w:t>T</w:t>
      </w:r>
      <w:r w:rsidR="00497908" w:rsidRPr="00C271AD">
        <w:rPr>
          <w:rFonts w:ascii="Inter" w:hAnsi="Inter"/>
          <w:i/>
          <w:iCs/>
          <w:lang w:val="en-US"/>
        </w:rPr>
        <w:t xml:space="preserve">he pursuit of prosperity </w:t>
      </w:r>
      <w:r w:rsidR="362BC457" w:rsidRPr="00C271AD">
        <w:rPr>
          <w:rFonts w:ascii="Inter" w:hAnsi="Inter"/>
          <w:i/>
          <w:iCs/>
          <w:lang w:val="en-US"/>
        </w:rPr>
        <w:t>here</w:t>
      </w:r>
      <w:r w:rsidR="00497908" w:rsidRPr="00C271AD">
        <w:rPr>
          <w:rFonts w:ascii="Inter" w:hAnsi="Inter"/>
          <w:i/>
          <w:iCs/>
          <w:lang w:val="en-US"/>
        </w:rPr>
        <w:t xml:space="preserve"> remains unbroken</w:t>
      </w:r>
      <w:r w:rsidR="55304846" w:rsidRPr="00C271AD">
        <w:rPr>
          <w:rFonts w:ascii="Inter" w:hAnsi="Inter"/>
          <w:i/>
          <w:iCs/>
          <w:lang w:val="en-US"/>
        </w:rPr>
        <w:t>, d</w:t>
      </w:r>
      <w:r w:rsidR="56B92273" w:rsidRPr="00C271AD">
        <w:rPr>
          <w:rFonts w:ascii="Inter" w:hAnsi="Inter"/>
          <w:i/>
          <w:iCs/>
          <w:lang w:val="en-US"/>
        </w:rPr>
        <w:t>espite th</w:t>
      </w:r>
      <w:r w:rsidR="250A663C" w:rsidRPr="00C271AD">
        <w:rPr>
          <w:rFonts w:ascii="Inter" w:hAnsi="Inter"/>
          <w:i/>
          <w:iCs/>
          <w:lang w:val="en-US"/>
        </w:rPr>
        <w:t xml:space="preserve">e strong convergence </w:t>
      </w:r>
      <w:r w:rsidR="56B92273" w:rsidRPr="00C271AD">
        <w:rPr>
          <w:rFonts w:ascii="Inter" w:hAnsi="Inter"/>
          <w:i/>
          <w:iCs/>
          <w:lang w:val="en-US"/>
        </w:rPr>
        <w:t>over the past 20 years</w:t>
      </w:r>
      <w:r w:rsidR="5076FCD8" w:rsidRPr="00C271AD">
        <w:rPr>
          <w:rFonts w:ascii="Inter" w:hAnsi="Inter"/>
          <w:i/>
          <w:iCs/>
          <w:lang w:val="en-US"/>
        </w:rPr>
        <w:t xml:space="preserve">. </w:t>
      </w:r>
      <w:r w:rsidR="00D07427" w:rsidRPr="00C271AD">
        <w:rPr>
          <w:rFonts w:ascii="Inter" w:hAnsi="Inter"/>
          <w:i/>
          <w:iCs/>
          <w:lang w:val="en-US"/>
        </w:rPr>
        <w:t>T</w:t>
      </w:r>
      <w:r w:rsidR="5076FCD8" w:rsidRPr="00C271AD">
        <w:rPr>
          <w:rFonts w:ascii="Inter" w:hAnsi="Inter"/>
          <w:i/>
          <w:iCs/>
          <w:lang w:val="en-US"/>
        </w:rPr>
        <w:t>his region</w:t>
      </w:r>
      <w:r w:rsidR="00497908" w:rsidRPr="00C271AD">
        <w:rPr>
          <w:rFonts w:ascii="Inter" w:hAnsi="Inter"/>
          <w:i/>
          <w:iCs/>
          <w:lang w:val="en-US"/>
        </w:rPr>
        <w:t xml:space="preserve"> is also where future potential lies. In view of the major geopolitical changes</w:t>
      </w:r>
      <w:r w:rsidR="006159E0" w:rsidRPr="00C271AD">
        <w:rPr>
          <w:rFonts w:ascii="Inter" w:hAnsi="Inter"/>
          <w:i/>
          <w:iCs/>
          <w:lang w:val="en-US"/>
        </w:rPr>
        <w:t xml:space="preserve"> taking place</w:t>
      </w:r>
      <w:r w:rsidR="00497908" w:rsidRPr="00C271AD">
        <w:rPr>
          <w:rFonts w:ascii="Inter" w:hAnsi="Inter"/>
          <w:i/>
          <w:iCs/>
          <w:lang w:val="en-US"/>
        </w:rPr>
        <w:t xml:space="preserve">, Europe needs to </w:t>
      </w:r>
      <w:r w:rsidR="0098660F" w:rsidRPr="00C271AD">
        <w:rPr>
          <w:rFonts w:ascii="Inter" w:hAnsi="Inter"/>
          <w:i/>
          <w:iCs/>
          <w:lang w:val="en-US"/>
        </w:rPr>
        <w:t>grow closer together</w:t>
      </w:r>
      <w:r w:rsidR="00CF238E" w:rsidRPr="00C271AD">
        <w:rPr>
          <w:rFonts w:ascii="Inter" w:hAnsi="Inter"/>
          <w:i/>
          <w:iCs/>
          <w:lang w:val="en-US"/>
        </w:rPr>
        <w:t>,</w:t>
      </w:r>
      <w:r w:rsidRPr="00C271AD">
        <w:rPr>
          <w:rFonts w:ascii="Inter" w:hAnsi="Inter"/>
          <w:i/>
          <w:iCs/>
          <w:lang w:val="en-US"/>
        </w:rPr>
        <w:t>”</w:t>
      </w:r>
      <w:r w:rsidRPr="00C271AD">
        <w:rPr>
          <w:rFonts w:ascii="Inter" w:hAnsi="Inter"/>
          <w:lang w:val="en-US"/>
        </w:rPr>
        <w:t xml:space="preserve"> says </w:t>
      </w:r>
      <w:r w:rsidR="003B4C4C" w:rsidRPr="00C271AD">
        <w:rPr>
          <w:rFonts w:ascii="Inter" w:hAnsi="Inter"/>
          <w:b/>
          <w:bCs/>
          <w:lang w:val="en-US"/>
        </w:rPr>
        <w:t>Peter Bosek</w:t>
      </w:r>
      <w:r w:rsidRPr="00C271AD">
        <w:rPr>
          <w:rFonts w:ascii="Inter" w:hAnsi="Inter"/>
          <w:lang w:val="en-US"/>
        </w:rPr>
        <w:t>, CEO of Erste Group.</w:t>
      </w:r>
    </w:p>
    <w:p w14:paraId="14B0E505" w14:textId="77777777" w:rsidR="00450A76" w:rsidRPr="00C271AD" w:rsidRDefault="00450A76" w:rsidP="00810BAF">
      <w:pPr>
        <w:spacing w:line="280" w:lineRule="exact"/>
        <w:rPr>
          <w:rFonts w:ascii="Inter" w:hAnsi="Inter"/>
          <w:lang w:val="en-US"/>
        </w:rPr>
      </w:pPr>
    </w:p>
    <w:p w14:paraId="1F54070A" w14:textId="3718CE4B" w:rsidR="00450A76" w:rsidRDefault="00450A76" w:rsidP="00810BAF">
      <w:pPr>
        <w:spacing w:line="280" w:lineRule="exact"/>
        <w:rPr>
          <w:rFonts w:ascii="Inter" w:hAnsi="Inter"/>
          <w:lang w:val="en-US"/>
        </w:rPr>
      </w:pPr>
      <w:r w:rsidRPr="00C271AD">
        <w:rPr>
          <w:rFonts w:ascii="Inter" w:hAnsi="Inter"/>
          <w:i/>
          <w:lang w:val="en-US"/>
        </w:rPr>
        <w:t xml:space="preserve">“We continued to grow strongly in </w:t>
      </w:r>
      <w:r w:rsidR="003928E6" w:rsidRPr="00C271AD">
        <w:rPr>
          <w:rFonts w:ascii="Inter" w:hAnsi="Inter"/>
          <w:i/>
          <w:lang w:val="en-US"/>
        </w:rPr>
        <w:t xml:space="preserve">our </w:t>
      </w:r>
      <w:r w:rsidRPr="00C271AD">
        <w:rPr>
          <w:rFonts w:ascii="Inter" w:hAnsi="Inter"/>
          <w:i/>
          <w:lang w:val="en-US"/>
        </w:rPr>
        <w:t>customer</w:t>
      </w:r>
      <w:r w:rsidRPr="00450A76">
        <w:rPr>
          <w:rFonts w:ascii="Inter" w:hAnsi="Inter"/>
          <w:i/>
          <w:lang w:val="en-US"/>
        </w:rPr>
        <w:t xml:space="preserve"> business last year and achieved a good result. Thanks to our prudent and diversified lending, we have our risk costs under control and our capital position remains strong. Interest rate cuts are boosting investments by both households and corporates. This trend is also reflected in the increase in our lending volume in the second half of the year,”</w:t>
      </w:r>
      <w:r w:rsidRPr="00450A76">
        <w:rPr>
          <w:rFonts w:ascii="Inter" w:hAnsi="Inter"/>
          <w:lang w:val="en-US"/>
        </w:rPr>
        <w:t xml:space="preserve"> says </w:t>
      </w:r>
      <w:r w:rsidRPr="00450A76">
        <w:rPr>
          <w:rFonts w:ascii="Inter" w:hAnsi="Inter"/>
          <w:b/>
          <w:lang w:val="en-US"/>
        </w:rPr>
        <w:t>Stefan Dörfler</w:t>
      </w:r>
      <w:r w:rsidRPr="00450A76">
        <w:rPr>
          <w:rFonts w:ascii="Inter" w:hAnsi="Inter"/>
          <w:lang w:val="en-US"/>
        </w:rPr>
        <w:t>, CFO of Erste Group.</w:t>
      </w:r>
    </w:p>
    <w:p w14:paraId="242792AB" w14:textId="77777777" w:rsidR="00450A76" w:rsidRDefault="00450A76" w:rsidP="00C71EFA">
      <w:pPr>
        <w:rPr>
          <w:rFonts w:ascii="Inter" w:hAnsi="Inter"/>
          <w:lang w:val="en-US"/>
        </w:rPr>
      </w:pPr>
    </w:p>
    <w:p w14:paraId="452B818B" w14:textId="77777777" w:rsidR="001D6A56" w:rsidRDefault="001D6A56" w:rsidP="00C71EFA">
      <w:pPr>
        <w:rPr>
          <w:rFonts w:ascii="Inter" w:hAnsi="Inter"/>
          <w:lang w:val="en-US"/>
        </w:rPr>
      </w:pPr>
    </w:p>
    <w:p w14:paraId="448599D5" w14:textId="74AFEF17" w:rsidR="00384DB5" w:rsidRDefault="00325C15">
      <w:pPr>
        <w:spacing w:line="240" w:lineRule="auto"/>
        <w:rPr>
          <w:rFonts w:ascii="Inter" w:hAnsi="Inter"/>
          <w:lang w:val="en-US"/>
        </w:rPr>
      </w:pPr>
      <w:r>
        <w:rPr>
          <w:rFonts w:ascii="Inter" w:hAnsi="Inter"/>
          <w:lang w:val="en-US"/>
        </w:rPr>
        <w:br w:type="page"/>
      </w:r>
    </w:p>
    <w:p w14:paraId="3C47B159" w14:textId="0B2847B6" w:rsidR="003B4C4C" w:rsidRPr="00291F87" w:rsidRDefault="003B4C4C" w:rsidP="003B4C4C">
      <w:pPr>
        <w:rPr>
          <w:rFonts w:ascii="Inter" w:hAnsi="Inter"/>
          <w:i/>
          <w:iCs/>
          <w:sz w:val="16"/>
          <w:szCs w:val="16"/>
          <w:lang w:val="en-US"/>
        </w:rPr>
      </w:pPr>
      <w:r w:rsidRPr="00291F87">
        <w:rPr>
          <w:rFonts w:ascii="Inter" w:hAnsi="Inter"/>
          <w:i/>
          <w:iCs/>
          <w:sz w:val="16"/>
          <w:szCs w:val="16"/>
          <w:lang w:val="en-US"/>
        </w:rPr>
        <w:lastRenderedPageBreak/>
        <w:t xml:space="preserve">Financial results from January to </w:t>
      </w:r>
      <w:r>
        <w:rPr>
          <w:rFonts w:ascii="Inter" w:hAnsi="Inter"/>
          <w:i/>
          <w:iCs/>
          <w:sz w:val="16"/>
          <w:szCs w:val="16"/>
          <w:lang w:val="en-US"/>
        </w:rPr>
        <w:t>December</w:t>
      </w:r>
      <w:r w:rsidRPr="00291F87">
        <w:rPr>
          <w:rFonts w:ascii="Inter" w:hAnsi="Inter"/>
          <w:i/>
          <w:iCs/>
          <w:sz w:val="16"/>
          <w:szCs w:val="16"/>
          <w:lang w:val="en-US"/>
        </w:rPr>
        <w:t xml:space="preserve"> 2024 are compared with those from January to </w:t>
      </w:r>
      <w:r>
        <w:rPr>
          <w:rFonts w:ascii="Inter" w:hAnsi="Inter"/>
          <w:i/>
          <w:iCs/>
          <w:sz w:val="16"/>
          <w:szCs w:val="16"/>
          <w:lang w:val="en-US"/>
        </w:rPr>
        <w:t>December</w:t>
      </w:r>
      <w:r w:rsidRPr="00291F87">
        <w:rPr>
          <w:rFonts w:ascii="Inter" w:hAnsi="Inter"/>
          <w:i/>
          <w:iCs/>
          <w:sz w:val="16"/>
          <w:szCs w:val="16"/>
          <w:lang w:val="en-US"/>
        </w:rPr>
        <w:t xml:space="preserve"> 2023 and balance sheet positions as of </w:t>
      </w:r>
      <w:r>
        <w:rPr>
          <w:rFonts w:ascii="Inter" w:hAnsi="Inter"/>
          <w:i/>
          <w:iCs/>
          <w:sz w:val="16"/>
          <w:szCs w:val="16"/>
          <w:lang w:val="en-US"/>
        </w:rPr>
        <w:t>31 December</w:t>
      </w:r>
      <w:r w:rsidRPr="00291F87">
        <w:rPr>
          <w:rFonts w:ascii="Inter" w:hAnsi="Inter"/>
          <w:i/>
          <w:iCs/>
          <w:sz w:val="16"/>
          <w:szCs w:val="16"/>
          <w:lang w:val="en-US"/>
        </w:rPr>
        <w:t xml:space="preserve"> 2024 with those as of 31 December 2023.</w:t>
      </w:r>
    </w:p>
    <w:p w14:paraId="626CBF7F" w14:textId="77777777" w:rsidR="00A23F87" w:rsidRPr="00A85FA9" w:rsidRDefault="00A23F87" w:rsidP="00A23F87">
      <w:pPr>
        <w:pStyle w:val="Bezmezer"/>
        <w:spacing w:line="280" w:lineRule="exact"/>
        <w:rPr>
          <w:rFonts w:ascii="Inter" w:hAnsi="Inter"/>
          <w:sz w:val="20"/>
          <w:szCs w:val="20"/>
          <w:lang w:val="en-US"/>
        </w:rPr>
      </w:pPr>
    </w:p>
    <w:p w14:paraId="00FB66B3" w14:textId="39A6157C" w:rsidR="00A23F87" w:rsidRPr="00D77402" w:rsidRDefault="00544F44" w:rsidP="00A23F87">
      <w:pPr>
        <w:pStyle w:val="Nadpis4"/>
        <w:rPr>
          <w:rFonts w:ascii="Inter" w:hAnsi="Inter"/>
          <w:color w:val="auto"/>
          <w:lang w:val="en-US"/>
        </w:rPr>
      </w:pPr>
      <w:r>
        <w:rPr>
          <w:rFonts w:ascii="Inter" w:hAnsi="Inter"/>
          <w:color w:val="auto"/>
          <w:lang w:val="en-US"/>
        </w:rPr>
        <w:t xml:space="preserve">Net interest </w:t>
      </w:r>
      <w:r w:rsidR="00035DF7">
        <w:rPr>
          <w:rFonts w:ascii="Inter" w:hAnsi="Inter"/>
          <w:color w:val="auto"/>
          <w:lang w:val="en-US"/>
        </w:rPr>
        <w:t xml:space="preserve">income </w:t>
      </w:r>
      <w:r>
        <w:rPr>
          <w:rFonts w:ascii="Inter" w:hAnsi="Inter"/>
          <w:color w:val="auto"/>
          <w:lang w:val="en-US"/>
        </w:rPr>
        <w:t xml:space="preserve">rises </w:t>
      </w:r>
      <w:r w:rsidR="004A0611">
        <w:rPr>
          <w:rFonts w:ascii="Inter" w:hAnsi="Inter"/>
          <w:color w:val="auto"/>
          <w:lang w:val="en-US"/>
        </w:rPr>
        <w:t xml:space="preserve">4.2% </w:t>
      </w:r>
      <w:r>
        <w:rPr>
          <w:rFonts w:ascii="Inter" w:hAnsi="Inter"/>
          <w:color w:val="auto"/>
          <w:lang w:val="en-US"/>
        </w:rPr>
        <w:t>on higher loan volumes</w:t>
      </w:r>
    </w:p>
    <w:p w14:paraId="7DBAC1C3" w14:textId="77777777" w:rsidR="001142AA" w:rsidRDefault="000C1AFC" w:rsidP="000C1AFC">
      <w:pPr>
        <w:suppressAutoHyphens/>
        <w:spacing w:line="280" w:lineRule="exact"/>
        <w:rPr>
          <w:rFonts w:ascii="Inter" w:hAnsi="Inter"/>
          <w:lang w:val="en-US"/>
        </w:rPr>
      </w:pPr>
      <w:bookmarkStart w:id="0" w:name="_Hlk189164546"/>
      <w:bookmarkStart w:id="1" w:name="_Hlk45893200"/>
      <w:r w:rsidRPr="00C165CC">
        <w:rPr>
          <w:rFonts w:ascii="Inter" w:hAnsi="Inter"/>
          <w:b/>
          <w:bCs/>
          <w:lang w:val="en-US"/>
        </w:rPr>
        <w:t>Net interest income</w:t>
      </w:r>
      <w:r w:rsidRPr="00C165CC">
        <w:rPr>
          <w:rFonts w:ascii="Inter" w:hAnsi="Inter"/>
          <w:lang w:val="en-US"/>
        </w:rPr>
        <w:t xml:space="preserve"> increased to EUR 7,528 million (+4.2%; EUR 7,228 million), in all core markets except Austria, on the back of higher loan volumes and lower interest expenses. </w:t>
      </w:r>
      <w:r w:rsidRPr="00C165CC">
        <w:rPr>
          <w:rFonts w:ascii="Inter" w:hAnsi="Inter"/>
          <w:b/>
          <w:bCs/>
          <w:lang w:val="en-US"/>
        </w:rPr>
        <w:t>Net fee and commission income</w:t>
      </w:r>
      <w:r w:rsidRPr="00C165CC">
        <w:rPr>
          <w:rFonts w:ascii="Inter" w:hAnsi="Inter"/>
          <w:lang w:val="en-US"/>
        </w:rPr>
        <w:t xml:space="preserve"> rose to EUR 2,938 million (+11.3%; EUR 2,640 million). Growth was registered across all core markets, most notably in payment services and asset management. </w:t>
      </w:r>
      <w:r w:rsidRPr="00C165CC">
        <w:rPr>
          <w:rFonts w:ascii="Inter" w:hAnsi="Inter"/>
          <w:b/>
          <w:bCs/>
          <w:lang w:val="en-US"/>
        </w:rPr>
        <w:t>Net trading result</w:t>
      </w:r>
      <w:r w:rsidRPr="00C165CC">
        <w:rPr>
          <w:rFonts w:ascii="Inter" w:hAnsi="Inter"/>
          <w:lang w:val="en-US"/>
        </w:rPr>
        <w:t xml:space="preserve"> declined to EUR 519 Mio (EUR 754 million); the line item </w:t>
      </w:r>
      <w:r w:rsidRPr="00C165CC">
        <w:rPr>
          <w:rFonts w:ascii="Inter" w:hAnsi="Inter"/>
          <w:b/>
          <w:bCs/>
          <w:lang w:val="en-US"/>
        </w:rPr>
        <w:t>gains/losses from financial instruments</w:t>
      </w:r>
      <w:r w:rsidRPr="00C165CC">
        <w:rPr>
          <w:rFonts w:ascii="Inter" w:hAnsi="Inter"/>
          <w:lang w:val="en-US"/>
        </w:rPr>
        <w:t xml:space="preserve"> </w:t>
      </w:r>
      <w:r w:rsidRPr="00C165CC">
        <w:rPr>
          <w:rFonts w:ascii="Inter" w:hAnsi="Inter"/>
          <w:b/>
          <w:bCs/>
          <w:lang w:val="en-US"/>
        </w:rPr>
        <w:t xml:space="preserve">measured at fair value through profit or loss </w:t>
      </w:r>
      <w:r w:rsidRPr="00C165CC">
        <w:rPr>
          <w:rFonts w:ascii="Inter" w:hAnsi="Inter"/>
          <w:lang w:val="en-US"/>
        </w:rPr>
        <w:t xml:space="preserve">improved to EUR -82 million (EUR -306 million). The development of these two line items was mostly attributable to valuation effects. </w:t>
      </w:r>
      <w:r w:rsidRPr="00C165CC">
        <w:rPr>
          <w:rFonts w:ascii="Inter" w:hAnsi="Inter"/>
          <w:b/>
          <w:bCs/>
          <w:lang w:val="en-US"/>
        </w:rPr>
        <w:t>Operating income</w:t>
      </w:r>
      <w:r w:rsidRPr="00C165CC">
        <w:rPr>
          <w:rFonts w:ascii="Inter" w:hAnsi="Inter"/>
          <w:lang w:val="en-US"/>
        </w:rPr>
        <w:t xml:space="preserve"> increased to EUR 11,178 million (+5.9%; EUR 10,552 million).</w:t>
      </w:r>
    </w:p>
    <w:p w14:paraId="3E1352F6" w14:textId="77777777" w:rsidR="004F3D91" w:rsidRDefault="004F3D91" w:rsidP="000C1AFC">
      <w:pPr>
        <w:suppressAutoHyphens/>
        <w:spacing w:line="280" w:lineRule="exact"/>
        <w:rPr>
          <w:rFonts w:ascii="Inter" w:hAnsi="Inter"/>
          <w:lang w:val="en-US"/>
        </w:rPr>
      </w:pPr>
    </w:p>
    <w:p w14:paraId="25BD9883" w14:textId="3F2C1306" w:rsidR="00035DF7" w:rsidRPr="00D77402" w:rsidRDefault="00033DCD" w:rsidP="00035DF7">
      <w:pPr>
        <w:pStyle w:val="Nadpis4"/>
        <w:rPr>
          <w:rFonts w:ascii="Inter" w:hAnsi="Inter"/>
          <w:color w:val="auto"/>
          <w:lang w:val="en-US"/>
        </w:rPr>
      </w:pPr>
      <w:r>
        <w:rPr>
          <w:rFonts w:ascii="Inter" w:hAnsi="Inter"/>
          <w:color w:val="auto"/>
          <w:lang w:val="en-US"/>
        </w:rPr>
        <w:t xml:space="preserve">Cost/income </w:t>
      </w:r>
      <w:r w:rsidR="004A0611">
        <w:rPr>
          <w:rFonts w:ascii="Inter" w:hAnsi="Inter"/>
          <w:color w:val="auto"/>
          <w:lang w:val="en-US"/>
        </w:rPr>
        <w:t>ratio improves to 47.2%</w:t>
      </w:r>
    </w:p>
    <w:p w14:paraId="3565E6C6" w14:textId="30CCDBA7" w:rsidR="000C1AFC" w:rsidRPr="00C165CC" w:rsidRDefault="000C1AFC" w:rsidP="000C1AFC">
      <w:pPr>
        <w:suppressAutoHyphens/>
        <w:spacing w:line="280" w:lineRule="exact"/>
        <w:rPr>
          <w:rFonts w:ascii="Inter" w:hAnsi="Inter"/>
          <w:lang w:val="en-US"/>
        </w:rPr>
      </w:pPr>
      <w:r w:rsidRPr="00C165CC">
        <w:rPr>
          <w:rFonts w:ascii="Inter" w:hAnsi="Inter"/>
          <w:b/>
          <w:bCs/>
          <w:lang w:val="en-US"/>
        </w:rPr>
        <w:t>General administrative expenses</w:t>
      </w:r>
      <w:r w:rsidRPr="00C165CC">
        <w:rPr>
          <w:rFonts w:ascii="Inter" w:hAnsi="Inter"/>
          <w:lang w:val="en-US"/>
        </w:rPr>
        <w:t xml:space="preserve"> were up at EUR 5,279 million (+5.2%; EUR 5,020 million). Personnel expenses rose to EUR 3,202 million (+7.1%; EUR 2,991</w:t>
      </w:r>
      <w:r>
        <w:rPr>
          <w:rFonts w:ascii="Inter" w:hAnsi="Inter"/>
          <w:lang w:val="en-US"/>
        </w:rPr>
        <w:t xml:space="preserve"> </w:t>
      </w:r>
      <w:r w:rsidRPr="00C165CC">
        <w:rPr>
          <w:rFonts w:ascii="Inter" w:hAnsi="Inter"/>
          <w:lang w:val="en-US"/>
        </w:rPr>
        <w:t xml:space="preserve">million) driven by salary increases. Other administrative expenses were higher at EUR 1,529 million (+4.1%; EUR 1,468 million), which was mainly attributable to higher IT expenses in the amount of EUR 622 million (EUR 549 million). Contributions to deposit insurance schemes included in other administrative expenses declined to EUR 72 million (EUR 114 million), most notably in Austria. Amortisation and depreciation amounted to EUR 547 million (-2.2%; EUR 560 million). The significant increase in the </w:t>
      </w:r>
      <w:r w:rsidRPr="00C165CC">
        <w:rPr>
          <w:rFonts w:ascii="Inter" w:hAnsi="Inter"/>
          <w:b/>
          <w:bCs/>
          <w:lang w:val="en-US"/>
        </w:rPr>
        <w:t>operating result</w:t>
      </w:r>
      <w:r w:rsidRPr="00C165CC">
        <w:rPr>
          <w:rFonts w:ascii="Inter" w:hAnsi="Inter"/>
          <w:lang w:val="en-US"/>
        </w:rPr>
        <w:t xml:space="preserve"> to EUR 5,900 million (+6.6%; EUR 5,532 million) was attributable in equal parts to increases in net interest income and net fee and commission income. The </w:t>
      </w:r>
      <w:r w:rsidRPr="00C165CC">
        <w:rPr>
          <w:rFonts w:ascii="Inter" w:hAnsi="Inter"/>
          <w:b/>
          <w:bCs/>
          <w:lang w:val="en-US"/>
        </w:rPr>
        <w:t>cost/income ratio</w:t>
      </w:r>
      <w:r w:rsidRPr="00C165CC">
        <w:rPr>
          <w:rFonts w:ascii="Inter" w:hAnsi="Inter"/>
          <w:lang w:val="en-US"/>
        </w:rPr>
        <w:t xml:space="preserve"> improved to 47.2% (47.6%).</w:t>
      </w:r>
    </w:p>
    <w:bookmarkEnd w:id="0"/>
    <w:p w14:paraId="215313EC" w14:textId="15680277" w:rsidR="000C1AFC" w:rsidRPr="00C165CC" w:rsidRDefault="000C1AFC" w:rsidP="000C1AFC">
      <w:pPr>
        <w:suppressAutoHyphens/>
        <w:spacing w:line="280" w:lineRule="exact"/>
        <w:rPr>
          <w:rFonts w:ascii="Inter" w:hAnsi="Inter"/>
          <w:lang w:val="en-US"/>
        </w:rPr>
      </w:pPr>
    </w:p>
    <w:p w14:paraId="29A4C25B" w14:textId="2077813B" w:rsidR="004A0611" w:rsidRPr="00D77402" w:rsidRDefault="004A0611" w:rsidP="004A0611">
      <w:pPr>
        <w:pStyle w:val="Nadpis4"/>
        <w:rPr>
          <w:rFonts w:ascii="Inter" w:hAnsi="Inter"/>
          <w:color w:val="auto"/>
          <w:lang w:val="en-US"/>
        </w:rPr>
      </w:pPr>
      <w:r>
        <w:rPr>
          <w:rFonts w:ascii="Inter" w:hAnsi="Inter"/>
          <w:color w:val="auto"/>
          <w:lang w:val="en-US"/>
        </w:rPr>
        <w:t xml:space="preserve">Slight </w:t>
      </w:r>
      <w:r w:rsidR="00AC2975">
        <w:rPr>
          <w:rFonts w:ascii="Inter" w:hAnsi="Inter"/>
          <w:color w:val="auto"/>
          <w:lang w:val="en-US"/>
        </w:rPr>
        <w:t>deterioration</w:t>
      </w:r>
      <w:r>
        <w:rPr>
          <w:rFonts w:ascii="Inter" w:hAnsi="Inter"/>
          <w:color w:val="auto"/>
          <w:lang w:val="en-US"/>
        </w:rPr>
        <w:t xml:space="preserve"> in NPL ratio to </w:t>
      </w:r>
      <w:r w:rsidR="00AC2975">
        <w:rPr>
          <w:rFonts w:ascii="Inter" w:hAnsi="Inter"/>
          <w:color w:val="auto"/>
          <w:lang w:val="en-US"/>
        </w:rPr>
        <w:t>2.6%</w:t>
      </w:r>
    </w:p>
    <w:p w14:paraId="0B2FFDFC" w14:textId="3A1C296D" w:rsidR="000C1AFC" w:rsidRPr="00C165CC" w:rsidRDefault="000C1AFC" w:rsidP="000C1AFC">
      <w:pPr>
        <w:suppressAutoHyphens/>
        <w:spacing w:line="280" w:lineRule="exact"/>
        <w:rPr>
          <w:rFonts w:ascii="Inter" w:hAnsi="Inter"/>
          <w:lang w:val="en-GB"/>
        </w:rPr>
      </w:pPr>
      <w:r w:rsidRPr="00C165CC">
        <w:rPr>
          <w:rFonts w:ascii="Inter" w:hAnsi="Inter"/>
          <w:lang w:val="en-US"/>
        </w:rPr>
        <w:t xml:space="preserve">The </w:t>
      </w:r>
      <w:r w:rsidRPr="00C165CC">
        <w:rPr>
          <w:rFonts w:ascii="Inter" w:hAnsi="Inter"/>
          <w:b/>
          <w:bCs/>
          <w:lang w:val="en-US"/>
        </w:rPr>
        <w:t>impairment result from financial instruments</w:t>
      </w:r>
      <w:r w:rsidRPr="00C165CC">
        <w:rPr>
          <w:rFonts w:ascii="Inter" w:hAnsi="Inter"/>
          <w:lang w:val="en-US"/>
        </w:rPr>
        <w:t xml:space="preserve"> </w:t>
      </w:r>
      <w:r w:rsidR="004F3D91">
        <w:rPr>
          <w:rFonts w:ascii="Inter" w:hAnsi="Inter"/>
          <w:lang w:val="en-US"/>
        </w:rPr>
        <w:t xml:space="preserve">(“risk costs”) </w:t>
      </w:r>
      <w:r w:rsidRPr="00C165CC">
        <w:rPr>
          <w:rFonts w:ascii="Inter" w:hAnsi="Inter"/>
          <w:lang w:val="en-US"/>
        </w:rPr>
        <w:t xml:space="preserve">amounted to EUR -397 million or 18 basis points of average gross customer loans (EUR -128 million or 6 basis points). Allocations to provisions for loans and advances were posted primarily in Austria. Positive contributions came from the recovery of loans already written off, likewise most notably in Austria. </w:t>
      </w:r>
      <w:r w:rsidRPr="00C165CC">
        <w:rPr>
          <w:rFonts w:ascii="Inter" w:hAnsi="Inter"/>
          <w:lang w:val="en-GB"/>
        </w:rPr>
        <w:t xml:space="preserve">The </w:t>
      </w:r>
      <w:r w:rsidRPr="00C165CC">
        <w:rPr>
          <w:rFonts w:ascii="Inter" w:hAnsi="Inter"/>
          <w:b/>
          <w:lang w:val="en-US"/>
        </w:rPr>
        <w:t>NPL ratio</w:t>
      </w:r>
      <w:r w:rsidRPr="00C165CC">
        <w:rPr>
          <w:rFonts w:ascii="Inter" w:hAnsi="Inter"/>
          <w:lang w:val="en-GB"/>
        </w:rPr>
        <w:t xml:space="preserve"> based on gross customer loans deteriorated slightly to 2.6% (2.3%). The </w:t>
      </w:r>
      <w:r w:rsidRPr="00C165CC">
        <w:rPr>
          <w:rFonts w:ascii="Inter" w:hAnsi="Inter"/>
          <w:b/>
          <w:lang w:val="en-US"/>
        </w:rPr>
        <w:t>NPL coverage ratio</w:t>
      </w:r>
      <w:r w:rsidRPr="00C165CC">
        <w:rPr>
          <w:rFonts w:ascii="Inter" w:hAnsi="Inter"/>
          <w:lang w:val="en-GB"/>
        </w:rPr>
        <w:t xml:space="preserve"> (excluding collateral) slipped to 72.5% (85.1%).</w:t>
      </w:r>
    </w:p>
    <w:p w14:paraId="4B2F5755" w14:textId="77777777" w:rsidR="000C1AFC" w:rsidRPr="00C165CC" w:rsidRDefault="000C1AFC" w:rsidP="000C1AFC">
      <w:pPr>
        <w:spacing w:line="280" w:lineRule="exact"/>
        <w:rPr>
          <w:rFonts w:ascii="Inter" w:hAnsi="Inter"/>
          <w:highlight w:val="yellow"/>
          <w:lang w:val="en-US"/>
        </w:rPr>
      </w:pPr>
    </w:p>
    <w:bookmarkEnd w:id="1"/>
    <w:p w14:paraId="09B799CC" w14:textId="6C623BFF" w:rsidR="00AC2975" w:rsidRPr="00D77402" w:rsidRDefault="00D93A7F" w:rsidP="00AC2975">
      <w:pPr>
        <w:pStyle w:val="Nadpis4"/>
        <w:rPr>
          <w:rFonts w:ascii="Inter" w:hAnsi="Inter"/>
          <w:color w:val="auto"/>
          <w:lang w:val="en-US"/>
        </w:rPr>
      </w:pPr>
      <w:r>
        <w:rPr>
          <w:rFonts w:ascii="Inter" w:hAnsi="Inter"/>
          <w:color w:val="auto"/>
          <w:lang w:val="en-US"/>
        </w:rPr>
        <w:t>Increased net profit reflects stronger operating result</w:t>
      </w:r>
    </w:p>
    <w:p w14:paraId="723626DA" w14:textId="77777777" w:rsidR="000C1AFC" w:rsidRPr="00C165CC" w:rsidRDefault="000C1AFC" w:rsidP="000C1AFC">
      <w:pPr>
        <w:suppressAutoHyphens/>
        <w:spacing w:line="280" w:lineRule="exact"/>
        <w:rPr>
          <w:rFonts w:ascii="Inter" w:hAnsi="Inter"/>
          <w:lang w:val="en-US"/>
        </w:rPr>
      </w:pPr>
      <w:r w:rsidRPr="00C165CC">
        <w:rPr>
          <w:rFonts w:ascii="Inter" w:hAnsi="Inter"/>
          <w:b/>
          <w:bCs/>
          <w:lang w:val="en-US"/>
        </w:rPr>
        <w:t>Other operating result</w:t>
      </w:r>
      <w:r w:rsidRPr="00C165CC">
        <w:rPr>
          <w:rFonts w:ascii="Inter" w:hAnsi="Inter"/>
          <w:lang w:val="en-US"/>
        </w:rPr>
        <w:t xml:space="preserve"> amounted to EUR -414 million (EUR -468 million). This includes an allocation in the amount of EUR 102 million to a provision relating to the interbank exemption pursuant to the Austrian VAT Act. Expenses for annual contributions to resolution funds declined significantly to EUR 28 million (EUR 113 million), as no regular annual contributions were collected in the euro zone in 2024. Banking levies were paid in four core markets.</w:t>
      </w:r>
      <w:r w:rsidRPr="00C165CC">
        <w:rPr>
          <w:lang w:val="en-US"/>
        </w:rPr>
        <w:t xml:space="preserve"> </w:t>
      </w:r>
      <w:r w:rsidRPr="00C165CC">
        <w:rPr>
          <w:rFonts w:ascii="Inter" w:hAnsi="Inter"/>
          <w:lang w:val="en-US"/>
        </w:rPr>
        <w:t>EUR 245 million (EUR 183 million) are reflected in other operating result: thereof, EUR 168 million (EUR 137 million) were charged in Hungary. In Austria, banking tax equaled EUR 40 million (EUR 46 million), in Romania EUR 37 million (newly introduced in 2024). The banking tax in Slovakia of EUR 103 million is booked in the line item taxes on income.</w:t>
      </w:r>
    </w:p>
    <w:p w14:paraId="227D6445" w14:textId="77777777" w:rsidR="000C1AFC" w:rsidRPr="00C165CC" w:rsidRDefault="000C1AFC" w:rsidP="000C1AFC">
      <w:pPr>
        <w:suppressAutoHyphens/>
        <w:spacing w:line="280" w:lineRule="exact"/>
        <w:rPr>
          <w:rFonts w:ascii="Inter" w:hAnsi="Inter"/>
          <w:lang w:val="en-US"/>
        </w:rPr>
      </w:pPr>
    </w:p>
    <w:p w14:paraId="3F7C7446" w14:textId="77777777" w:rsidR="000C1AFC" w:rsidRPr="00C165CC" w:rsidRDefault="000C1AFC" w:rsidP="000C1AFC">
      <w:pPr>
        <w:suppressAutoHyphens/>
        <w:spacing w:line="280" w:lineRule="exact"/>
        <w:rPr>
          <w:rFonts w:ascii="Inter" w:hAnsi="Inter"/>
          <w:lang w:val="en-US"/>
        </w:rPr>
      </w:pPr>
      <w:r w:rsidRPr="00C165CC">
        <w:rPr>
          <w:rFonts w:ascii="Inter" w:hAnsi="Inter"/>
          <w:b/>
          <w:bCs/>
          <w:lang w:val="en-US"/>
        </w:rPr>
        <w:t>Taxes on income</w:t>
      </w:r>
      <w:r w:rsidRPr="00C165CC">
        <w:rPr>
          <w:rFonts w:ascii="Inter" w:hAnsi="Inter"/>
          <w:lang w:val="en-US"/>
        </w:rPr>
        <w:t xml:space="preserve"> amounted to EUR 1,053 million (EUR 874 million). The decline in the minority charge to EUR 819 million (EUR 923 million) was attributable to lower profitability at the savings banks. The </w:t>
      </w:r>
      <w:r w:rsidRPr="00C165CC">
        <w:rPr>
          <w:rFonts w:ascii="Inter" w:hAnsi="Inter"/>
          <w:b/>
          <w:bCs/>
          <w:lang w:val="en-US"/>
        </w:rPr>
        <w:t xml:space="preserve">net result attributable to owners of the parent </w:t>
      </w:r>
      <w:r w:rsidRPr="00C165CC">
        <w:rPr>
          <w:rFonts w:ascii="Inter" w:hAnsi="Inter"/>
          <w:lang w:val="en-US"/>
        </w:rPr>
        <w:t>rose to EUR 3,125 million (EUR 2,998 million) on the back of the strong operating result.</w:t>
      </w:r>
    </w:p>
    <w:p w14:paraId="248566AA" w14:textId="77777777" w:rsidR="000C1AFC" w:rsidRPr="007116F9" w:rsidRDefault="000C1AFC" w:rsidP="000C1AFC">
      <w:pPr>
        <w:spacing w:line="280" w:lineRule="exact"/>
        <w:rPr>
          <w:rFonts w:ascii="Inter" w:hAnsi="Inter"/>
          <w:lang w:val="en-GB"/>
        </w:rPr>
      </w:pPr>
    </w:p>
    <w:p w14:paraId="3675E927" w14:textId="294CD9DC" w:rsidR="00D93A7F" w:rsidRPr="00D77402" w:rsidRDefault="00FC6A1B" w:rsidP="00D93A7F">
      <w:pPr>
        <w:pStyle w:val="Nadpis4"/>
        <w:rPr>
          <w:rFonts w:ascii="Inter" w:hAnsi="Inter"/>
          <w:color w:val="auto"/>
          <w:lang w:val="en-US"/>
        </w:rPr>
      </w:pPr>
      <w:r>
        <w:rPr>
          <w:rFonts w:ascii="Inter" w:hAnsi="Inter"/>
          <w:color w:val="auto"/>
          <w:lang w:val="en-US"/>
        </w:rPr>
        <w:t>Significant increase</w:t>
      </w:r>
      <w:r w:rsidR="00D84FE1">
        <w:rPr>
          <w:rFonts w:ascii="Inter" w:hAnsi="Inter"/>
          <w:color w:val="auto"/>
          <w:lang w:val="en-US"/>
        </w:rPr>
        <w:t>s</w:t>
      </w:r>
      <w:r>
        <w:rPr>
          <w:rFonts w:ascii="Inter" w:hAnsi="Inter"/>
          <w:color w:val="auto"/>
          <w:lang w:val="en-US"/>
        </w:rPr>
        <w:t xml:space="preserve"> in both loan and deposit volumes</w:t>
      </w:r>
    </w:p>
    <w:p w14:paraId="2CC05B4E" w14:textId="77777777" w:rsidR="000C1AFC" w:rsidRPr="007116F9" w:rsidRDefault="000C1AFC" w:rsidP="000C1AFC">
      <w:pPr>
        <w:suppressAutoHyphens/>
        <w:spacing w:line="280" w:lineRule="exact"/>
        <w:rPr>
          <w:rFonts w:ascii="Inter" w:hAnsi="Inter"/>
          <w:lang w:val="en-GB"/>
        </w:rPr>
      </w:pPr>
      <w:r w:rsidRPr="007116F9">
        <w:rPr>
          <w:rFonts w:ascii="Inter" w:hAnsi="Inter"/>
          <w:b/>
          <w:bCs/>
          <w:lang w:val="en-US"/>
        </w:rPr>
        <w:t>Total equity</w:t>
      </w:r>
      <w:r w:rsidRPr="007116F9">
        <w:rPr>
          <w:rFonts w:ascii="Inter" w:hAnsi="Inter"/>
          <w:lang w:val="en-US"/>
        </w:rPr>
        <w:t xml:space="preserve"> not including AT1 instruments rose to EUR 28.1 billion (EUR 26.1 billion). </w:t>
      </w:r>
      <w:r w:rsidRPr="007116F9">
        <w:rPr>
          <w:rFonts w:ascii="Inter" w:hAnsi="Inter"/>
          <w:lang w:val="en-GB"/>
        </w:rPr>
        <w:t xml:space="preserve">After regulatory deductions and filtering in accordance with the CRR, </w:t>
      </w:r>
      <w:r w:rsidRPr="007116F9">
        <w:rPr>
          <w:rFonts w:ascii="Inter" w:hAnsi="Inter"/>
          <w:b/>
          <w:lang w:val="en-GB"/>
        </w:rPr>
        <w:t>common equity tier 1 capital</w:t>
      </w:r>
      <w:r w:rsidRPr="007116F9">
        <w:rPr>
          <w:rFonts w:ascii="Inter" w:hAnsi="Inter"/>
          <w:lang w:val="en-GB"/>
        </w:rPr>
        <w:t xml:space="preserve"> (CET1, final) rose to EUR 24.0 billion (EUR 22.9 billion), total </w:t>
      </w:r>
      <w:r w:rsidRPr="007116F9">
        <w:rPr>
          <w:rFonts w:ascii="Inter" w:hAnsi="Inter"/>
          <w:b/>
          <w:lang w:val="en-GB"/>
        </w:rPr>
        <w:t>own funds</w:t>
      </w:r>
      <w:r w:rsidRPr="007116F9">
        <w:rPr>
          <w:rFonts w:ascii="Inter" w:hAnsi="Inter"/>
          <w:lang w:val="en-GB"/>
        </w:rPr>
        <w:t xml:space="preserve"> (final) to EUR 30.9 billion (EUR 29.1 billion). Total risk – </w:t>
      </w:r>
      <w:r w:rsidRPr="007116F9">
        <w:rPr>
          <w:rFonts w:ascii="Inter" w:hAnsi="Inter"/>
          <w:b/>
          <w:lang w:val="en-GB"/>
        </w:rPr>
        <w:t>risk-weighted assets</w:t>
      </w:r>
      <w:r w:rsidRPr="007116F9">
        <w:rPr>
          <w:rFonts w:ascii="Inter" w:hAnsi="Inter"/>
          <w:lang w:val="en-GB"/>
        </w:rPr>
        <w:t xml:space="preserve"> including credit, market and operational risk (CRR, final) – increased to EUR 159.1 billion (EUR 146.6 billion). The </w:t>
      </w:r>
      <w:r w:rsidRPr="007116F9">
        <w:rPr>
          <w:rFonts w:ascii="Inter" w:hAnsi="Inter"/>
          <w:b/>
          <w:lang w:val="en-US"/>
        </w:rPr>
        <w:t>common equity tier 1 ratio</w:t>
      </w:r>
      <w:r w:rsidRPr="007116F9">
        <w:rPr>
          <w:rFonts w:ascii="Inter" w:hAnsi="Inter"/>
          <w:lang w:val="en-GB"/>
        </w:rPr>
        <w:t xml:space="preserve"> (CET1, final) stood at 15.1% (15.7%), the </w:t>
      </w:r>
      <w:r w:rsidRPr="007116F9">
        <w:rPr>
          <w:rFonts w:ascii="Inter" w:hAnsi="Inter"/>
          <w:b/>
          <w:lang w:val="en-US"/>
        </w:rPr>
        <w:t>total capital ratio</w:t>
      </w:r>
      <w:r w:rsidRPr="007116F9">
        <w:rPr>
          <w:rFonts w:ascii="Inter" w:hAnsi="Inter"/>
          <w:lang w:val="en-GB"/>
        </w:rPr>
        <w:t xml:space="preserve"> at 19.5% (19.9%).</w:t>
      </w:r>
    </w:p>
    <w:p w14:paraId="6A7B871D" w14:textId="77777777" w:rsidR="000C1AFC" w:rsidRPr="007116F9" w:rsidRDefault="000C1AFC" w:rsidP="000C1AFC">
      <w:pPr>
        <w:spacing w:line="280" w:lineRule="exact"/>
        <w:rPr>
          <w:rFonts w:ascii="Inter" w:hAnsi="Inter"/>
          <w:lang w:val="en-GB"/>
        </w:rPr>
      </w:pPr>
    </w:p>
    <w:p w14:paraId="479F824C" w14:textId="1FFB6430" w:rsidR="00CF58BD" w:rsidRDefault="000C1AFC" w:rsidP="000C1AFC">
      <w:pPr>
        <w:pStyle w:val="Bezmezer"/>
        <w:spacing w:line="280" w:lineRule="exact"/>
        <w:rPr>
          <w:rFonts w:ascii="Inter" w:hAnsi="Inter"/>
          <w:sz w:val="20"/>
          <w:szCs w:val="20"/>
          <w:lang w:val="en-US"/>
        </w:rPr>
      </w:pPr>
      <w:r w:rsidRPr="00C165CC">
        <w:rPr>
          <w:rFonts w:ascii="Inter" w:hAnsi="Inter" w:cs="Arial"/>
          <w:b/>
          <w:bCs/>
          <w:sz w:val="20"/>
          <w:szCs w:val="20"/>
          <w:lang w:val="en-US"/>
        </w:rPr>
        <w:t>Total assets</w:t>
      </w:r>
      <w:r w:rsidRPr="00C165CC">
        <w:rPr>
          <w:rFonts w:ascii="Inter" w:hAnsi="Inter" w:cs="Arial"/>
          <w:sz w:val="20"/>
          <w:szCs w:val="20"/>
          <w:lang w:val="en-US"/>
        </w:rPr>
        <w:t xml:space="preserve"> increased to EUR 353.7 billion (+4.9%; EUR 337.2 billion). On the asset side, cash and cash balances declined to EUR 25.1 billion (EUR 36.7 billion); loans and advances to banks rose – most notably in the Czech Republic – to EUR 27.0 billion (EUR 21.4 billion). Year on year, </w:t>
      </w:r>
      <w:r w:rsidRPr="00C165CC">
        <w:rPr>
          <w:rFonts w:ascii="Inter" w:hAnsi="Inter" w:cs="Arial"/>
          <w:b/>
          <w:bCs/>
          <w:sz w:val="20"/>
          <w:szCs w:val="20"/>
          <w:lang w:val="en-US"/>
        </w:rPr>
        <w:t>loans and advances to customers</w:t>
      </w:r>
      <w:r w:rsidRPr="00C165CC">
        <w:rPr>
          <w:rFonts w:ascii="Inter" w:hAnsi="Inter" w:cs="Arial"/>
          <w:sz w:val="20"/>
          <w:szCs w:val="20"/>
          <w:lang w:val="en-US"/>
        </w:rPr>
        <w:t xml:space="preserve"> increased to EUR 218.1 billion (+4.9%; EUR 207.8 billion). On the liability side, deposits from banks declined to EUR 21.3 billion (EUR 22.9 billion). </w:t>
      </w:r>
      <w:r w:rsidRPr="00C165CC">
        <w:rPr>
          <w:rFonts w:ascii="Inter" w:hAnsi="Inter" w:cs="Arial"/>
          <w:b/>
          <w:bCs/>
          <w:sz w:val="20"/>
          <w:szCs w:val="20"/>
          <w:lang w:val="en-US"/>
        </w:rPr>
        <w:t>Customer deposits</w:t>
      </w:r>
      <w:r w:rsidRPr="00C165CC">
        <w:rPr>
          <w:rFonts w:ascii="Inter" w:hAnsi="Inter" w:cs="Arial"/>
          <w:sz w:val="20"/>
          <w:szCs w:val="20"/>
          <w:lang w:val="en-US"/>
        </w:rPr>
        <w:t xml:space="preserve"> rose – most strongly in the Czech Republic and Romania – to EUR 241.7 billion (+3.8%; EUR 232.8 billion). The </w:t>
      </w:r>
      <w:r w:rsidRPr="00C165CC">
        <w:rPr>
          <w:rFonts w:ascii="Inter" w:hAnsi="Inter" w:cs="Arial"/>
          <w:b/>
          <w:bCs/>
          <w:sz w:val="20"/>
          <w:szCs w:val="20"/>
          <w:lang w:val="en-US"/>
        </w:rPr>
        <w:t>loan-to-deposit ratio</w:t>
      </w:r>
      <w:r w:rsidRPr="00C165CC">
        <w:rPr>
          <w:rFonts w:ascii="Inter" w:hAnsi="Inter" w:cs="Arial"/>
          <w:sz w:val="20"/>
          <w:szCs w:val="20"/>
          <w:lang w:val="en-US"/>
        </w:rPr>
        <w:t xml:space="preserve"> stood at 90.2% (89.3%).</w:t>
      </w:r>
    </w:p>
    <w:p w14:paraId="4D5669F6" w14:textId="77777777" w:rsidR="00CC18B8" w:rsidRDefault="00CC18B8" w:rsidP="00BC5E2E">
      <w:pPr>
        <w:pStyle w:val="Bezmezer"/>
        <w:spacing w:line="280" w:lineRule="exact"/>
        <w:rPr>
          <w:rFonts w:ascii="Inter" w:hAnsi="Inter"/>
          <w:lang w:val="en-US"/>
        </w:rPr>
      </w:pPr>
    </w:p>
    <w:p w14:paraId="67C10841" w14:textId="6116A9CC" w:rsidR="003B4C4C" w:rsidRPr="00D77402" w:rsidRDefault="003B4C4C" w:rsidP="003B4C4C">
      <w:pPr>
        <w:pStyle w:val="Nadpis4"/>
        <w:rPr>
          <w:rFonts w:ascii="Inter" w:hAnsi="Inter"/>
          <w:color w:val="auto"/>
          <w:lang w:val="en-US"/>
        </w:rPr>
      </w:pPr>
      <w:r>
        <w:rPr>
          <w:rFonts w:ascii="Inter" w:hAnsi="Inter"/>
          <w:color w:val="auto"/>
          <w:lang w:val="en-US"/>
        </w:rPr>
        <w:t>Outlook</w:t>
      </w:r>
      <w:r w:rsidR="00FC6A1B">
        <w:rPr>
          <w:rFonts w:ascii="Inter" w:hAnsi="Inter"/>
          <w:color w:val="auto"/>
          <w:lang w:val="en-US"/>
        </w:rPr>
        <w:t xml:space="preserve"> 2025</w:t>
      </w:r>
    </w:p>
    <w:p w14:paraId="1723D949" w14:textId="22CDAC23" w:rsidR="00BB7217" w:rsidRPr="00C271AD" w:rsidRDefault="00BB7217" w:rsidP="00BB7217">
      <w:pPr>
        <w:pStyle w:val="Bezmezer"/>
        <w:spacing w:line="280" w:lineRule="exact"/>
        <w:rPr>
          <w:rFonts w:ascii="Inter" w:hAnsi="Inter"/>
          <w:sz w:val="20"/>
          <w:szCs w:val="20"/>
          <w:lang w:val="en-US"/>
        </w:rPr>
      </w:pPr>
      <w:r w:rsidRPr="00C271AD">
        <w:rPr>
          <w:rFonts w:ascii="Inter" w:hAnsi="Inter"/>
          <w:sz w:val="20"/>
          <w:szCs w:val="20"/>
          <w:lang w:val="en-US"/>
        </w:rPr>
        <w:t xml:space="preserve">Erste Group’s goal for 2025 is to achieve a </w:t>
      </w:r>
      <w:r w:rsidRPr="00C271AD">
        <w:rPr>
          <w:rFonts w:ascii="Inter" w:hAnsi="Inter"/>
          <w:b/>
          <w:bCs/>
          <w:sz w:val="20"/>
          <w:szCs w:val="20"/>
          <w:lang w:val="en-US"/>
        </w:rPr>
        <w:t>return on tangible equity (ROTE)</w:t>
      </w:r>
      <w:r w:rsidRPr="00C271AD">
        <w:rPr>
          <w:rFonts w:ascii="Inter" w:hAnsi="Inter"/>
          <w:sz w:val="20"/>
          <w:szCs w:val="20"/>
          <w:lang w:val="en-US"/>
        </w:rPr>
        <w:t xml:space="preserve"> of about 15%. This ambition is built on the following key assumptions</w:t>
      </w:r>
      <w:r w:rsidR="004879C1" w:rsidRPr="00C271AD">
        <w:rPr>
          <w:rFonts w:ascii="Inter" w:hAnsi="Inter"/>
          <w:sz w:val="20"/>
          <w:szCs w:val="20"/>
          <w:lang w:val="en-US"/>
        </w:rPr>
        <w:t>. Firstly</w:t>
      </w:r>
      <w:r w:rsidRPr="00C271AD">
        <w:rPr>
          <w:rFonts w:ascii="Inter" w:hAnsi="Inter"/>
          <w:sz w:val="20"/>
          <w:szCs w:val="20"/>
          <w:lang w:val="en-US"/>
        </w:rPr>
        <w:t xml:space="preserve">, the macroeconomic environment, primarily as measured by real GDP growth, in Erste Group’s seven core markets remains robust and, on average, improves </w:t>
      </w:r>
      <w:r w:rsidR="004879C1" w:rsidRPr="00C271AD">
        <w:rPr>
          <w:rFonts w:ascii="Inter" w:hAnsi="Inter"/>
          <w:sz w:val="20"/>
          <w:szCs w:val="20"/>
          <w:lang w:val="en-US"/>
        </w:rPr>
        <w:t xml:space="preserve">moderately </w:t>
      </w:r>
      <w:r w:rsidRPr="00C271AD">
        <w:rPr>
          <w:rFonts w:ascii="Inter" w:hAnsi="Inter"/>
          <w:sz w:val="20"/>
          <w:szCs w:val="20"/>
          <w:lang w:val="en-US"/>
        </w:rPr>
        <w:t xml:space="preserve">versus 2024. Consequently, Erste Group expects robust </w:t>
      </w:r>
      <w:r w:rsidRPr="00C271AD">
        <w:rPr>
          <w:rFonts w:ascii="Inter" w:hAnsi="Inter"/>
          <w:b/>
          <w:bCs/>
          <w:sz w:val="20"/>
          <w:szCs w:val="20"/>
          <w:lang w:val="en-US"/>
        </w:rPr>
        <w:t>loan growth</w:t>
      </w:r>
      <w:r w:rsidRPr="00C271AD">
        <w:rPr>
          <w:rFonts w:ascii="Inter" w:hAnsi="Inter"/>
          <w:sz w:val="20"/>
          <w:szCs w:val="20"/>
          <w:lang w:val="en-US"/>
        </w:rPr>
        <w:t xml:space="preserve"> of about 5% in 2025, supported by growth in the retail </w:t>
      </w:r>
      <w:r w:rsidR="00153C51" w:rsidRPr="00C271AD">
        <w:rPr>
          <w:rFonts w:ascii="Inter" w:hAnsi="Inter"/>
          <w:sz w:val="20"/>
          <w:szCs w:val="20"/>
          <w:lang w:val="en-US"/>
        </w:rPr>
        <w:t>as</w:t>
      </w:r>
      <w:r w:rsidRPr="00C271AD">
        <w:rPr>
          <w:rFonts w:ascii="Inter" w:hAnsi="Inter"/>
          <w:sz w:val="20"/>
          <w:szCs w:val="20"/>
          <w:lang w:val="en-US"/>
        </w:rPr>
        <w:t xml:space="preserve"> well as the corporate business. Secondly, operating performance as defined by </w:t>
      </w:r>
      <w:r w:rsidRPr="00C271AD">
        <w:rPr>
          <w:rFonts w:ascii="Inter" w:hAnsi="Inter"/>
          <w:b/>
          <w:bCs/>
          <w:sz w:val="20"/>
          <w:szCs w:val="20"/>
          <w:lang w:val="en-US"/>
        </w:rPr>
        <w:t>operating result</w:t>
      </w:r>
      <w:r w:rsidRPr="00C271AD">
        <w:rPr>
          <w:rFonts w:ascii="Inter" w:hAnsi="Inter"/>
          <w:sz w:val="20"/>
          <w:szCs w:val="20"/>
          <w:lang w:val="en-US"/>
        </w:rPr>
        <w:t xml:space="preserve"> to stay broadly stable versus 2024, as </w:t>
      </w:r>
      <w:r w:rsidRPr="00C271AD">
        <w:rPr>
          <w:rFonts w:ascii="Inter" w:hAnsi="Inter"/>
          <w:b/>
          <w:bCs/>
          <w:sz w:val="20"/>
          <w:szCs w:val="20"/>
          <w:lang w:val="en-US"/>
        </w:rPr>
        <w:t>net interest income</w:t>
      </w:r>
      <w:r w:rsidRPr="00C271AD">
        <w:rPr>
          <w:rFonts w:ascii="Inter" w:hAnsi="Inter"/>
          <w:sz w:val="20"/>
          <w:szCs w:val="20"/>
          <w:lang w:val="en-US"/>
        </w:rPr>
        <w:t xml:space="preserve"> is projected to remain flat year-on-year, </w:t>
      </w:r>
      <w:r w:rsidRPr="00C271AD">
        <w:rPr>
          <w:rFonts w:ascii="Inter" w:hAnsi="Inter"/>
          <w:b/>
          <w:bCs/>
          <w:sz w:val="20"/>
          <w:szCs w:val="20"/>
          <w:lang w:val="en-US"/>
        </w:rPr>
        <w:t>fee and commission income</w:t>
      </w:r>
      <w:r w:rsidRPr="00C271AD">
        <w:rPr>
          <w:rFonts w:ascii="Inter" w:hAnsi="Inter"/>
          <w:sz w:val="20"/>
          <w:szCs w:val="20"/>
          <w:lang w:val="en-US"/>
        </w:rPr>
        <w:t xml:space="preserve"> continues to grow by about 5%, </w:t>
      </w:r>
      <w:r w:rsidRPr="00C271AD">
        <w:rPr>
          <w:rFonts w:ascii="Inter" w:hAnsi="Inter"/>
          <w:b/>
          <w:bCs/>
          <w:sz w:val="20"/>
          <w:szCs w:val="20"/>
          <w:lang w:val="en-US"/>
        </w:rPr>
        <w:t>net trading and fair result</w:t>
      </w:r>
      <w:r w:rsidRPr="00C271AD">
        <w:rPr>
          <w:rFonts w:ascii="Inter" w:hAnsi="Inter"/>
          <w:sz w:val="20"/>
          <w:szCs w:val="20"/>
          <w:lang w:val="en-US"/>
        </w:rPr>
        <w:t xml:space="preserve"> produces a similar revenue contribution as in 2024, and </w:t>
      </w:r>
      <w:r w:rsidRPr="00C271AD">
        <w:rPr>
          <w:rFonts w:ascii="Inter" w:hAnsi="Inter"/>
          <w:b/>
          <w:bCs/>
          <w:sz w:val="20"/>
          <w:szCs w:val="20"/>
          <w:lang w:val="en-US"/>
        </w:rPr>
        <w:t>operating expenses</w:t>
      </w:r>
      <w:r w:rsidRPr="00C271AD">
        <w:rPr>
          <w:rFonts w:ascii="Inter" w:hAnsi="Inter"/>
          <w:sz w:val="20"/>
          <w:szCs w:val="20"/>
          <w:lang w:val="en-US"/>
        </w:rPr>
        <w:t xml:space="preserve"> grow on the order of 5%. Consequently, the </w:t>
      </w:r>
      <w:r w:rsidRPr="00C271AD">
        <w:rPr>
          <w:rFonts w:ascii="Inter" w:hAnsi="Inter"/>
          <w:b/>
          <w:bCs/>
          <w:sz w:val="20"/>
          <w:szCs w:val="20"/>
          <w:lang w:val="en-US"/>
        </w:rPr>
        <w:t>cost/income ratio</w:t>
      </w:r>
      <w:r w:rsidRPr="00C271AD">
        <w:rPr>
          <w:rFonts w:ascii="Inter" w:hAnsi="Inter"/>
          <w:sz w:val="20"/>
          <w:szCs w:val="20"/>
          <w:lang w:val="en-US"/>
        </w:rPr>
        <w:t xml:space="preserve"> is expected to be below 50%. </w:t>
      </w:r>
      <w:r w:rsidR="005738A0" w:rsidRPr="00C271AD">
        <w:rPr>
          <w:rFonts w:ascii="Inter" w:hAnsi="Inter"/>
          <w:sz w:val="20"/>
          <w:szCs w:val="20"/>
          <w:lang w:val="en-US"/>
        </w:rPr>
        <w:t>Thirdly</w:t>
      </w:r>
      <w:r w:rsidRPr="00C271AD">
        <w:rPr>
          <w:rFonts w:ascii="Inter" w:hAnsi="Inter"/>
          <w:sz w:val="20"/>
          <w:szCs w:val="20"/>
          <w:lang w:val="en-US"/>
        </w:rPr>
        <w:t xml:space="preserve">, </w:t>
      </w:r>
      <w:r w:rsidRPr="00C271AD">
        <w:rPr>
          <w:rFonts w:ascii="Inter" w:hAnsi="Inter"/>
          <w:b/>
          <w:bCs/>
          <w:sz w:val="20"/>
          <w:szCs w:val="20"/>
          <w:lang w:val="en-US"/>
        </w:rPr>
        <w:t>risk costs</w:t>
      </w:r>
      <w:r w:rsidRPr="00C271AD">
        <w:rPr>
          <w:rFonts w:ascii="Inter" w:hAnsi="Inter"/>
          <w:sz w:val="20"/>
          <w:szCs w:val="20"/>
          <w:lang w:val="en-US"/>
        </w:rPr>
        <w:t xml:space="preserve"> increase</w:t>
      </w:r>
      <w:r w:rsidR="00C271AD">
        <w:rPr>
          <w:rFonts w:ascii="Inter" w:hAnsi="Inter"/>
          <w:sz w:val="20"/>
          <w:szCs w:val="20"/>
          <w:lang w:val="en-US"/>
        </w:rPr>
        <w:t>d</w:t>
      </w:r>
      <w:r w:rsidRPr="00C271AD">
        <w:rPr>
          <w:rFonts w:ascii="Inter" w:hAnsi="Inter"/>
          <w:sz w:val="20"/>
          <w:szCs w:val="20"/>
          <w:lang w:val="en-US"/>
        </w:rPr>
        <w:t xml:space="preserve"> only slightly to about 25 basis points of average customer loans from levels seen in 2024, as the asset quality environment remains strong across Central and Eastern Europe while only deteriorating moderately in Austria. </w:t>
      </w:r>
    </w:p>
    <w:p w14:paraId="23DCE2A9" w14:textId="77777777" w:rsidR="00BB7217" w:rsidRPr="00C271AD" w:rsidRDefault="00BB7217" w:rsidP="00BB7217">
      <w:pPr>
        <w:pStyle w:val="Bezmezer"/>
        <w:spacing w:line="280" w:lineRule="exact"/>
        <w:rPr>
          <w:rFonts w:ascii="Inter" w:hAnsi="Inter"/>
          <w:sz w:val="20"/>
          <w:szCs w:val="20"/>
          <w:lang w:val="en-US"/>
        </w:rPr>
      </w:pPr>
    </w:p>
    <w:p w14:paraId="6BF03852" w14:textId="0EEDE55C" w:rsidR="00BB7217" w:rsidRPr="00B46E14" w:rsidRDefault="00BB7217" w:rsidP="00BB7217">
      <w:pPr>
        <w:pStyle w:val="Bezmezer"/>
        <w:spacing w:line="280" w:lineRule="exact"/>
        <w:rPr>
          <w:rFonts w:ascii="Inter" w:hAnsi="Inter"/>
          <w:sz w:val="20"/>
          <w:szCs w:val="20"/>
          <w:lang w:val="en-US"/>
        </w:rPr>
      </w:pPr>
      <w:r w:rsidRPr="00C271AD">
        <w:rPr>
          <w:rFonts w:ascii="Inter" w:hAnsi="Inter"/>
          <w:sz w:val="20"/>
          <w:szCs w:val="20"/>
          <w:lang w:val="en-US"/>
        </w:rPr>
        <w:t xml:space="preserve">In line with the projected strong profit performance, the </w:t>
      </w:r>
      <w:r w:rsidRPr="00C271AD">
        <w:rPr>
          <w:rFonts w:ascii="Inter" w:hAnsi="Inter"/>
          <w:b/>
          <w:bCs/>
          <w:sz w:val="20"/>
          <w:szCs w:val="20"/>
          <w:lang w:val="en-US"/>
        </w:rPr>
        <w:t>CET1 ratio</w:t>
      </w:r>
      <w:r w:rsidRPr="00C271AD">
        <w:rPr>
          <w:rFonts w:ascii="Inter" w:hAnsi="Inter"/>
          <w:sz w:val="20"/>
          <w:szCs w:val="20"/>
          <w:lang w:val="en-US"/>
        </w:rPr>
        <w:t xml:space="preserve"> is expected to increase in 2025, providing enhanced capital return and/or M&amp;A flexibility</w:t>
      </w:r>
      <w:r w:rsidR="00A32E5C" w:rsidRPr="00C271AD">
        <w:rPr>
          <w:rFonts w:ascii="Inter" w:hAnsi="Inter"/>
          <w:sz w:val="20"/>
          <w:szCs w:val="20"/>
          <w:lang w:val="en-US"/>
        </w:rPr>
        <w:t>.</w:t>
      </w:r>
      <w:r w:rsidRPr="00C271AD">
        <w:rPr>
          <w:rFonts w:ascii="Inter" w:hAnsi="Inter"/>
          <w:sz w:val="20"/>
          <w:szCs w:val="20"/>
          <w:lang w:val="en-US"/>
        </w:rPr>
        <w:t xml:space="preserve"> </w:t>
      </w:r>
      <w:r w:rsidR="00A54DA6" w:rsidRPr="00C271AD">
        <w:rPr>
          <w:rFonts w:cs="Arial"/>
          <w:sz w:val="20"/>
          <w:szCs w:val="20"/>
          <w:lang w:val="en-GB"/>
        </w:rPr>
        <w:t>The adjusted net profit of 2024 (net profit after deduction of AT1-dividends) allows</w:t>
      </w:r>
      <w:r w:rsidR="00A54DA6" w:rsidRPr="00C271AD">
        <w:rPr>
          <w:sz w:val="20"/>
          <w:lang w:val="en-GB"/>
        </w:rPr>
        <w:t xml:space="preserve"> Erste Group </w:t>
      </w:r>
      <w:r w:rsidR="00A54DA6" w:rsidRPr="00C271AD">
        <w:rPr>
          <w:rFonts w:cs="Arial"/>
          <w:sz w:val="20"/>
          <w:szCs w:val="20"/>
          <w:lang w:val="en-US"/>
        </w:rPr>
        <w:t xml:space="preserve">to </w:t>
      </w:r>
      <w:r w:rsidR="00A54DA6" w:rsidRPr="00C271AD">
        <w:rPr>
          <w:rFonts w:cs="Arial"/>
          <w:sz w:val="20"/>
          <w:szCs w:val="20"/>
          <w:lang w:val="en-GB"/>
        </w:rPr>
        <w:t>target a regular dividend equalling 41.2% of adjusted net profit, as well as</w:t>
      </w:r>
      <w:r w:rsidR="00A54DA6" w:rsidRPr="00C271AD">
        <w:rPr>
          <w:sz w:val="20"/>
          <w:lang w:val="en-GB"/>
        </w:rPr>
        <w:t xml:space="preserve"> the execution of a third share buyback in the amount of 23.7% of adjusted net profit, subject to regulatory approval.</w:t>
      </w:r>
      <w:r w:rsidR="00A54DA6">
        <w:rPr>
          <w:sz w:val="20"/>
          <w:lang w:val="en-GB"/>
        </w:rPr>
        <w:t xml:space="preserve"> </w:t>
      </w:r>
    </w:p>
    <w:p w14:paraId="4BFFD76E" w14:textId="77777777" w:rsidR="003B4C4C" w:rsidRDefault="003B4C4C" w:rsidP="00BC5E2E">
      <w:pPr>
        <w:pStyle w:val="Bezmezer"/>
        <w:spacing w:line="280" w:lineRule="exact"/>
        <w:rPr>
          <w:rFonts w:ascii="Inter" w:hAnsi="Inter"/>
          <w:lang w:val="en-US"/>
        </w:rPr>
      </w:pPr>
    </w:p>
    <w:p w14:paraId="4756CB46" w14:textId="5DFC0EF4" w:rsidR="003B4C4C" w:rsidRPr="00A85FA9" w:rsidRDefault="003B4C4C" w:rsidP="00BC5E2E">
      <w:pPr>
        <w:pStyle w:val="Bezmezer"/>
        <w:spacing w:line="280" w:lineRule="exact"/>
        <w:rPr>
          <w:rFonts w:ascii="Inter" w:hAnsi="Inter"/>
          <w:lang w:val="en-US"/>
        </w:rPr>
      </w:pPr>
    </w:p>
    <w:p w14:paraId="0BE59F4D" w14:textId="6E5DD24A" w:rsidR="00C74AE1" w:rsidRDefault="00C74AE1" w:rsidP="009844F9">
      <w:pPr>
        <w:rPr>
          <w:rFonts w:ascii="Inter" w:hAnsi="Inter"/>
          <w:lang w:val="en-US"/>
        </w:rPr>
      </w:pPr>
    </w:p>
    <w:p w14:paraId="072BEB32" w14:textId="7B5DF287" w:rsidR="00C74AE1" w:rsidRDefault="00C74AE1">
      <w:pPr>
        <w:spacing w:line="240" w:lineRule="auto"/>
        <w:rPr>
          <w:rFonts w:ascii="Inter" w:hAnsi="Inter"/>
          <w:lang w:val="en-US"/>
        </w:rPr>
      </w:pPr>
    </w:p>
    <w:p w14:paraId="7E232D6C" w14:textId="218A4B84" w:rsidR="00CC18B8" w:rsidRDefault="000F7536" w:rsidP="009844F9">
      <w:pPr>
        <w:rPr>
          <w:rFonts w:ascii="Inter" w:hAnsi="Inter"/>
          <w:lang w:val="en-US"/>
        </w:rPr>
      </w:pPr>
      <w:r w:rsidRPr="000F7536">
        <w:rPr>
          <w:rFonts w:ascii="Inter" w:hAnsi="Inter"/>
          <w:lang w:val="en-US"/>
        </w:rPr>
        <w:drawing>
          <wp:inline distT="0" distB="0" distL="0" distR="0" wp14:anchorId="517FBCFA" wp14:editId="5FDD4EA9">
            <wp:extent cx="5756910" cy="5180330"/>
            <wp:effectExtent l="0" t="0" r="0" b="1270"/>
            <wp:docPr id="115701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19934" name=""/>
                    <pic:cNvPicPr/>
                  </pic:nvPicPr>
                  <pic:blipFill>
                    <a:blip r:embed="rId11"/>
                    <a:stretch>
                      <a:fillRect/>
                    </a:stretch>
                  </pic:blipFill>
                  <pic:spPr>
                    <a:xfrm>
                      <a:off x="0" y="0"/>
                      <a:ext cx="5756910" cy="5180330"/>
                    </a:xfrm>
                    <a:prstGeom prst="rect">
                      <a:avLst/>
                    </a:prstGeom>
                  </pic:spPr>
                </pic:pic>
              </a:graphicData>
            </a:graphic>
          </wp:inline>
        </w:drawing>
      </w:r>
    </w:p>
    <w:p w14:paraId="7BE23468" w14:textId="77777777" w:rsidR="001D6A56" w:rsidRDefault="001D6A56" w:rsidP="009844F9">
      <w:pPr>
        <w:rPr>
          <w:rFonts w:ascii="Inter" w:hAnsi="Inter"/>
          <w:lang w:val="en-US"/>
        </w:rPr>
      </w:pPr>
    </w:p>
    <w:p w14:paraId="0AEC967C" w14:textId="77777777" w:rsidR="001D6A56" w:rsidRDefault="001D6A56" w:rsidP="009844F9">
      <w:pPr>
        <w:rPr>
          <w:rFonts w:ascii="Inter" w:hAnsi="Inter"/>
          <w:lang w:val="en-US"/>
        </w:rPr>
      </w:pPr>
    </w:p>
    <w:p w14:paraId="43BC0832" w14:textId="77777777" w:rsidR="001D6A56" w:rsidRDefault="001D6A56" w:rsidP="009844F9">
      <w:pPr>
        <w:rPr>
          <w:rFonts w:ascii="Inter" w:hAnsi="Inter"/>
          <w:lang w:val="en-US"/>
        </w:rPr>
      </w:pPr>
    </w:p>
    <w:p w14:paraId="6E6A3F46" w14:textId="77777777" w:rsidR="001D6A56" w:rsidRDefault="001D6A56" w:rsidP="009844F9">
      <w:pPr>
        <w:rPr>
          <w:rFonts w:ascii="Inter" w:hAnsi="Inter"/>
          <w:lang w:val="en-US"/>
        </w:rPr>
      </w:pPr>
    </w:p>
    <w:p w14:paraId="122FB858" w14:textId="77777777" w:rsidR="001D6A56" w:rsidRDefault="001D6A56" w:rsidP="009844F9">
      <w:pPr>
        <w:rPr>
          <w:rFonts w:ascii="Inter" w:hAnsi="Inter"/>
          <w:lang w:val="en-US"/>
        </w:rPr>
      </w:pPr>
    </w:p>
    <w:p w14:paraId="154798EF" w14:textId="77777777" w:rsidR="001D6A56" w:rsidRDefault="001D6A56" w:rsidP="009844F9">
      <w:pPr>
        <w:rPr>
          <w:rFonts w:ascii="Inter" w:hAnsi="Inter"/>
          <w:lang w:val="en-US"/>
        </w:rPr>
      </w:pPr>
    </w:p>
    <w:p w14:paraId="29C4105E" w14:textId="77777777" w:rsidR="001D6A56" w:rsidRDefault="001D6A56" w:rsidP="009844F9">
      <w:pPr>
        <w:rPr>
          <w:rFonts w:ascii="Inter" w:hAnsi="Inter"/>
          <w:lang w:val="en-US"/>
        </w:rPr>
      </w:pPr>
    </w:p>
    <w:p w14:paraId="60D17128" w14:textId="77777777" w:rsidR="001D6A56" w:rsidRDefault="001D6A56" w:rsidP="009844F9">
      <w:pPr>
        <w:rPr>
          <w:rFonts w:ascii="Inter" w:hAnsi="Inter"/>
          <w:lang w:val="en-US"/>
        </w:rPr>
      </w:pPr>
    </w:p>
    <w:p w14:paraId="421F1C66" w14:textId="01B230FA" w:rsidR="001D6A56" w:rsidRPr="00A85FA9" w:rsidRDefault="001D6A56" w:rsidP="009844F9">
      <w:pPr>
        <w:rPr>
          <w:rFonts w:ascii="Inter" w:hAnsi="Inter"/>
          <w:lang w:val="en-US"/>
        </w:rPr>
      </w:pPr>
      <w:r w:rsidRPr="00A85FA9">
        <w:rPr>
          <w:rFonts w:ascii="Inter" w:hAnsi="Inter"/>
        </w:rPr>
        <mc:AlternateContent>
          <mc:Choice Requires="wps">
            <w:drawing>
              <wp:anchor distT="0" distB="0" distL="114300" distR="114300" simplePos="0" relativeHeight="251658240" behindDoc="0" locked="0" layoutInCell="1" allowOverlap="1" wp14:anchorId="2C0D8BE9" wp14:editId="1EBD401E">
                <wp:simplePos x="0" y="0"/>
                <wp:positionH relativeFrom="column">
                  <wp:posOffset>0</wp:posOffset>
                </wp:positionH>
                <wp:positionV relativeFrom="paragraph">
                  <wp:posOffset>180975</wp:posOffset>
                </wp:positionV>
                <wp:extent cx="5744845" cy="1554480"/>
                <wp:effectExtent l="0" t="0" r="27305" b="28575"/>
                <wp:wrapTopAndBottom/>
                <wp:docPr id="7" name="Rechteck: abgerundete Ecken 605"/>
                <wp:cNvGraphicFramePr/>
                <a:graphic xmlns:a="http://schemas.openxmlformats.org/drawingml/2006/main">
                  <a:graphicData uri="http://schemas.microsoft.com/office/word/2010/wordprocessingShape">
                    <wps:wsp>
                      <wps:cNvSpPr/>
                      <wps:spPr>
                        <a:xfrm>
                          <a:off x="0" y="0"/>
                          <a:ext cx="5744845" cy="1554480"/>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96429" w14:textId="77777777" w:rsidR="001D6A56" w:rsidRPr="00E630E9" w:rsidRDefault="001D6A56" w:rsidP="001D6A56">
                            <w:pPr>
                              <w:ind w:left="-426"/>
                              <w:jc w:val="center"/>
                              <w:rPr>
                                <w:rFonts w:ascii="Inter" w:eastAsia="Arial" w:hAnsi="Inter"/>
                                <w:b/>
                                <w:bCs/>
                                <w:color w:val="000000" w:themeColor="text1"/>
                                <w:sz w:val="14"/>
                                <w:szCs w:val="14"/>
                                <w:lang w:val="en-US"/>
                              </w:rPr>
                            </w:pPr>
                            <w:r w:rsidRPr="00E630E9">
                              <w:rPr>
                                <w:rFonts w:ascii="Inter" w:eastAsia="Arial" w:hAnsi="Inter"/>
                                <w:b/>
                                <w:bCs/>
                                <w:color w:val="000000" w:themeColor="text1"/>
                                <w:sz w:val="14"/>
                                <w:szCs w:val="14"/>
                                <w:shd w:val="clear" w:color="auto" w:fill="auto"/>
                                <w:lang w:val="en-US"/>
                              </w:rPr>
                              <w:t>Media inquiries:</w:t>
                            </w:r>
                          </w:p>
                          <w:p w14:paraId="2064355D" w14:textId="77777777" w:rsidR="001D6A56" w:rsidRPr="00711D5D" w:rsidRDefault="001D6A56" w:rsidP="001D6A56">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14A9302D" w14:textId="007C3DC8" w:rsidR="00B160E2" w:rsidRDefault="00B160E2" w:rsidP="001D6A56">
                            <w:pPr>
                              <w:ind w:left="-426"/>
                              <w:jc w:val="center"/>
                              <w:rPr>
                                <w:rFonts w:ascii="Inter" w:eastAsia="Arial" w:hAnsi="Inter"/>
                                <w:color w:val="000000" w:themeColor="text1"/>
                                <w:sz w:val="14"/>
                                <w:szCs w:val="14"/>
                                <w:shd w:val="clear" w:color="auto" w:fill="auto"/>
                                <w:lang w:val="en-US"/>
                              </w:rPr>
                            </w:pPr>
                            <w:r>
                              <w:rPr>
                                <w:rFonts w:ascii="Inter" w:eastAsia="Arial" w:hAnsi="Inter"/>
                                <w:color w:val="000000" w:themeColor="text1"/>
                                <w:sz w:val="14"/>
                                <w:szCs w:val="14"/>
                                <w:shd w:val="clear" w:color="auto" w:fill="auto"/>
                                <w:lang w:val="en-US"/>
                              </w:rPr>
                              <w:t xml:space="preserve">Margarita Thiel, 050100 </w:t>
                            </w:r>
                            <w:r w:rsidR="005C294C">
                              <w:rPr>
                                <w:rFonts w:ascii="Inter" w:eastAsia="Arial" w:hAnsi="Inter"/>
                                <w:color w:val="000000" w:themeColor="text1"/>
                                <w:sz w:val="14"/>
                                <w:szCs w:val="14"/>
                                <w:shd w:val="clear" w:color="auto" w:fill="auto"/>
                                <w:lang w:val="en-US"/>
                              </w:rPr>
                              <w:t>–</w:t>
                            </w:r>
                            <w:r>
                              <w:rPr>
                                <w:rFonts w:ascii="Inter" w:eastAsia="Arial" w:hAnsi="Inter"/>
                                <w:color w:val="000000" w:themeColor="text1"/>
                                <w:sz w:val="14"/>
                                <w:szCs w:val="14"/>
                                <w:shd w:val="clear" w:color="auto" w:fill="auto"/>
                                <w:lang w:val="en-US"/>
                              </w:rPr>
                              <w:t xml:space="preserve"> </w:t>
                            </w:r>
                            <w:r w:rsidR="005C294C">
                              <w:rPr>
                                <w:rFonts w:ascii="Inter" w:eastAsia="Arial" w:hAnsi="Inter"/>
                                <w:color w:val="000000" w:themeColor="text1"/>
                                <w:sz w:val="14"/>
                                <w:szCs w:val="14"/>
                                <w:shd w:val="clear" w:color="auto" w:fill="auto"/>
                                <w:lang w:val="en-US"/>
                              </w:rPr>
                              <w:t xml:space="preserve">13425, E-Mail: </w:t>
                            </w:r>
                            <w:hyperlink r:id="rId12" w:history="1">
                              <w:r w:rsidR="005C294C" w:rsidRPr="005C294C">
                                <w:rPr>
                                  <w:rStyle w:val="Hypertextovodkaz"/>
                                  <w:rFonts w:ascii="Inter" w:hAnsi="Inter"/>
                                  <w:lang w:val="en-US"/>
                                </w:rPr>
                                <w:t>margarita.thiel@erstegroup.com</w:t>
                              </w:r>
                            </w:hyperlink>
                          </w:p>
                          <w:p w14:paraId="3F5FFAAA" w14:textId="2599B45E" w:rsidR="001D6A56" w:rsidRPr="00711D5D" w:rsidRDefault="001D6A56" w:rsidP="001D6A56">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3" w:history="1">
                              <w:r w:rsidRPr="00711D5D">
                                <w:rPr>
                                  <w:rStyle w:val="Hypertextovodkaz"/>
                                  <w:rFonts w:ascii="Inter" w:hAnsi="Inter"/>
                                  <w:color w:val="2870ED"/>
                                  <w:lang w:val="en-US"/>
                                </w:rPr>
                                <w:t>christian.hromatka@erstegroup.com</w:t>
                              </w:r>
                            </w:hyperlink>
                            <w:r w:rsidRPr="00711D5D">
                              <w:rPr>
                                <w:rFonts w:ascii="Inter" w:eastAsia="Arial" w:hAnsi="Inter"/>
                                <w:color w:val="000000" w:themeColor="text1"/>
                                <w:sz w:val="14"/>
                                <w:szCs w:val="14"/>
                                <w:lang w:val="en-US"/>
                              </w:rPr>
                              <w:t xml:space="preserve"> </w:t>
                            </w:r>
                          </w:p>
                          <w:p w14:paraId="60202957" w14:textId="77777777" w:rsidR="001D6A56" w:rsidRPr="00711D5D" w:rsidRDefault="001D6A56" w:rsidP="001D6A56">
                            <w:pPr>
                              <w:autoSpaceDE w:val="0"/>
                              <w:autoSpaceDN w:val="0"/>
                              <w:adjustRightInd w:val="0"/>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4" w:history="1">
                              <w:r w:rsidRPr="00711D5D">
                                <w:rPr>
                                  <w:rStyle w:val="Hypertextovodkaz"/>
                                  <w:rFonts w:ascii="Inter" w:hAnsi="Inter"/>
                                  <w:color w:val="2870ED"/>
                                </w:rPr>
                                <w:t>martin.sonn-wende@erstegroup.com</w:t>
                              </w:r>
                            </w:hyperlink>
                            <w:r w:rsidRPr="00711D5D">
                              <w:rPr>
                                <w:rFonts w:ascii="Inter" w:eastAsia="Arial" w:hAnsi="Inter"/>
                                <w:color w:val="2870ED"/>
                                <w:sz w:val="14"/>
                                <w:szCs w:val="14"/>
                              </w:rPr>
                              <w:t xml:space="preserve"> </w:t>
                            </w:r>
                          </w:p>
                          <w:p w14:paraId="4CDEE9CA" w14:textId="77777777" w:rsidR="001D6A56" w:rsidRPr="00711D5D" w:rsidRDefault="001D6A56" w:rsidP="001D6A56">
                            <w:pPr>
                              <w:autoSpaceDE w:val="0"/>
                              <w:autoSpaceDN w:val="0"/>
                              <w:adjustRightInd w:val="0"/>
                              <w:ind w:left="-426"/>
                              <w:jc w:val="center"/>
                              <w:rPr>
                                <w:rStyle w:val="Hypertextovodkaz"/>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15" w:history="1">
                              <w:r w:rsidRPr="00711D5D">
                                <w:rPr>
                                  <w:rStyle w:val="Hypertextovodkaz"/>
                                  <w:rFonts w:ascii="Inter" w:hAnsi="Inter"/>
                                  <w:color w:val="2870ED"/>
                                </w:rPr>
                                <w:t>peter.klopf@erstegroup.com</w:t>
                              </w:r>
                            </w:hyperlink>
                          </w:p>
                          <w:p w14:paraId="1EBBB58A" w14:textId="77777777" w:rsidR="001D6A56" w:rsidRPr="00A82E7F" w:rsidRDefault="001D6A56" w:rsidP="001D6A56">
                            <w:pPr>
                              <w:autoSpaceDE w:val="0"/>
                              <w:autoSpaceDN w:val="0"/>
                              <w:adjustRightInd w:val="0"/>
                              <w:ind w:left="-426"/>
                              <w:jc w:val="center"/>
                              <w:rPr>
                                <w:rFonts w:ascii="Inter" w:eastAsia="Arial" w:hAnsi="Inter"/>
                                <w:color w:val="000000" w:themeColor="text1"/>
                                <w:sz w:val="14"/>
                                <w:szCs w:val="14"/>
                                <w:shd w:val="clear" w:color="auto" w:fill="auto"/>
                              </w:rPr>
                            </w:pPr>
                          </w:p>
                          <w:p w14:paraId="223029BB" w14:textId="77777777" w:rsidR="001D6A56" w:rsidRPr="00711D5D" w:rsidRDefault="001D6A56" w:rsidP="001D6A56">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6">
                              <w:r>
                                <w:rPr>
                                  <w:rStyle w:val="Hypertextovodkaz"/>
                                  <w:rFonts w:ascii="Inter" w:hAnsi="Inter"/>
                                  <w:color w:val="2870ED"/>
                                  <w:lang w:val="en-US"/>
                                </w:rPr>
                                <w:t>https://www.erstegroup.com/en/news-media</w:t>
                              </w:r>
                            </w:hyperlink>
                          </w:p>
                          <w:p w14:paraId="2CBDA00F" w14:textId="2125424B" w:rsidR="001D6A56" w:rsidRPr="00711D5D" w:rsidRDefault="001D6A56" w:rsidP="001D6A56">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17" w:history="1">
                              <w:r w:rsidRPr="00711D5D">
                                <w:rPr>
                                  <w:rStyle w:val="Hypertextovodkaz"/>
                                  <w:rFonts w:ascii="Inter" w:hAnsi="Inter"/>
                                  <w:color w:val="2870ED"/>
                                  <w:lang w:val="en-US"/>
                                </w:rPr>
                                <w:t>please write an email to presse@erstebank.at</w:t>
                              </w:r>
                            </w:hyperlink>
                            <w:r w:rsidRPr="00113355">
                              <w:rPr>
                                <w:rStyle w:val="Hypertextovodkaz"/>
                                <w:rFonts w:ascii="Inter" w:hAnsi="Inter"/>
                                <w:color w:val="2870ED"/>
                                <w:u w:val="none"/>
                                <w:lang w:val="en-US"/>
                              </w:rPr>
                              <w:t>.</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C0D8BE9" id="Rechteck: abgerundete Ecken 605" o:spid="_x0000_s1026" style="position:absolute;margin-left:0;margin-top:14.25pt;width:452.35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" filled="f" strokecolor="#2870ed" strokeweight="1.5pt">
                <v:stroke joinstyle="miter"/>
                <v:textbox style="mso-fit-shape-to-text:t" inset="5mm,,5mm">
                  <w:txbxContent>
                    <w:p w14:paraId="20596429" w14:textId="77777777" w:rsidR="001D6A56" w:rsidRPr="00E630E9" w:rsidRDefault="001D6A56" w:rsidP="001D6A56">
                      <w:pPr>
                        <w:ind w:left="-426"/>
                        <w:jc w:val="center"/>
                        <w:rPr>
                          <w:rFonts w:ascii="Inter" w:eastAsia="Arial" w:hAnsi="Inter"/>
                          <w:b/>
                          <w:bCs/>
                          <w:color w:val="000000" w:themeColor="text1"/>
                          <w:sz w:val="14"/>
                          <w:szCs w:val="14"/>
                          <w:lang w:val="en-US"/>
                        </w:rPr>
                      </w:pPr>
                      <w:r w:rsidRPr="00E630E9">
                        <w:rPr>
                          <w:rFonts w:ascii="Inter" w:eastAsia="Arial" w:hAnsi="Inter"/>
                          <w:b/>
                          <w:bCs/>
                          <w:color w:val="000000" w:themeColor="text1"/>
                          <w:sz w:val="14"/>
                          <w:szCs w:val="14"/>
                          <w:shd w:val="clear" w:color="auto" w:fill="auto"/>
                          <w:lang w:val="en-US"/>
                        </w:rPr>
                        <w:t>Media inquiries:</w:t>
                      </w:r>
                    </w:p>
                    <w:p w14:paraId="2064355D" w14:textId="77777777" w:rsidR="001D6A56" w:rsidRPr="00711D5D" w:rsidRDefault="001D6A56" w:rsidP="001D6A56">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14A9302D" w14:textId="007C3DC8" w:rsidR="00B160E2" w:rsidRDefault="00B160E2" w:rsidP="001D6A56">
                      <w:pPr>
                        <w:ind w:left="-426"/>
                        <w:jc w:val="center"/>
                        <w:rPr>
                          <w:rFonts w:ascii="Inter" w:eastAsia="Arial" w:hAnsi="Inter"/>
                          <w:color w:val="000000" w:themeColor="text1"/>
                          <w:sz w:val="14"/>
                          <w:szCs w:val="14"/>
                          <w:shd w:val="clear" w:color="auto" w:fill="auto"/>
                          <w:lang w:val="en-US"/>
                        </w:rPr>
                      </w:pPr>
                      <w:r>
                        <w:rPr>
                          <w:rFonts w:ascii="Inter" w:eastAsia="Arial" w:hAnsi="Inter"/>
                          <w:color w:val="000000" w:themeColor="text1"/>
                          <w:sz w:val="14"/>
                          <w:szCs w:val="14"/>
                          <w:shd w:val="clear" w:color="auto" w:fill="auto"/>
                          <w:lang w:val="en-US"/>
                        </w:rPr>
                        <w:t xml:space="preserve">Margarita Thiel, 050100 </w:t>
                      </w:r>
                      <w:r w:rsidR="005C294C">
                        <w:rPr>
                          <w:rFonts w:ascii="Inter" w:eastAsia="Arial" w:hAnsi="Inter"/>
                          <w:color w:val="000000" w:themeColor="text1"/>
                          <w:sz w:val="14"/>
                          <w:szCs w:val="14"/>
                          <w:shd w:val="clear" w:color="auto" w:fill="auto"/>
                          <w:lang w:val="en-US"/>
                        </w:rPr>
                        <w:t>–</w:t>
                      </w:r>
                      <w:r>
                        <w:rPr>
                          <w:rFonts w:ascii="Inter" w:eastAsia="Arial" w:hAnsi="Inter"/>
                          <w:color w:val="000000" w:themeColor="text1"/>
                          <w:sz w:val="14"/>
                          <w:szCs w:val="14"/>
                          <w:shd w:val="clear" w:color="auto" w:fill="auto"/>
                          <w:lang w:val="en-US"/>
                        </w:rPr>
                        <w:t xml:space="preserve"> </w:t>
                      </w:r>
                      <w:r w:rsidR="005C294C">
                        <w:rPr>
                          <w:rFonts w:ascii="Inter" w:eastAsia="Arial" w:hAnsi="Inter"/>
                          <w:color w:val="000000" w:themeColor="text1"/>
                          <w:sz w:val="14"/>
                          <w:szCs w:val="14"/>
                          <w:shd w:val="clear" w:color="auto" w:fill="auto"/>
                          <w:lang w:val="en-US"/>
                        </w:rPr>
                        <w:t xml:space="preserve">13425, E-Mail: </w:t>
                      </w:r>
                      <w:hyperlink r:id="rId18" w:history="1">
                        <w:r w:rsidR="005C294C" w:rsidRPr="005C294C">
                          <w:rPr>
                            <w:rStyle w:val="Hyperlink"/>
                            <w:rFonts w:ascii="Inter" w:hAnsi="Inter"/>
                            <w:lang w:val="en-US"/>
                          </w:rPr>
                          <w:t>margarita.thiel@erstegroup.com</w:t>
                        </w:r>
                      </w:hyperlink>
                    </w:p>
                    <w:p w14:paraId="3F5FFAAA" w14:textId="2599B45E" w:rsidR="001D6A56" w:rsidRPr="00711D5D" w:rsidRDefault="001D6A56" w:rsidP="001D6A56">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9" w:history="1">
                        <w:r w:rsidRPr="00711D5D">
                          <w:rPr>
                            <w:rStyle w:val="Hyperlink"/>
                            <w:rFonts w:ascii="Inter" w:hAnsi="Inter"/>
                            <w:color w:val="2870ED"/>
                            <w:lang w:val="en-US"/>
                          </w:rPr>
                          <w:t>christian.hromatka@erstegroup.com</w:t>
                        </w:r>
                      </w:hyperlink>
                      <w:r w:rsidRPr="00711D5D">
                        <w:rPr>
                          <w:rFonts w:ascii="Inter" w:eastAsia="Arial" w:hAnsi="Inter"/>
                          <w:color w:val="000000" w:themeColor="text1"/>
                          <w:sz w:val="14"/>
                          <w:szCs w:val="14"/>
                          <w:lang w:val="en-US"/>
                        </w:rPr>
                        <w:t xml:space="preserve"> </w:t>
                      </w:r>
                    </w:p>
                    <w:p w14:paraId="60202957" w14:textId="77777777" w:rsidR="001D6A56" w:rsidRPr="00711D5D" w:rsidRDefault="001D6A56" w:rsidP="001D6A56">
                      <w:pPr>
                        <w:autoSpaceDE w:val="0"/>
                        <w:autoSpaceDN w:val="0"/>
                        <w:adjustRightInd w:val="0"/>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20" w:history="1">
                        <w:r w:rsidRPr="00711D5D">
                          <w:rPr>
                            <w:rStyle w:val="Hyperlink"/>
                            <w:rFonts w:ascii="Inter" w:hAnsi="Inter"/>
                            <w:color w:val="2870ED"/>
                          </w:rPr>
                          <w:t>martin.sonn-wende@erstegroup.com</w:t>
                        </w:r>
                      </w:hyperlink>
                      <w:r w:rsidRPr="00711D5D">
                        <w:rPr>
                          <w:rFonts w:ascii="Inter" w:eastAsia="Arial" w:hAnsi="Inter"/>
                          <w:color w:val="2870ED"/>
                          <w:sz w:val="14"/>
                          <w:szCs w:val="14"/>
                        </w:rPr>
                        <w:t xml:space="preserve"> </w:t>
                      </w:r>
                    </w:p>
                    <w:p w14:paraId="4CDEE9CA" w14:textId="77777777" w:rsidR="001D6A56" w:rsidRPr="00711D5D" w:rsidRDefault="001D6A56" w:rsidP="001D6A56">
                      <w:pPr>
                        <w:autoSpaceDE w:val="0"/>
                        <w:autoSpaceDN w:val="0"/>
                        <w:adjustRightInd w:val="0"/>
                        <w:ind w:left="-426"/>
                        <w:jc w:val="center"/>
                        <w:rPr>
                          <w:rStyle w:val="Hyperlink"/>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21" w:history="1">
                        <w:r w:rsidRPr="00711D5D">
                          <w:rPr>
                            <w:rStyle w:val="Hyperlink"/>
                            <w:rFonts w:ascii="Inter" w:hAnsi="Inter"/>
                            <w:color w:val="2870ED"/>
                          </w:rPr>
                          <w:t>peter.klopf@erstegroup.com</w:t>
                        </w:r>
                      </w:hyperlink>
                    </w:p>
                    <w:p w14:paraId="1EBBB58A" w14:textId="77777777" w:rsidR="001D6A56" w:rsidRPr="00A82E7F" w:rsidRDefault="001D6A56" w:rsidP="001D6A56">
                      <w:pPr>
                        <w:autoSpaceDE w:val="0"/>
                        <w:autoSpaceDN w:val="0"/>
                        <w:adjustRightInd w:val="0"/>
                        <w:ind w:left="-426"/>
                        <w:jc w:val="center"/>
                        <w:rPr>
                          <w:rFonts w:ascii="Inter" w:eastAsia="Arial" w:hAnsi="Inter"/>
                          <w:color w:val="000000" w:themeColor="text1"/>
                          <w:sz w:val="14"/>
                          <w:szCs w:val="14"/>
                          <w:shd w:val="clear" w:color="auto" w:fill="auto"/>
                        </w:rPr>
                      </w:pPr>
                    </w:p>
                    <w:p w14:paraId="223029BB" w14:textId="77777777" w:rsidR="001D6A56" w:rsidRPr="00711D5D" w:rsidRDefault="001D6A56" w:rsidP="001D6A56">
                      <w:pPr>
                        <w:autoSpaceDE w:val="0"/>
                        <w:autoSpaceDN w:val="0"/>
                        <w:adjustRightInd w:val="0"/>
                        <w:ind w:left="-426"/>
                        <w:jc w:val="center"/>
                        <w:rPr>
                          <w:rStyle w:val="Hyperlink"/>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22">
                        <w:r>
                          <w:rPr>
                            <w:rStyle w:val="Hyperlink"/>
                            <w:rFonts w:ascii="Inter" w:hAnsi="Inter"/>
                            <w:color w:val="2870ED"/>
                            <w:lang w:val="en-US"/>
                          </w:rPr>
                          <w:t>https://www.erstegroup.com/en/news-media</w:t>
                        </w:r>
                      </w:hyperlink>
                    </w:p>
                    <w:p w14:paraId="2CBDA00F" w14:textId="2125424B" w:rsidR="001D6A56" w:rsidRPr="00711D5D" w:rsidRDefault="001D6A56" w:rsidP="001D6A56">
                      <w:pPr>
                        <w:autoSpaceDE w:val="0"/>
                        <w:autoSpaceDN w:val="0"/>
                        <w:adjustRightInd w:val="0"/>
                        <w:ind w:left="-426"/>
                        <w:jc w:val="center"/>
                        <w:rPr>
                          <w:rFonts w:ascii="Inter" w:eastAsia="Arial" w:hAnsi="Inter"/>
                          <w:color w:val="000000" w:themeColor="text1"/>
                          <w:sz w:val="14"/>
                          <w:szCs w:val="14"/>
                          <w:lang w:val="en-US"/>
                        </w:rPr>
                      </w:pPr>
                      <w:r w:rsidRPr="00711D5D">
                        <w:rPr>
                          <w:rStyle w:val="Hyperlink"/>
                          <w:rFonts w:ascii="Inter" w:hAnsi="Inter"/>
                          <w:color w:val="000000" w:themeColor="text1"/>
                          <w:u w:val="none"/>
                          <w:lang w:val="en-US"/>
                        </w:rPr>
                        <w:t xml:space="preserve">If you do not wish to receive any </w:t>
                      </w:r>
                      <w:r>
                        <w:rPr>
                          <w:rStyle w:val="Hyperlink"/>
                          <w:rFonts w:ascii="Inter" w:hAnsi="Inter"/>
                          <w:color w:val="000000" w:themeColor="text1"/>
                          <w:u w:val="none"/>
                          <w:lang w:val="en-US"/>
                        </w:rPr>
                        <w:t>media</w:t>
                      </w:r>
                      <w:r w:rsidRPr="00711D5D">
                        <w:rPr>
                          <w:rStyle w:val="Hyperlink"/>
                          <w:rFonts w:ascii="Inter" w:hAnsi="Inter"/>
                          <w:color w:val="000000" w:themeColor="text1"/>
                          <w:u w:val="none"/>
                          <w:lang w:val="en-US"/>
                        </w:rPr>
                        <w:t xml:space="preserve"> </w:t>
                      </w:r>
                      <w:r>
                        <w:rPr>
                          <w:rStyle w:val="Hyperlink"/>
                          <w:rFonts w:ascii="Inter" w:hAnsi="Inter"/>
                          <w:color w:val="000000" w:themeColor="text1"/>
                          <w:u w:val="none"/>
                          <w:lang w:val="en-US"/>
                        </w:rPr>
                        <w:t xml:space="preserve">information </w:t>
                      </w:r>
                      <w:r w:rsidRPr="00711D5D">
                        <w:rPr>
                          <w:rStyle w:val="Hyperlink"/>
                          <w:rFonts w:ascii="Inter" w:hAnsi="Inter"/>
                          <w:color w:val="000000" w:themeColor="text1"/>
                          <w:u w:val="none"/>
                          <w:lang w:val="en-US"/>
                        </w:rPr>
                        <w:t xml:space="preserve">from us in the future, </w:t>
                      </w:r>
                      <w:hyperlink r:id="rId23" w:history="1">
                        <w:r w:rsidRPr="00711D5D">
                          <w:rPr>
                            <w:rStyle w:val="Hyperlink"/>
                            <w:rFonts w:ascii="Inter" w:hAnsi="Inter"/>
                            <w:color w:val="2870ED"/>
                            <w:lang w:val="en-US"/>
                          </w:rPr>
                          <w:t>please write an email to presse@erstebank.at</w:t>
                        </w:r>
                      </w:hyperlink>
                      <w:r w:rsidRPr="00113355">
                        <w:rPr>
                          <w:rStyle w:val="Hyperlink"/>
                          <w:rFonts w:ascii="Inter" w:hAnsi="Inter"/>
                          <w:color w:val="2870ED"/>
                          <w:u w:val="none"/>
                          <w:lang w:val="en-US"/>
                        </w:rPr>
                        <w:t>.</w:t>
                      </w:r>
                    </w:p>
                  </w:txbxContent>
                </v:textbox>
                <w10:wrap type="topAndBottom"/>
              </v:roundrect>
            </w:pict>
          </mc:Fallback>
        </mc:AlternateContent>
      </w:r>
    </w:p>
    <w:sectPr w:rsidR="001D6A56" w:rsidRPr="00A85FA9" w:rsidSect="003B4C4C">
      <w:headerReference w:type="default" r:id="rId24"/>
      <w:headerReference w:type="first" r:id="rId25"/>
      <w:footerReference w:type="first" r:id="rId26"/>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461A" w14:textId="77777777" w:rsidR="00242592" w:rsidRDefault="00242592" w:rsidP="009844F9">
      <w:r>
        <w:separator/>
      </w:r>
    </w:p>
  </w:endnote>
  <w:endnote w:type="continuationSeparator" w:id="0">
    <w:p w14:paraId="55DC5FC7" w14:textId="77777777" w:rsidR="00242592" w:rsidRDefault="00242592" w:rsidP="009844F9">
      <w:r>
        <w:continuationSeparator/>
      </w:r>
    </w:p>
  </w:endnote>
  <w:endnote w:type="continuationNotice" w:id="1">
    <w:p w14:paraId="4ADCAD30" w14:textId="77777777" w:rsidR="00242592" w:rsidRDefault="00242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200247B" w:usb2="00000009" w:usb3="00000000" w:csb0="000001FF" w:csb1="00000000"/>
  </w:font>
  <w:font w:name="Inter">
    <w:panose1 w:val="02000503000000020004"/>
    <w:charset w:val="00"/>
    <w:family w:val="modern"/>
    <w:notTrueType/>
    <w:pitch w:val="variable"/>
    <w:sig w:usb0="E0000AFF" w:usb1="5200A1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AF73" w14:textId="77777777" w:rsidR="0069608C" w:rsidRDefault="00553F90" w:rsidP="0069608C">
    <w:pPr>
      <w:ind w:left="-426"/>
      <w:jc w:val="center"/>
      <w:rPr>
        <w:rFonts w:eastAsia="Arial"/>
        <w:b/>
        <w:bCs/>
        <w:sz w:val="14"/>
        <w:szCs w:val="14"/>
      </w:rPr>
    </w:pPr>
    <w:r w:rsidRPr="00553F90">
      <w:rPr>
        <w:rFonts w:eastAsia="Arial"/>
        <w:sz w:val="14"/>
        <w:szCs w:val="14"/>
        <w:shd w:val="clear" w:color="auto" w:fill="auto"/>
      </w:rPr>
      <mc:AlternateContent>
        <mc:Choice Requires="wps">
          <w:drawing>
            <wp:anchor distT="0" distB="0" distL="114300" distR="114300" simplePos="0" relativeHeight="251658242" behindDoc="0" locked="0" layoutInCell="1" allowOverlap="1" wp14:anchorId="29B26580" wp14:editId="3BEC9885">
              <wp:simplePos x="0" y="0"/>
              <wp:positionH relativeFrom="column">
                <wp:posOffset>-890905</wp:posOffset>
              </wp:positionH>
              <wp:positionV relativeFrom="paragraph">
                <wp:posOffset>362162</wp:posOffset>
              </wp:positionV>
              <wp:extent cx="7543800" cy="270933"/>
              <wp:effectExtent l="0" t="0" r="0" b="0"/>
              <wp:wrapNone/>
              <wp:docPr id="4" name="Rechteck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360ACAF" id="Rechteck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D039" w14:textId="77777777" w:rsidR="00242592" w:rsidRDefault="00242592" w:rsidP="009844F9">
      <w:r>
        <w:separator/>
      </w:r>
    </w:p>
  </w:footnote>
  <w:footnote w:type="continuationSeparator" w:id="0">
    <w:p w14:paraId="32E31DD7" w14:textId="77777777" w:rsidR="00242592" w:rsidRDefault="00242592" w:rsidP="009844F9">
      <w:r>
        <w:continuationSeparator/>
      </w:r>
    </w:p>
  </w:footnote>
  <w:footnote w:type="continuationNotice" w:id="1">
    <w:p w14:paraId="6B7B4DFE" w14:textId="77777777" w:rsidR="00242592" w:rsidRDefault="002425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533C" w14:textId="77777777" w:rsidR="00897B52" w:rsidRPr="00E57665" w:rsidRDefault="002B44FF" w:rsidP="0005724A">
    <w:pPr>
      <w:pStyle w:val="Zhlav"/>
    </w:pPr>
    <w:r w:rsidRPr="0066165B">
      <w:rPr>
        <w:highlight w:val="blue"/>
      </w:rPr>
      <w:drawing>
        <wp:anchor distT="0" distB="0" distL="114300" distR="114300" simplePos="0" relativeHeight="251658243" behindDoc="0" locked="0" layoutInCell="1" allowOverlap="1" wp14:anchorId="357490D8" wp14:editId="53E57A12">
          <wp:simplePos x="0" y="0"/>
          <wp:positionH relativeFrom="column">
            <wp:posOffset>-747</wp:posOffset>
          </wp:positionH>
          <wp:positionV relativeFrom="paragraph">
            <wp:posOffset>123190</wp:posOffset>
          </wp:positionV>
          <wp:extent cx="987136" cy="469323"/>
          <wp:effectExtent l="0" t="0" r="3810" b="63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highlight w:val="blue"/>
      </w:rPr>
      <mc:AlternateContent>
        <mc:Choice Requires="wps">
          <w:drawing>
            <wp:anchor distT="0" distB="0" distL="114300" distR="114300" simplePos="0" relativeHeight="251658244" behindDoc="1" locked="1" layoutInCell="1" allowOverlap="1" wp14:anchorId="2588E8F2" wp14:editId="105D4EAE">
              <wp:simplePos x="0" y="0"/>
              <wp:positionH relativeFrom="page">
                <wp:posOffset>427355</wp:posOffset>
              </wp:positionH>
              <wp:positionV relativeFrom="page">
                <wp:posOffset>260985</wp:posOffset>
              </wp:positionV>
              <wp:extent cx="6767830" cy="755650"/>
              <wp:effectExtent l="0" t="0" r="1270" b="6350"/>
              <wp:wrapNone/>
              <wp:docPr id="589" name="Rechteck: abgerundete Ecken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8D40F" w14:textId="681724D6" w:rsidR="001D07BC" w:rsidRPr="00F064B6" w:rsidRDefault="00D2183A"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3B4C4C">
                            <w:rPr>
                              <w:rFonts w:ascii="Inter" w:hAnsi="Inter"/>
                              <w:color w:val="FFFFFF" w:themeColor="background1"/>
                              <w:sz w:val="18"/>
                              <w:szCs w:val="32"/>
                            </w:rPr>
                            <w:t>28 February 2025</w:t>
                          </w:r>
                        </w:p>
                        <w:p w14:paraId="542C28FA"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oundrect w14:anchorId="2588E8F2" id="Rechteck: abgerundete Ecken 589" o:spid="_x0000_s1027" style="position:absolute;margin-left:33.65pt;margin-top:20.55pt;width:532.9pt;height: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3938D40F" w14:textId="681724D6" w:rsidR="001D07BC" w:rsidRPr="00F064B6" w:rsidRDefault="00D2183A"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3B4C4C">
                      <w:rPr>
                        <w:rFonts w:ascii="Inter" w:hAnsi="Inter"/>
                        <w:color w:val="FFFFFF" w:themeColor="background1"/>
                        <w:sz w:val="18"/>
                        <w:szCs w:val="32"/>
                      </w:rPr>
                      <w:t>28 February 2025</w:t>
                    </w:r>
                  </w:p>
                  <w:p w14:paraId="542C28FA"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60C1" w14:textId="77777777" w:rsidR="009844F9" w:rsidRDefault="00E67431">
    <w:pPr>
      <w:pStyle w:val="Zhlav"/>
    </w:pPr>
    <w:r w:rsidRPr="00E67431">
      <w:drawing>
        <wp:anchor distT="0" distB="0" distL="114300" distR="114300" simplePos="0" relativeHeight="251658241" behindDoc="1" locked="0" layoutInCell="1" allowOverlap="1" wp14:anchorId="66A0169E" wp14:editId="26908816">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Grafik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11C181EC" wp14:editId="47A1EA9D">
              <wp:simplePos x="0" y="0"/>
              <wp:positionH relativeFrom="page">
                <wp:posOffset>19262</wp:posOffset>
              </wp:positionH>
              <wp:positionV relativeFrom="page">
                <wp:posOffset>3387</wp:posOffset>
              </wp:positionV>
              <wp:extent cx="7560310" cy="1218565"/>
              <wp:effectExtent l="0" t="0" r="0" b="63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7D35B4EA" w14:textId="77777777" w:rsidR="00E67431" w:rsidRDefault="00E67431" w:rsidP="00E67431">
                          <w:pPr>
                            <w:rPr>
                              <w:rFonts w:ascii="Open Sans" w:eastAsia="Arial" w:hAnsi="Open Sans" w:cs="Open Sans"/>
                              <w:b/>
                              <w:bCs/>
                              <w:color w:val="00497C"/>
                              <w:sz w:val="28"/>
                              <w:szCs w:val="28"/>
                            </w:rPr>
                          </w:pPr>
                        </w:p>
                        <w:p w14:paraId="106A7DAE" w14:textId="77777777" w:rsidR="00E67431" w:rsidRDefault="00E67431" w:rsidP="00E67431">
                          <w:pPr>
                            <w:rPr>
                              <w:rFonts w:ascii="Open Sans" w:eastAsia="Arial" w:hAnsi="Open Sans" w:cs="Open Sans"/>
                              <w:b/>
                              <w:bCs/>
                              <w:color w:val="00497C"/>
                              <w:sz w:val="28"/>
                              <w:szCs w:val="28"/>
                            </w:rPr>
                          </w:pPr>
                        </w:p>
                        <w:p w14:paraId="60643BAC"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00522FEC" w14:textId="62CAF0FD"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C271AD">
                            <w:t>27. Februar 2025</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181EC" id="Rechteck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7D35B4EA" w14:textId="77777777" w:rsidR="00E67431" w:rsidRDefault="00E67431" w:rsidP="00E67431">
                    <w:pPr>
                      <w:rPr>
                        <w:rFonts w:ascii="Open Sans" w:eastAsia="Arial" w:hAnsi="Open Sans" w:cs="Open Sans"/>
                        <w:b/>
                        <w:bCs/>
                        <w:color w:val="00497C"/>
                        <w:sz w:val="28"/>
                        <w:szCs w:val="28"/>
                      </w:rPr>
                    </w:pPr>
                  </w:p>
                  <w:p w14:paraId="106A7DAE" w14:textId="77777777" w:rsidR="00E67431" w:rsidRDefault="00E67431" w:rsidP="00E67431">
                    <w:pPr>
                      <w:rPr>
                        <w:rFonts w:ascii="Open Sans" w:eastAsia="Arial" w:hAnsi="Open Sans" w:cs="Open Sans"/>
                        <w:b/>
                        <w:bCs/>
                        <w:color w:val="00497C"/>
                        <w:sz w:val="28"/>
                        <w:szCs w:val="28"/>
                      </w:rPr>
                    </w:pPr>
                  </w:p>
                  <w:p w14:paraId="60643BAC"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00522FEC" w14:textId="62CAF0FD"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C271AD">
                      <w:t>27. Februar 2025</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80BA015E"/>
    <w:lvl w:ilvl="0" w:tplc="BABC3774">
      <w:start w:val="1"/>
      <w:numFmt w:val="bullet"/>
      <w:pStyle w:val="Odstavecseseznamem"/>
      <w:lvlText w:val=""/>
      <w:lvlJc w:val="left"/>
      <w:pPr>
        <w:ind w:left="36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F211A"/>
    <w:multiLevelType w:val="multilevel"/>
    <w:tmpl w:val="238C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00702"/>
    <w:multiLevelType w:val="multilevel"/>
    <w:tmpl w:val="132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2E62B7"/>
    <w:multiLevelType w:val="multilevel"/>
    <w:tmpl w:val="87D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7"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785675">
    <w:abstractNumId w:val="10"/>
  </w:num>
  <w:num w:numId="2" w16cid:durableId="1860122392">
    <w:abstractNumId w:val="16"/>
  </w:num>
  <w:num w:numId="3" w16cid:durableId="1735354434">
    <w:abstractNumId w:val="0"/>
  </w:num>
  <w:num w:numId="4" w16cid:durableId="508643064">
    <w:abstractNumId w:val="1"/>
  </w:num>
  <w:num w:numId="5" w16cid:durableId="418527854">
    <w:abstractNumId w:val="2"/>
  </w:num>
  <w:num w:numId="6" w16cid:durableId="1965647766">
    <w:abstractNumId w:val="3"/>
  </w:num>
  <w:num w:numId="7" w16cid:durableId="1981376145">
    <w:abstractNumId w:val="8"/>
  </w:num>
  <w:num w:numId="8" w16cid:durableId="1782987482">
    <w:abstractNumId w:val="4"/>
  </w:num>
  <w:num w:numId="9" w16cid:durableId="853035032">
    <w:abstractNumId w:val="5"/>
  </w:num>
  <w:num w:numId="10" w16cid:durableId="1113014336">
    <w:abstractNumId w:val="6"/>
  </w:num>
  <w:num w:numId="11" w16cid:durableId="777916835">
    <w:abstractNumId w:val="7"/>
  </w:num>
  <w:num w:numId="12" w16cid:durableId="64883177">
    <w:abstractNumId w:val="9"/>
  </w:num>
  <w:num w:numId="13" w16cid:durableId="1041590433">
    <w:abstractNumId w:val="12"/>
  </w:num>
  <w:num w:numId="14" w16cid:durableId="677580120">
    <w:abstractNumId w:val="17"/>
  </w:num>
  <w:num w:numId="15" w16cid:durableId="238491641">
    <w:abstractNumId w:val="12"/>
    <w:lvlOverride w:ilvl="0">
      <w:startOverride w:val="1"/>
    </w:lvlOverride>
  </w:num>
  <w:num w:numId="16" w16cid:durableId="426997840">
    <w:abstractNumId w:val="12"/>
    <w:lvlOverride w:ilvl="0">
      <w:startOverride w:val="1"/>
    </w:lvlOverride>
  </w:num>
  <w:num w:numId="17" w16cid:durableId="1815221451">
    <w:abstractNumId w:val="12"/>
    <w:lvlOverride w:ilvl="0">
      <w:startOverride w:val="1"/>
    </w:lvlOverride>
  </w:num>
  <w:num w:numId="18" w16cid:durableId="1296914770">
    <w:abstractNumId w:val="19"/>
  </w:num>
  <w:num w:numId="19" w16cid:durableId="461581737">
    <w:abstractNumId w:val="11"/>
  </w:num>
  <w:num w:numId="20" w16cid:durableId="601033376">
    <w:abstractNumId w:val="18"/>
  </w:num>
  <w:num w:numId="21" w16cid:durableId="1003095755">
    <w:abstractNumId w:val="12"/>
  </w:num>
  <w:num w:numId="22" w16cid:durableId="404649965">
    <w:abstractNumId w:val="14"/>
  </w:num>
  <w:num w:numId="23" w16cid:durableId="1406417684">
    <w:abstractNumId w:val="13"/>
  </w:num>
  <w:num w:numId="24" w16cid:durableId="823397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4C"/>
    <w:rsid w:val="000136F8"/>
    <w:rsid w:val="00017BEE"/>
    <w:rsid w:val="00033DCD"/>
    <w:rsid w:val="00035DF7"/>
    <w:rsid w:val="0004539A"/>
    <w:rsid w:val="0005204F"/>
    <w:rsid w:val="0005724A"/>
    <w:rsid w:val="000662E2"/>
    <w:rsid w:val="00067770"/>
    <w:rsid w:val="00070D59"/>
    <w:rsid w:val="00080652"/>
    <w:rsid w:val="0008090D"/>
    <w:rsid w:val="0009192A"/>
    <w:rsid w:val="000A2B76"/>
    <w:rsid w:val="000A33C0"/>
    <w:rsid w:val="000C1AFC"/>
    <w:rsid w:val="000D6047"/>
    <w:rsid w:val="000D629E"/>
    <w:rsid w:val="000E2CCC"/>
    <w:rsid w:val="000E3E47"/>
    <w:rsid w:val="000F23A3"/>
    <w:rsid w:val="000F247A"/>
    <w:rsid w:val="000F7061"/>
    <w:rsid w:val="000F7536"/>
    <w:rsid w:val="0010588D"/>
    <w:rsid w:val="00113355"/>
    <w:rsid w:val="001142AA"/>
    <w:rsid w:val="00117FB4"/>
    <w:rsid w:val="00131369"/>
    <w:rsid w:val="00131718"/>
    <w:rsid w:val="00132662"/>
    <w:rsid w:val="001326CA"/>
    <w:rsid w:val="00153C51"/>
    <w:rsid w:val="001622AB"/>
    <w:rsid w:val="00167E7A"/>
    <w:rsid w:val="00173482"/>
    <w:rsid w:val="00191778"/>
    <w:rsid w:val="0019748B"/>
    <w:rsid w:val="001C5B42"/>
    <w:rsid w:val="001C7288"/>
    <w:rsid w:val="001D07BC"/>
    <w:rsid w:val="001D6A56"/>
    <w:rsid w:val="001D730C"/>
    <w:rsid w:val="001E5EB6"/>
    <w:rsid w:val="001F6156"/>
    <w:rsid w:val="001F797B"/>
    <w:rsid w:val="00202DBF"/>
    <w:rsid w:val="002118F3"/>
    <w:rsid w:val="00212A66"/>
    <w:rsid w:val="00217315"/>
    <w:rsid w:val="00224C8A"/>
    <w:rsid w:val="00226EDE"/>
    <w:rsid w:val="002279C4"/>
    <w:rsid w:val="00242592"/>
    <w:rsid w:val="00245ECF"/>
    <w:rsid w:val="002539DD"/>
    <w:rsid w:val="00253F3F"/>
    <w:rsid w:val="00260790"/>
    <w:rsid w:val="002661DB"/>
    <w:rsid w:val="00290356"/>
    <w:rsid w:val="00292E97"/>
    <w:rsid w:val="00294B0F"/>
    <w:rsid w:val="002A0D59"/>
    <w:rsid w:val="002A220D"/>
    <w:rsid w:val="002B05D3"/>
    <w:rsid w:val="002B44FF"/>
    <w:rsid w:val="002B7D0C"/>
    <w:rsid w:val="002C52F8"/>
    <w:rsid w:val="002D4981"/>
    <w:rsid w:val="002D5D4F"/>
    <w:rsid w:val="002D681A"/>
    <w:rsid w:val="002D74F4"/>
    <w:rsid w:val="002E0645"/>
    <w:rsid w:val="002E0DB4"/>
    <w:rsid w:val="002E166E"/>
    <w:rsid w:val="002E3A92"/>
    <w:rsid w:val="002E6C9D"/>
    <w:rsid w:val="002F1CBD"/>
    <w:rsid w:val="002F3D38"/>
    <w:rsid w:val="002F71C4"/>
    <w:rsid w:val="00302879"/>
    <w:rsid w:val="00307B4A"/>
    <w:rsid w:val="003110C0"/>
    <w:rsid w:val="0032088A"/>
    <w:rsid w:val="00321AD7"/>
    <w:rsid w:val="00325C15"/>
    <w:rsid w:val="0033172B"/>
    <w:rsid w:val="00364C26"/>
    <w:rsid w:val="0037038F"/>
    <w:rsid w:val="0037689F"/>
    <w:rsid w:val="00380EDD"/>
    <w:rsid w:val="00384DB5"/>
    <w:rsid w:val="003928E6"/>
    <w:rsid w:val="003A2DC3"/>
    <w:rsid w:val="003B392B"/>
    <w:rsid w:val="003B3C0A"/>
    <w:rsid w:val="003B4C4C"/>
    <w:rsid w:val="003B5802"/>
    <w:rsid w:val="003C0E41"/>
    <w:rsid w:val="003C10CD"/>
    <w:rsid w:val="003C3E5B"/>
    <w:rsid w:val="003D6C47"/>
    <w:rsid w:val="003E48EA"/>
    <w:rsid w:val="003E6679"/>
    <w:rsid w:val="003E7F90"/>
    <w:rsid w:val="003F073A"/>
    <w:rsid w:val="003F3AAE"/>
    <w:rsid w:val="00412375"/>
    <w:rsid w:val="00413EA6"/>
    <w:rsid w:val="00417C29"/>
    <w:rsid w:val="00420408"/>
    <w:rsid w:val="00422422"/>
    <w:rsid w:val="00431C8D"/>
    <w:rsid w:val="00450A76"/>
    <w:rsid w:val="00454508"/>
    <w:rsid w:val="00455E1D"/>
    <w:rsid w:val="00462463"/>
    <w:rsid w:val="00482C36"/>
    <w:rsid w:val="004879C1"/>
    <w:rsid w:val="00491314"/>
    <w:rsid w:val="00497908"/>
    <w:rsid w:val="004A0611"/>
    <w:rsid w:val="004A2299"/>
    <w:rsid w:val="004B3493"/>
    <w:rsid w:val="004B5533"/>
    <w:rsid w:val="004E28CC"/>
    <w:rsid w:val="004F1AB5"/>
    <w:rsid w:val="004F3D91"/>
    <w:rsid w:val="00506C14"/>
    <w:rsid w:val="00507B53"/>
    <w:rsid w:val="00512320"/>
    <w:rsid w:val="00514996"/>
    <w:rsid w:val="0051789F"/>
    <w:rsid w:val="005216AD"/>
    <w:rsid w:val="00531365"/>
    <w:rsid w:val="00532106"/>
    <w:rsid w:val="00540862"/>
    <w:rsid w:val="00544F44"/>
    <w:rsid w:val="005503D9"/>
    <w:rsid w:val="00550881"/>
    <w:rsid w:val="005530C3"/>
    <w:rsid w:val="00553F90"/>
    <w:rsid w:val="005546AE"/>
    <w:rsid w:val="00556F5C"/>
    <w:rsid w:val="00560992"/>
    <w:rsid w:val="0056412E"/>
    <w:rsid w:val="00571857"/>
    <w:rsid w:val="005728F9"/>
    <w:rsid w:val="005738A0"/>
    <w:rsid w:val="00573A1C"/>
    <w:rsid w:val="00582CD1"/>
    <w:rsid w:val="00584B98"/>
    <w:rsid w:val="005858A7"/>
    <w:rsid w:val="00597A2D"/>
    <w:rsid w:val="005A4A85"/>
    <w:rsid w:val="005C294C"/>
    <w:rsid w:val="005C34A1"/>
    <w:rsid w:val="005D155B"/>
    <w:rsid w:val="005D2D7A"/>
    <w:rsid w:val="005D403D"/>
    <w:rsid w:val="005E1A12"/>
    <w:rsid w:val="00602D4E"/>
    <w:rsid w:val="0060413E"/>
    <w:rsid w:val="00607AA1"/>
    <w:rsid w:val="006159E0"/>
    <w:rsid w:val="00620367"/>
    <w:rsid w:val="006253D1"/>
    <w:rsid w:val="006359CB"/>
    <w:rsid w:val="006366DD"/>
    <w:rsid w:val="00636FF7"/>
    <w:rsid w:val="00643345"/>
    <w:rsid w:val="00644CC0"/>
    <w:rsid w:val="0064757E"/>
    <w:rsid w:val="00660C89"/>
    <w:rsid w:val="0066165B"/>
    <w:rsid w:val="00664280"/>
    <w:rsid w:val="006664BD"/>
    <w:rsid w:val="006734A9"/>
    <w:rsid w:val="006775D5"/>
    <w:rsid w:val="0069608C"/>
    <w:rsid w:val="006A0841"/>
    <w:rsid w:val="006A08A3"/>
    <w:rsid w:val="006B5612"/>
    <w:rsid w:val="006C7BD9"/>
    <w:rsid w:val="006E2DB9"/>
    <w:rsid w:val="006E5BEE"/>
    <w:rsid w:val="006F4C65"/>
    <w:rsid w:val="006F5802"/>
    <w:rsid w:val="00711920"/>
    <w:rsid w:val="00711D5D"/>
    <w:rsid w:val="007263E4"/>
    <w:rsid w:val="007311C6"/>
    <w:rsid w:val="0073544D"/>
    <w:rsid w:val="0074099E"/>
    <w:rsid w:val="007416FE"/>
    <w:rsid w:val="007426F1"/>
    <w:rsid w:val="00745D18"/>
    <w:rsid w:val="007550B6"/>
    <w:rsid w:val="007571EA"/>
    <w:rsid w:val="00757CC0"/>
    <w:rsid w:val="00767EE2"/>
    <w:rsid w:val="00770010"/>
    <w:rsid w:val="007711B0"/>
    <w:rsid w:val="00774E0D"/>
    <w:rsid w:val="00777A79"/>
    <w:rsid w:val="00781C80"/>
    <w:rsid w:val="00785CBB"/>
    <w:rsid w:val="007A12A6"/>
    <w:rsid w:val="007B3D66"/>
    <w:rsid w:val="007B45DD"/>
    <w:rsid w:val="007C195A"/>
    <w:rsid w:val="007C2894"/>
    <w:rsid w:val="007E7419"/>
    <w:rsid w:val="007E7C26"/>
    <w:rsid w:val="007F0B59"/>
    <w:rsid w:val="007F4032"/>
    <w:rsid w:val="00803B97"/>
    <w:rsid w:val="008074CD"/>
    <w:rsid w:val="00810BAF"/>
    <w:rsid w:val="0081612E"/>
    <w:rsid w:val="0082072B"/>
    <w:rsid w:val="008223BF"/>
    <w:rsid w:val="00826D08"/>
    <w:rsid w:val="008278B2"/>
    <w:rsid w:val="008415ED"/>
    <w:rsid w:val="00845F93"/>
    <w:rsid w:val="008568D5"/>
    <w:rsid w:val="008612FA"/>
    <w:rsid w:val="00873D53"/>
    <w:rsid w:val="0088204B"/>
    <w:rsid w:val="0088313D"/>
    <w:rsid w:val="00897B52"/>
    <w:rsid w:val="008A4E98"/>
    <w:rsid w:val="008A539B"/>
    <w:rsid w:val="008B2DDC"/>
    <w:rsid w:val="008D6ED4"/>
    <w:rsid w:val="008E33FE"/>
    <w:rsid w:val="008E3EFE"/>
    <w:rsid w:val="008F4334"/>
    <w:rsid w:val="0090272C"/>
    <w:rsid w:val="009120CC"/>
    <w:rsid w:val="00912FC0"/>
    <w:rsid w:val="009238C5"/>
    <w:rsid w:val="00923C76"/>
    <w:rsid w:val="009247A0"/>
    <w:rsid w:val="00935FA3"/>
    <w:rsid w:val="00943AA4"/>
    <w:rsid w:val="00944369"/>
    <w:rsid w:val="00951C91"/>
    <w:rsid w:val="00962EBC"/>
    <w:rsid w:val="00972F96"/>
    <w:rsid w:val="009844F9"/>
    <w:rsid w:val="0098660F"/>
    <w:rsid w:val="009962A0"/>
    <w:rsid w:val="009A26C1"/>
    <w:rsid w:val="009A6C7A"/>
    <w:rsid w:val="009C7387"/>
    <w:rsid w:val="009C7D32"/>
    <w:rsid w:val="009D01C0"/>
    <w:rsid w:val="009D1F62"/>
    <w:rsid w:val="009E0111"/>
    <w:rsid w:val="00A002D6"/>
    <w:rsid w:val="00A00816"/>
    <w:rsid w:val="00A06A59"/>
    <w:rsid w:val="00A06D1B"/>
    <w:rsid w:val="00A1156A"/>
    <w:rsid w:val="00A13852"/>
    <w:rsid w:val="00A23F87"/>
    <w:rsid w:val="00A24B0B"/>
    <w:rsid w:val="00A25DAA"/>
    <w:rsid w:val="00A308D6"/>
    <w:rsid w:val="00A315E1"/>
    <w:rsid w:val="00A32E5C"/>
    <w:rsid w:val="00A3785C"/>
    <w:rsid w:val="00A4129E"/>
    <w:rsid w:val="00A538E4"/>
    <w:rsid w:val="00A54DA6"/>
    <w:rsid w:val="00A6002A"/>
    <w:rsid w:val="00A63525"/>
    <w:rsid w:val="00A7288E"/>
    <w:rsid w:val="00A807AD"/>
    <w:rsid w:val="00A82E7F"/>
    <w:rsid w:val="00A85FA9"/>
    <w:rsid w:val="00A87599"/>
    <w:rsid w:val="00AB02EF"/>
    <w:rsid w:val="00AC2027"/>
    <w:rsid w:val="00AC2975"/>
    <w:rsid w:val="00AC3985"/>
    <w:rsid w:val="00AD6212"/>
    <w:rsid w:val="00AF0C7D"/>
    <w:rsid w:val="00AF1580"/>
    <w:rsid w:val="00B03B24"/>
    <w:rsid w:val="00B12758"/>
    <w:rsid w:val="00B160E2"/>
    <w:rsid w:val="00B16D68"/>
    <w:rsid w:val="00B244FE"/>
    <w:rsid w:val="00B31FD4"/>
    <w:rsid w:val="00B41661"/>
    <w:rsid w:val="00B46CF1"/>
    <w:rsid w:val="00B46E14"/>
    <w:rsid w:val="00B517B5"/>
    <w:rsid w:val="00B52FF9"/>
    <w:rsid w:val="00B54017"/>
    <w:rsid w:val="00B81258"/>
    <w:rsid w:val="00B93E30"/>
    <w:rsid w:val="00B94C0D"/>
    <w:rsid w:val="00BA2B75"/>
    <w:rsid w:val="00BA31A9"/>
    <w:rsid w:val="00BB0095"/>
    <w:rsid w:val="00BB7217"/>
    <w:rsid w:val="00BC37DD"/>
    <w:rsid w:val="00BC5E2E"/>
    <w:rsid w:val="00BD4E1A"/>
    <w:rsid w:val="00BE1F59"/>
    <w:rsid w:val="00BF1609"/>
    <w:rsid w:val="00BF31D2"/>
    <w:rsid w:val="00C049D8"/>
    <w:rsid w:val="00C11FA0"/>
    <w:rsid w:val="00C271AD"/>
    <w:rsid w:val="00C36E09"/>
    <w:rsid w:val="00C503C4"/>
    <w:rsid w:val="00C70BB9"/>
    <w:rsid w:val="00C71EFA"/>
    <w:rsid w:val="00C74AE1"/>
    <w:rsid w:val="00C76836"/>
    <w:rsid w:val="00CA1934"/>
    <w:rsid w:val="00CA7761"/>
    <w:rsid w:val="00CA7D5E"/>
    <w:rsid w:val="00CC1520"/>
    <w:rsid w:val="00CC18B8"/>
    <w:rsid w:val="00CC3F85"/>
    <w:rsid w:val="00CD0666"/>
    <w:rsid w:val="00CD4C2D"/>
    <w:rsid w:val="00CE36BA"/>
    <w:rsid w:val="00CE3901"/>
    <w:rsid w:val="00CF238E"/>
    <w:rsid w:val="00CF58BD"/>
    <w:rsid w:val="00CF67B6"/>
    <w:rsid w:val="00CF7AA4"/>
    <w:rsid w:val="00D07427"/>
    <w:rsid w:val="00D13C3D"/>
    <w:rsid w:val="00D2183A"/>
    <w:rsid w:val="00D22570"/>
    <w:rsid w:val="00D3103F"/>
    <w:rsid w:val="00D37671"/>
    <w:rsid w:val="00D41294"/>
    <w:rsid w:val="00D526BC"/>
    <w:rsid w:val="00D55D23"/>
    <w:rsid w:val="00D5643A"/>
    <w:rsid w:val="00D63B6B"/>
    <w:rsid w:val="00D67F6B"/>
    <w:rsid w:val="00D71087"/>
    <w:rsid w:val="00D77402"/>
    <w:rsid w:val="00D84424"/>
    <w:rsid w:val="00D84FE1"/>
    <w:rsid w:val="00D860F0"/>
    <w:rsid w:val="00D86268"/>
    <w:rsid w:val="00D879B7"/>
    <w:rsid w:val="00D92214"/>
    <w:rsid w:val="00D93A7F"/>
    <w:rsid w:val="00D975B2"/>
    <w:rsid w:val="00DA663F"/>
    <w:rsid w:val="00DB0802"/>
    <w:rsid w:val="00DC6F1B"/>
    <w:rsid w:val="00DE7836"/>
    <w:rsid w:val="00DF36B2"/>
    <w:rsid w:val="00E00F65"/>
    <w:rsid w:val="00E027B3"/>
    <w:rsid w:val="00E271CE"/>
    <w:rsid w:val="00E32E76"/>
    <w:rsid w:val="00E37775"/>
    <w:rsid w:val="00E44115"/>
    <w:rsid w:val="00E466CD"/>
    <w:rsid w:val="00E5507D"/>
    <w:rsid w:val="00E57665"/>
    <w:rsid w:val="00E630E9"/>
    <w:rsid w:val="00E67431"/>
    <w:rsid w:val="00E72DB9"/>
    <w:rsid w:val="00E837D9"/>
    <w:rsid w:val="00EA0706"/>
    <w:rsid w:val="00EB039A"/>
    <w:rsid w:val="00EB4BF6"/>
    <w:rsid w:val="00EB767E"/>
    <w:rsid w:val="00EC1EC1"/>
    <w:rsid w:val="00ED4C86"/>
    <w:rsid w:val="00ED59B1"/>
    <w:rsid w:val="00EE184F"/>
    <w:rsid w:val="00F01A78"/>
    <w:rsid w:val="00F047C7"/>
    <w:rsid w:val="00F064B6"/>
    <w:rsid w:val="00F06B3D"/>
    <w:rsid w:val="00F16883"/>
    <w:rsid w:val="00F22812"/>
    <w:rsid w:val="00F3267C"/>
    <w:rsid w:val="00F4655D"/>
    <w:rsid w:val="00F50B69"/>
    <w:rsid w:val="00F55076"/>
    <w:rsid w:val="00F558B7"/>
    <w:rsid w:val="00F56C8E"/>
    <w:rsid w:val="00F65A9D"/>
    <w:rsid w:val="00F65DD2"/>
    <w:rsid w:val="00F734F9"/>
    <w:rsid w:val="00F7399E"/>
    <w:rsid w:val="00FB3B2E"/>
    <w:rsid w:val="00FB5494"/>
    <w:rsid w:val="00FB60B0"/>
    <w:rsid w:val="00FB6F12"/>
    <w:rsid w:val="00FB6F87"/>
    <w:rsid w:val="00FC1F9B"/>
    <w:rsid w:val="00FC6A1B"/>
    <w:rsid w:val="00FD2605"/>
    <w:rsid w:val="0247F6E5"/>
    <w:rsid w:val="09DA8C5C"/>
    <w:rsid w:val="0A97BD86"/>
    <w:rsid w:val="11284D38"/>
    <w:rsid w:val="125FB4E6"/>
    <w:rsid w:val="12FF54E5"/>
    <w:rsid w:val="13409806"/>
    <w:rsid w:val="1CC6C02C"/>
    <w:rsid w:val="1E3758AB"/>
    <w:rsid w:val="1F56DF50"/>
    <w:rsid w:val="205DF9BC"/>
    <w:rsid w:val="2318FF37"/>
    <w:rsid w:val="250A663C"/>
    <w:rsid w:val="25837EA6"/>
    <w:rsid w:val="25AF17FC"/>
    <w:rsid w:val="287047DD"/>
    <w:rsid w:val="2B0CD044"/>
    <w:rsid w:val="2BD9DCD3"/>
    <w:rsid w:val="2D89BBCF"/>
    <w:rsid w:val="2ED36E33"/>
    <w:rsid w:val="33109FA5"/>
    <w:rsid w:val="362BC457"/>
    <w:rsid w:val="36E35384"/>
    <w:rsid w:val="3793A44D"/>
    <w:rsid w:val="3BD06962"/>
    <w:rsid w:val="416DB045"/>
    <w:rsid w:val="428EE6F9"/>
    <w:rsid w:val="460279AB"/>
    <w:rsid w:val="4CC3A8F4"/>
    <w:rsid w:val="5076FCD8"/>
    <w:rsid w:val="55304846"/>
    <w:rsid w:val="56B92273"/>
    <w:rsid w:val="5D5AD41C"/>
    <w:rsid w:val="61061B23"/>
    <w:rsid w:val="654386E2"/>
    <w:rsid w:val="6CBA684A"/>
    <w:rsid w:val="6F9325FD"/>
    <w:rsid w:val="7285D946"/>
    <w:rsid w:val="73DA3484"/>
    <w:rsid w:val="7AA05973"/>
    <w:rsid w:val="7D35C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93B0"/>
  <w15:chartTrackingRefBased/>
  <w15:docId w15:val="{CB36704D-F2FA-463F-ABF5-02A54564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noProof/>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noProof w:val="0"/>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noProof w:val="0"/>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noProof w:val="0"/>
      <w:color w:val="000000" w:themeColor="text1"/>
      <w:sz w:val="13"/>
      <w:szCs w:val="22"/>
      <w:shd w:val="clear" w:color="auto" w:fill="auto"/>
      <w:lang w:val="en-GB" w:eastAsia="en-US"/>
    </w:rPr>
  </w:style>
  <w:style w:type="character" w:styleId="slostrnky">
    <w:name w:val="page number"/>
    <w:basedOn w:val="Standardnpsmoodstavce"/>
    <w:rsid w:val="000C1AFC"/>
  </w:style>
  <w:style w:type="paragraph" w:styleId="Revize">
    <w:name w:val="Revision"/>
    <w:hidden/>
    <w:uiPriority w:val="99"/>
    <w:semiHidden/>
    <w:rsid w:val="00B46E14"/>
    <w:rPr>
      <w:rFonts w:ascii="Arial" w:hAnsi="Arial" w:cs="Arial"/>
      <w:noProof/>
      <w:sz w:val="20"/>
      <w:szCs w:val="20"/>
      <w:shd w:val="clear" w:color="auto" w:fill="FFFFFF"/>
      <w:lang w:val="de-AT" w:eastAsia="de-DE"/>
    </w:rPr>
  </w:style>
  <w:style w:type="paragraph" w:styleId="Pedmtkomente">
    <w:name w:val="annotation subject"/>
    <w:basedOn w:val="Textkomente"/>
    <w:next w:val="Textkomente"/>
    <w:link w:val="PedmtkomenteChar"/>
    <w:uiPriority w:val="99"/>
    <w:semiHidden/>
    <w:unhideWhenUsed/>
    <w:rsid w:val="000A33C0"/>
    <w:rPr>
      <w:rFonts w:eastAsiaTheme="minorHAnsi" w:cs="Arial"/>
      <w:b/>
      <w:bCs/>
      <w:noProof/>
      <w:shd w:val="clear" w:color="auto" w:fill="FFFFFF"/>
      <w:lang w:eastAsia="de-DE"/>
    </w:rPr>
  </w:style>
  <w:style w:type="character" w:customStyle="1" w:styleId="PedmtkomenteChar">
    <w:name w:val="Předmět komentáře Char"/>
    <w:basedOn w:val="TextkomenteChar"/>
    <w:link w:val="Pedmtkomente"/>
    <w:uiPriority w:val="99"/>
    <w:semiHidden/>
    <w:rsid w:val="000A33C0"/>
    <w:rPr>
      <w:rFonts w:ascii="Arial" w:eastAsia="Calibri" w:hAnsi="Arial" w:cs="Arial"/>
      <w:b/>
      <w:bCs/>
      <w:noProof/>
      <w:sz w:val="20"/>
      <w:szCs w:val="20"/>
      <w:lang w:val="de-AT" w:eastAsia="de-DE"/>
    </w:rPr>
  </w:style>
  <w:style w:type="paragraph" w:customStyle="1" w:styleId="paragraph">
    <w:name w:val="paragraph"/>
    <w:basedOn w:val="Normln"/>
    <w:rsid w:val="0073544D"/>
    <w:pPr>
      <w:spacing w:before="100" w:beforeAutospacing="1" w:after="100" w:afterAutospacing="1" w:line="240" w:lineRule="auto"/>
    </w:pPr>
    <w:rPr>
      <w:rFonts w:ascii="Times New Roman" w:eastAsia="Times New Roman" w:hAnsi="Times New Roman" w:cs="Times New Roman"/>
      <w:noProof w:val="0"/>
      <w:sz w:val="24"/>
      <w:szCs w:val="24"/>
      <w:shd w:val="clear" w:color="auto" w:fill="auto"/>
      <w:lang w:eastAsia="de-AT"/>
    </w:rPr>
  </w:style>
  <w:style w:type="character" w:customStyle="1" w:styleId="normaltextrun">
    <w:name w:val="normaltextrun"/>
    <w:basedOn w:val="Standardnpsmoodstavce"/>
    <w:rsid w:val="0073544D"/>
  </w:style>
  <w:style w:type="character" w:customStyle="1" w:styleId="eop">
    <w:name w:val="eop"/>
    <w:basedOn w:val="Standardnpsmoodstavce"/>
    <w:rsid w:val="0073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676543668">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11697745">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16421023">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54170005">
      <w:bodyDiv w:val="1"/>
      <w:marLeft w:val="0"/>
      <w:marRight w:val="0"/>
      <w:marTop w:val="0"/>
      <w:marBottom w:val="0"/>
      <w:divBdr>
        <w:top w:val="none" w:sz="0" w:space="0" w:color="auto"/>
        <w:left w:val="none" w:sz="0" w:space="0" w:color="auto"/>
        <w:bottom w:val="none" w:sz="0" w:space="0" w:color="auto"/>
        <w:right w:val="none" w:sz="0" w:space="0" w:color="auto"/>
      </w:divBdr>
      <w:divsChild>
        <w:div w:id="153304036">
          <w:marLeft w:val="0"/>
          <w:marRight w:val="0"/>
          <w:marTop w:val="0"/>
          <w:marBottom w:val="0"/>
          <w:divBdr>
            <w:top w:val="none" w:sz="0" w:space="0" w:color="auto"/>
            <w:left w:val="none" w:sz="0" w:space="0" w:color="auto"/>
            <w:bottom w:val="none" w:sz="0" w:space="0" w:color="auto"/>
            <w:right w:val="none" w:sz="0" w:space="0" w:color="auto"/>
          </w:divBdr>
        </w:div>
        <w:div w:id="283273415">
          <w:marLeft w:val="0"/>
          <w:marRight w:val="0"/>
          <w:marTop w:val="0"/>
          <w:marBottom w:val="0"/>
          <w:divBdr>
            <w:top w:val="none" w:sz="0" w:space="0" w:color="auto"/>
            <w:left w:val="none" w:sz="0" w:space="0" w:color="auto"/>
            <w:bottom w:val="none" w:sz="0" w:space="0" w:color="auto"/>
            <w:right w:val="none" w:sz="0" w:space="0" w:color="auto"/>
          </w:divBdr>
        </w:div>
        <w:div w:id="390886877">
          <w:marLeft w:val="0"/>
          <w:marRight w:val="0"/>
          <w:marTop w:val="0"/>
          <w:marBottom w:val="0"/>
          <w:divBdr>
            <w:top w:val="none" w:sz="0" w:space="0" w:color="auto"/>
            <w:left w:val="none" w:sz="0" w:space="0" w:color="auto"/>
            <w:bottom w:val="none" w:sz="0" w:space="0" w:color="auto"/>
            <w:right w:val="none" w:sz="0" w:space="0" w:color="auto"/>
          </w:divBdr>
        </w:div>
        <w:div w:id="438649019">
          <w:marLeft w:val="0"/>
          <w:marRight w:val="0"/>
          <w:marTop w:val="0"/>
          <w:marBottom w:val="0"/>
          <w:divBdr>
            <w:top w:val="none" w:sz="0" w:space="0" w:color="auto"/>
            <w:left w:val="none" w:sz="0" w:space="0" w:color="auto"/>
            <w:bottom w:val="none" w:sz="0" w:space="0" w:color="auto"/>
            <w:right w:val="none" w:sz="0" w:space="0" w:color="auto"/>
          </w:divBdr>
        </w:div>
        <w:div w:id="642538230">
          <w:marLeft w:val="0"/>
          <w:marRight w:val="0"/>
          <w:marTop w:val="0"/>
          <w:marBottom w:val="0"/>
          <w:divBdr>
            <w:top w:val="none" w:sz="0" w:space="0" w:color="auto"/>
            <w:left w:val="none" w:sz="0" w:space="0" w:color="auto"/>
            <w:bottom w:val="none" w:sz="0" w:space="0" w:color="auto"/>
            <w:right w:val="none" w:sz="0" w:space="0" w:color="auto"/>
          </w:divBdr>
        </w:div>
        <w:div w:id="656038180">
          <w:marLeft w:val="0"/>
          <w:marRight w:val="0"/>
          <w:marTop w:val="0"/>
          <w:marBottom w:val="0"/>
          <w:divBdr>
            <w:top w:val="none" w:sz="0" w:space="0" w:color="auto"/>
            <w:left w:val="none" w:sz="0" w:space="0" w:color="auto"/>
            <w:bottom w:val="none" w:sz="0" w:space="0" w:color="auto"/>
            <w:right w:val="none" w:sz="0" w:space="0" w:color="auto"/>
          </w:divBdr>
        </w:div>
        <w:div w:id="943268873">
          <w:marLeft w:val="0"/>
          <w:marRight w:val="0"/>
          <w:marTop w:val="0"/>
          <w:marBottom w:val="0"/>
          <w:divBdr>
            <w:top w:val="none" w:sz="0" w:space="0" w:color="auto"/>
            <w:left w:val="none" w:sz="0" w:space="0" w:color="auto"/>
            <w:bottom w:val="none" w:sz="0" w:space="0" w:color="auto"/>
            <w:right w:val="none" w:sz="0" w:space="0" w:color="auto"/>
          </w:divBdr>
        </w:div>
        <w:div w:id="1145970850">
          <w:marLeft w:val="0"/>
          <w:marRight w:val="0"/>
          <w:marTop w:val="0"/>
          <w:marBottom w:val="0"/>
          <w:divBdr>
            <w:top w:val="none" w:sz="0" w:space="0" w:color="auto"/>
            <w:left w:val="none" w:sz="0" w:space="0" w:color="auto"/>
            <w:bottom w:val="none" w:sz="0" w:space="0" w:color="auto"/>
            <w:right w:val="none" w:sz="0" w:space="0" w:color="auto"/>
          </w:divBdr>
        </w:div>
        <w:div w:id="1429959103">
          <w:marLeft w:val="0"/>
          <w:marRight w:val="0"/>
          <w:marTop w:val="0"/>
          <w:marBottom w:val="0"/>
          <w:divBdr>
            <w:top w:val="none" w:sz="0" w:space="0" w:color="auto"/>
            <w:left w:val="none" w:sz="0" w:space="0" w:color="auto"/>
            <w:bottom w:val="none" w:sz="0" w:space="0" w:color="auto"/>
            <w:right w:val="none" w:sz="0" w:space="0" w:color="auto"/>
          </w:divBdr>
        </w:div>
        <w:div w:id="1942755250">
          <w:marLeft w:val="0"/>
          <w:marRight w:val="0"/>
          <w:marTop w:val="0"/>
          <w:marBottom w:val="0"/>
          <w:divBdr>
            <w:top w:val="none" w:sz="0" w:space="0" w:color="auto"/>
            <w:left w:val="none" w:sz="0" w:space="0" w:color="auto"/>
            <w:bottom w:val="none" w:sz="0" w:space="0" w:color="auto"/>
            <w:right w:val="none" w:sz="0" w:space="0" w:color="auto"/>
          </w:divBdr>
        </w:div>
      </w:divsChild>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05052403">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1986277071">
      <w:bodyDiv w:val="1"/>
      <w:marLeft w:val="0"/>
      <w:marRight w:val="0"/>
      <w:marTop w:val="0"/>
      <w:marBottom w:val="0"/>
      <w:divBdr>
        <w:top w:val="none" w:sz="0" w:space="0" w:color="auto"/>
        <w:left w:val="none" w:sz="0" w:space="0" w:color="auto"/>
        <w:bottom w:val="none" w:sz="0" w:space="0" w:color="auto"/>
        <w:right w:val="none" w:sz="0" w:space="0" w:color="auto"/>
      </w:divBdr>
    </w:div>
    <w:div w:id="1986884377">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hromatka@erstegroup.com" TargetMode="External"/><Relationship Id="rId18" Type="http://schemas.openxmlformats.org/officeDocument/2006/relationships/hyperlink" Target="mailto:margarita.thiel@erstegroup.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eter.klopf@erstegroup.com" TargetMode="External"/><Relationship Id="rId7" Type="http://schemas.openxmlformats.org/officeDocument/2006/relationships/settings" Target="settings.xml"/><Relationship Id="rId12" Type="http://schemas.openxmlformats.org/officeDocument/2006/relationships/hyperlink" Target="mailto:margarita.thiel@erstegroup.com" TargetMode="External"/><Relationship Id="rId17" Type="http://schemas.openxmlformats.org/officeDocument/2006/relationships/hyperlink" Target="mailto:presse@erstebank.a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rstegroup.com/en/news-media" TargetMode="External"/><Relationship Id="rId20" Type="http://schemas.openxmlformats.org/officeDocument/2006/relationships/hyperlink" Target="mailto:martin.sonn-wende@erste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eter.klopf@erstegroup.com" TargetMode="External"/><Relationship Id="rId23" Type="http://schemas.openxmlformats.org/officeDocument/2006/relationships/hyperlink" Target="mailto:presse@erstebank.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ristian.hromatka@erste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onn-wende@erstegroup.com" TargetMode="External"/><Relationship Id="rId22" Type="http://schemas.openxmlformats.org/officeDocument/2006/relationships/hyperlink" Target="https://www.erstegroup.com/en/news-med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243a\Erste%20Group\AT%20Digital%20Content%20Newsroom%20-%20General\02_Guidelines&amp;Templates\Templates%20NEU\TEMPLATE_Holding_Press%20Release-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cwdf xmlns="4fbe574a-ea71-4a7a-8b6c-7f8379c27a3b">
      <UserInfo>
        <DisplayName/>
        <AccountId xsi:nil="true"/>
        <AccountType/>
      </UserInfo>
    </cw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EF6D673F6C444A56AD1A69ED879D5" ma:contentTypeVersion="24" ma:contentTypeDescription="Create a new document." ma:contentTypeScope="" ma:versionID="c96ae0059b0ee7201e775067ed3e854c">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75a7718c33a5dbb983c489a202e348d2"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element ref="ns2:cw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wdf" ma:index="29" nillable="true" ma:displayName="cwdf" ma:description="GR" ma:format="Dropdown" ma:list="UserInfo" ma:SharePointGroup="0" ma:internalName="cwd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2.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customXml/itemProps3.xml><?xml version="1.0" encoding="utf-8"?>
<ds:datastoreItem xmlns:ds="http://schemas.openxmlformats.org/officeDocument/2006/customXml" ds:itemID="{EC5F14EC-4D54-4DD1-BBD3-F88D49533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TEMPLATE_Holding_Press Release-EN.dotx</Template>
  <TotalTime>3</TotalTime>
  <Pages>4</Pages>
  <Words>1259</Words>
  <Characters>7431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8673</CharactersWithSpaces>
  <SharedDoc>false</SharedDoc>
  <HLinks>
    <vt:vector size="36" baseType="variant">
      <vt:variant>
        <vt:i4>1310774</vt:i4>
      </vt:variant>
      <vt:variant>
        <vt:i4>15</vt:i4>
      </vt:variant>
      <vt:variant>
        <vt:i4>0</vt:i4>
      </vt:variant>
      <vt:variant>
        <vt:i4>5</vt:i4>
      </vt:variant>
      <vt:variant>
        <vt:lpwstr>mailto:presse@erstebank.at</vt:lpwstr>
      </vt:variant>
      <vt:variant>
        <vt:lpwstr/>
      </vt:variant>
      <vt:variant>
        <vt:i4>786444</vt:i4>
      </vt:variant>
      <vt:variant>
        <vt:i4>12</vt:i4>
      </vt:variant>
      <vt:variant>
        <vt:i4>0</vt:i4>
      </vt:variant>
      <vt:variant>
        <vt:i4>5</vt:i4>
      </vt:variant>
      <vt:variant>
        <vt:lpwstr>https://www.erstegroup.com/en/news-media</vt:lpwstr>
      </vt:variant>
      <vt:variant>
        <vt:lpwstr/>
      </vt:variant>
      <vt:variant>
        <vt:i4>4390949</vt:i4>
      </vt:variant>
      <vt:variant>
        <vt:i4>9</vt:i4>
      </vt:variant>
      <vt:variant>
        <vt:i4>0</vt:i4>
      </vt:variant>
      <vt:variant>
        <vt:i4>5</vt:i4>
      </vt:variant>
      <vt:variant>
        <vt:lpwstr>mailto:peter.klopf@erstegroup.com</vt:lpwstr>
      </vt:variant>
      <vt:variant>
        <vt:lpwstr/>
      </vt:variant>
      <vt:variant>
        <vt:i4>7471197</vt:i4>
      </vt:variant>
      <vt:variant>
        <vt:i4>6</vt:i4>
      </vt:variant>
      <vt:variant>
        <vt:i4>0</vt:i4>
      </vt:variant>
      <vt:variant>
        <vt:i4>5</vt:i4>
      </vt:variant>
      <vt:variant>
        <vt:lpwstr>mailto:martin.sonn-wende@erstegroup.com</vt:lpwstr>
      </vt:variant>
      <vt:variant>
        <vt:lpwstr/>
      </vt:variant>
      <vt:variant>
        <vt:i4>3801167</vt:i4>
      </vt:variant>
      <vt:variant>
        <vt:i4>3</vt:i4>
      </vt:variant>
      <vt:variant>
        <vt:i4>0</vt:i4>
      </vt:variant>
      <vt:variant>
        <vt:i4>5</vt:i4>
      </vt:variant>
      <vt:variant>
        <vt:lpwstr>mailto:christian.hromatka@erstegroup.com</vt:lpwstr>
      </vt:variant>
      <vt:variant>
        <vt:lpwstr/>
      </vt:variant>
      <vt:variant>
        <vt:i4>5242932</vt:i4>
      </vt:variant>
      <vt:variant>
        <vt:i4>0</vt:i4>
      </vt:variant>
      <vt:variant>
        <vt:i4>0</vt:i4>
      </vt:variant>
      <vt:variant>
        <vt:i4>5</vt:i4>
      </vt:variant>
      <vt:variant>
        <vt:lpwstr>mailto:margarita.thiel@erstegroup.com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Aschinger Marvin</dc:creator>
  <cp:keywords/>
  <dc:description/>
  <cp:lastModifiedBy>Bouc František</cp:lastModifiedBy>
  <cp:revision>2</cp:revision>
  <cp:lastPrinted>2025-02-27T00:53:00Z</cp:lastPrinted>
  <dcterms:created xsi:type="dcterms:W3CDTF">2025-02-27T13:38:00Z</dcterms:created>
  <dcterms:modified xsi:type="dcterms:W3CDTF">2025-02-27T13:38:00Z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ediaServiceImageTags">
    <vt:lpwstr/>
  </property>
  <property fmtid="{D5CDD505-2E9C-101B-9397-08002B2CF9AE}" pid="4" name="MSIP_Label_38939b85-7e40-4a1d-91e1-0e84c3b219d7_Enabled">
    <vt:lpwstr>true</vt:lpwstr>
  </property>
  <property fmtid="{D5CDD505-2E9C-101B-9397-08002B2CF9AE}" pid="5" name="MSIP_Label_38939b85-7e40-4a1d-91e1-0e84c3b219d7_SetDate">
    <vt:lpwstr>2025-02-26T13:53:51Z</vt:lpwstr>
  </property>
  <property fmtid="{D5CDD505-2E9C-101B-9397-08002B2CF9AE}" pid="6" name="MSIP_Label_38939b85-7e40-4a1d-91e1-0e84c3b219d7_Method">
    <vt:lpwstr>Privileged</vt:lpwstr>
  </property>
  <property fmtid="{D5CDD505-2E9C-101B-9397-08002B2CF9AE}" pid="7" name="MSIP_Label_38939b85-7e40-4a1d-91e1-0e84c3b219d7_Name">
    <vt:lpwstr>38939b85-7e40-4a1d-91e1-0e84c3b219d7</vt:lpwstr>
  </property>
  <property fmtid="{D5CDD505-2E9C-101B-9397-08002B2CF9AE}" pid="8" name="MSIP_Label_38939b85-7e40-4a1d-91e1-0e84c3b219d7_SiteId">
    <vt:lpwstr>3ad0376a-54d3-49a6-9e20-52de0a92fc89</vt:lpwstr>
  </property>
  <property fmtid="{D5CDD505-2E9C-101B-9397-08002B2CF9AE}" pid="9" name="MSIP_Label_38939b85-7e40-4a1d-91e1-0e84c3b219d7_ActionId">
    <vt:lpwstr>4ea7e129-8015-4c13-8b39-d95537ec838d</vt:lpwstr>
  </property>
  <property fmtid="{D5CDD505-2E9C-101B-9397-08002B2CF9AE}" pid="10" name="MSIP_Label_38939b85-7e40-4a1d-91e1-0e84c3b219d7_ContentBits">
    <vt:lpwstr>0</vt:lpwstr>
  </property>
  <property fmtid="{D5CDD505-2E9C-101B-9397-08002B2CF9AE}" pid="11" name="MSIP_Label_38939b85-7e40-4a1d-91e1-0e84c3b219d7_Tag">
    <vt:lpwstr>50, 0, 1, 1</vt:lpwstr>
  </property>
</Properties>
</file>