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B28B" w14:textId="2A954FB4" w:rsidR="00AC64F3" w:rsidRPr="00315C41" w:rsidRDefault="00324390" w:rsidP="00AC64F3">
      <w:pPr>
        <w:pStyle w:val="Nadpis2"/>
        <w:rPr>
          <w:rFonts w:ascii="Inter" w:hAnsi="Inter"/>
          <w:noProof w:val="0"/>
          <w:color w:val="auto"/>
          <w:lang w:val="en-US"/>
        </w:rPr>
      </w:pPr>
      <w:r w:rsidRPr="00315C41">
        <w:rPr>
          <w:noProof w:val="0"/>
          <w:color w:val="auto"/>
          <w:lang w:val="cs"/>
        </w:rPr>
        <w:t>Solidní růst tržeb v 1. čtvrtletí, trhy střední a východní Evropy prokázaly odolnost</w:t>
      </w:r>
    </w:p>
    <w:p w14:paraId="4F0F407C" w14:textId="5AF1AC92" w:rsidR="00A23F87" w:rsidRPr="00315C41" w:rsidRDefault="00A23F87" w:rsidP="00A23F87">
      <w:pPr>
        <w:rPr>
          <w:rFonts w:ascii="Inter" w:hAnsi="Inter"/>
          <w:noProof w:val="0"/>
          <w:lang w:val="en-US"/>
        </w:rPr>
      </w:pPr>
    </w:p>
    <w:p w14:paraId="1729B808" w14:textId="15564B59" w:rsidR="00A23F87" w:rsidRPr="00315C41" w:rsidRDefault="0044065B" w:rsidP="00A23F87">
      <w:pPr>
        <w:pStyle w:val="Odstavecseseznamem"/>
        <w:numPr>
          <w:ilvl w:val="0"/>
          <w:numId w:val="21"/>
        </w:numPr>
        <w:shd w:val="clear" w:color="auto" w:fill="FFFFFF"/>
        <w:rPr>
          <w:rFonts w:ascii="Inter" w:hAnsi="Inter"/>
          <w:noProof w:val="0"/>
          <w:lang w:val="en-US"/>
        </w:rPr>
      </w:pPr>
      <w:r w:rsidRPr="00315C41">
        <w:rPr>
          <w:noProof w:val="0"/>
          <w:lang w:val="cs"/>
        </w:rPr>
        <w:t xml:space="preserve">Čistý úrokový výnos </w:t>
      </w:r>
      <w:r w:rsidR="00CC64B0">
        <w:rPr>
          <w:noProof w:val="0"/>
          <w:lang w:val="cs"/>
        </w:rPr>
        <w:t xml:space="preserve">(NII) </w:t>
      </w:r>
      <w:r w:rsidRPr="00315C41">
        <w:rPr>
          <w:noProof w:val="0"/>
          <w:lang w:val="cs"/>
        </w:rPr>
        <w:t>vzrostl meziročně o 27,1 % na 1,77 mld. EUR</w:t>
      </w:r>
    </w:p>
    <w:p w14:paraId="4D2395DF" w14:textId="77777777" w:rsidR="00B3400C" w:rsidRPr="00315C41" w:rsidRDefault="00B3400C" w:rsidP="00B3400C">
      <w:pPr>
        <w:pStyle w:val="Odstavecseseznamem"/>
        <w:numPr>
          <w:ilvl w:val="0"/>
          <w:numId w:val="21"/>
        </w:numPr>
        <w:shd w:val="clear" w:color="auto" w:fill="FFFFFF"/>
        <w:rPr>
          <w:rFonts w:ascii="Inter" w:hAnsi="Inter"/>
          <w:noProof w:val="0"/>
          <w:lang w:val="en-US"/>
        </w:rPr>
      </w:pPr>
      <w:r w:rsidRPr="00315C41">
        <w:rPr>
          <w:noProof w:val="0"/>
          <w:lang w:val="cs"/>
        </w:rPr>
        <w:t>Provozní výsledek dosáhl 1,26 miliardy eur, meziroční nárůst o 56,9 %</w:t>
      </w:r>
    </w:p>
    <w:p w14:paraId="5292582B" w14:textId="5E5CE789" w:rsidR="005B26F5" w:rsidRPr="00315C41" w:rsidRDefault="00CC64B0" w:rsidP="2C082661">
      <w:pPr>
        <w:pStyle w:val="Odstavecseseznamem"/>
        <w:numPr>
          <w:ilvl w:val="0"/>
          <w:numId w:val="21"/>
        </w:numPr>
        <w:shd w:val="clear" w:color="auto" w:fill="FFFFFF" w:themeFill="background1"/>
        <w:rPr>
          <w:rFonts w:ascii="Inter" w:hAnsi="Inter"/>
          <w:noProof w:val="0"/>
          <w:lang w:val="en-US"/>
        </w:rPr>
      </w:pPr>
      <w:r>
        <w:rPr>
          <w:noProof w:val="0"/>
          <w:lang w:val="cs"/>
        </w:rPr>
        <w:t>P</w:t>
      </w:r>
      <w:r w:rsidR="009A4943" w:rsidRPr="00315C41">
        <w:rPr>
          <w:noProof w:val="0"/>
          <w:lang w:val="cs"/>
        </w:rPr>
        <w:t>odíl úvěrů se selháním ve výši 2,1 %; čisté rozpuštění rezerv na riziko ve výši 20,7 mil. EUR</w:t>
      </w:r>
    </w:p>
    <w:p w14:paraId="2AE252E7" w14:textId="470B747F" w:rsidR="2F006889" w:rsidRPr="00315C41" w:rsidRDefault="2F006889" w:rsidP="2C082661">
      <w:pPr>
        <w:pStyle w:val="Odstavecseseznamem"/>
        <w:numPr>
          <w:ilvl w:val="0"/>
          <w:numId w:val="21"/>
        </w:numPr>
        <w:shd w:val="clear" w:color="auto" w:fill="FFFFFF" w:themeFill="background1"/>
        <w:rPr>
          <w:rFonts w:eastAsia="Arial"/>
          <w:noProof w:val="0"/>
          <w:lang w:val="en-US"/>
        </w:rPr>
      </w:pPr>
      <w:r w:rsidRPr="00315C41">
        <w:rPr>
          <w:noProof w:val="0"/>
          <w:lang w:val="cs"/>
        </w:rPr>
        <w:t xml:space="preserve">Nárůst klientských vkladů předbíhá růst objemu úvěrů </w:t>
      </w:r>
    </w:p>
    <w:p w14:paraId="361636C6" w14:textId="77777777" w:rsidR="00A23F87" w:rsidRPr="00315C41" w:rsidRDefault="00A23F87" w:rsidP="00A23F87">
      <w:pPr>
        <w:rPr>
          <w:rFonts w:ascii="Inter" w:hAnsi="Inter"/>
          <w:noProof w:val="0"/>
          <w:lang w:val="en-US"/>
        </w:rPr>
      </w:pPr>
    </w:p>
    <w:p w14:paraId="7DBD6607" w14:textId="5182A501" w:rsidR="006E3920" w:rsidRPr="00315C41" w:rsidRDefault="00DB1C2C" w:rsidP="2C082661">
      <w:pPr>
        <w:spacing w:line="280" w:lineRule="exact"/>
        <w:rPr>
          <w:rFonts w:ascii="Inter" w:hAnsi="Inter"/>
          <w:b/>
          <w:bCs/>
          <w:noProof w:val="0"/>
          <w:lang w:val="en-US"/>
        </w:rPr>
      </w:pPr>
      <w:r w:rsidRPr="00315C41">
        <w:rPr>
          <w:b/>
          <w:noProof w:val="0"/>
          <w:lang w:val="cs"/>
        </w:rPr>
        <w:t xml:space="preserve">Erste Group Bank AG vykázala za první tři měsíce roku 2023 provozní výsledek ve výši 1,26 miliardy eur. Tento meziroční nárůst o téměř 57 % odrážel solidní čistý úrokový výnos ve výši 1,77 mld. EUR (o 27,1 % y/y) v důsledku obecně příznivého vývoje úrokových sazeb a většího objemu klientských úvěrů. Zisky v oblasti platebních služeb a správy aktiv vedly k meziročnímu nárůstu čistých výnosů z poplatků a provizí o 4,4 % na 643 milionů eur. Efekty ocenění zaznamenaly zlepšení čistého obchodního výsledku na 117 milionů eur ve srovnání se ztrátou 257 milionů eur ve stejném období předchozího roku. Provozní náklady byly meziročně vyšší o 0,6 % </w:t>
      </w:r>
      <w:r w:rsidR="00CC64B0">
        <w:rPr>
          <w:b/>
          <w:noProof w:val="0"/>
          <w:lang w:val="cs"/>
        </w:rPr>
        <w:t>a dosáhly</w:t>
      </w:r>
      <w:r w:rsidRPr="00315C41">
        <w:rPr>
          <w:b/>
          <w:noProof w:val="0"/>
          <w:lang w:val="cs"/>
        </w:rPr>
        <w:t xml:space="preserve"> 1,24 miliardy eur. V prvním čtvrtletí došlo k čistému uvolnění rezerv na rizika, což vedlo k pozitivnímu výsledku snížení hodnoty </w:t>
      </w:r>
      <w:r w:rsidR="00CC64B0" w:rsidRPr="00CC64B0">
        <w:rPr>
          <w:b/>
          <w:lang w:val="cs"/>
        </w:rPr>
        <w:t>vyplývající z finančních nástrojů</w:t>
      </w:r>
      <w:r w:rsidR="00CC64B0" w:rsidRPr="00CC64B0">
        <w:rPr>
          <w:lang w:val="cs"/>
        </w:rPr>
        <w:t xml:space="preserve"> </w:t>
      </w:r>
      <w:r w:rsidRPr="00315C41">
        <w:rPr>
          <w:b/>
          <w:noProof w:val="0"/>
          <w:lang w:val="cs"/>
        </w:rPr>
        <w:t>ve výši 20,7 milionu eur</w:t>
      </w:r>
      <w:r w:rsidR="00CC64B0">
        <w:rPr>
          <w:b/>
          <w:noProof w:val="0"/>
          <w:lang w:val="cs"/>
        </w:rPr>
        <w:t>. Vše přispělo</w:t>
      </w:r>
      <w:r w:rsidRPr="00315C41">
        <w:rPr>
          <w:b/>
          <w:noProof w:val="0"/>
          <w:lang w:val="cs"/>
        </w:rPr>
        <w:t xml:space="preserve"> přispělo k čistému výsledku ve výši 594 milionů eur za </w:t>
      </w:r>
      <w:r w:rsidR="00CC64B0">
        <w:rPr>
          <w:b/>
          <w:noProof w:val="0"/>
          <w:lang w:val="cs"/>
        </w:rPr>
        <w:t xml:space="preserve">1. </w:t>
      </w:r>
      <w:r w:rsidRPr="00315C41">
        <w:rPr>
          <w:b/>
          <w:noProof w:val="0"/>
          <w:lang w:val="cs"/>
        </w:rPr>
        <w:t>čtvrtletí.</w:t>
      </w:r>
    </w:p>
    <w:p w14:paraId="1492DD15" w14:textId="77777777" w:rsidR="00C10479" w:rsidRPr="00315C41" w:rsidRDefault="00C10479" w:rsidP="00A23F87">
      <w:pPr>
        <w:rPr>
          <w:rFonts w:ascii="Inter" w:hAnsi="Inter"/>
          <w:noProof w:val="0"/>
          <w:color w:val="FFFFFF" w:themeColor="background1"/>
          <w:lang w:val="en-US"/>
        </w:rPr>
      </w:pPr>
    </w:p>
    <w:p w14:paraId="773D88D4" w14:textId="7194FDC0" w:rsidR="00C10479" w:rsidRPr="00315C41" w:rsidRDefault="00C10479" w:rsidP="00C10479">
      <w:pPr>
        <w:rPr>
          <w:rFonts w:ascii="Inter" w:hAnsi="Inter"/>
          <w:color w:val="000000" w:themeColor="text1"/>
          <w:lang w:val="en-US"/>
        </w:rPr>
      </w:pPr>
      <w:r w:rsidRPr="00315C41">
        <w:rPr>
          <w:i/>
          <w:color w:val="000000" w:themeColor="text1"/>
          <w:lang w:val="cs"/>
        </w:rPr>
        <w:t xml:space="preserve">"Ekonomiky ve střední a východní Evropě neunikly globálnímu zpomalení hospodářského růstu, ale ukazují svou odolnost. Jsme přesvědčeni, že konvergenční příběh střední a východní Evropy zůstane nedotčen a že tento region bude od roku 2024 opět vyčnívat jako rostoucí region v Evropě," </w:t>
      </w:r>
      <w:r w:rsidRPr="00315C41">
        <w:rPr>
          <w:color w:val="000000" w:themeColor="text1"/>
          <w:lang w:val="cs"/>
        </w:rPr>
        <w:t xml:space="preserve">řekl </w:t>
      </w:r>
      <w:r w:rsidRPr="00315C41">
        <w:rPr>
          <w:b/>
          <w:color w:val="000000" w:themeColor="text1"/>
          <w:lang w:val="cs"/>
        </w:rPr>
        <w:t>generální ředitel Erste Group Willi Cernko</w:t>
      </w:r>
      <w:r w:rsidRPr="00315C41">
        <w:rPr>
          <w:i/>
          <w:color w:val="000000" w:themeColor="text1"/>
          <w:lang w:val="cs"/>
        </w:rPr>
        <w:t xml:space="preserve">. "Kromě této důvěry máme také velmi jasnou vizi digitalizace. </w:t>
      </w:r>
      <w:r w:rsidR="00CC64B0">
        <w:rPr>
          <w:i/>
          <w:color w:val="000000" w:themeColor="text1"/>
          <w:lang w:val="cs"/>
        </w:rPr>
        <w:t>Prokázal to</w:t>
      </w:r>
      <w:r w:rsidRPr="00315C41">
        <w:rPr>
          <w:i/>
          <w:color w:val="000000" w:themeColor="text1"/>
          <w:lang w:val="cs"/>
        </w:rPr>
        <w:t xml:space="preserve"> úspěch George </w:t>
      </w:r>
      <w:r w:rsidR="00CC64B0">
        <w:rPr>
          <w:i/>
          <w:color w:val="000000" w:themeColor="text1"/>
          <w:lang w:val="cs"/>
        </w:rPr>
        <w:t xml:space="preserve">mezi </w:t>
      </w:r>
      <w:r w:rsidRPr="00315C41">
        <w:rPr>
          <w:i/>
          <w:color w:val="000000" w:themeColor="text1"/>
          <w:lang w:val="cs"/>
        </w:rPr>
        <w:t>naš</w:t>
      </w:r>
      <w:r w:rsidR="00CC64B0">
        <w:rPr>
          <w:i/>
          <w:color w:val="000000" w:themeColor="text1"/>
          <w:lang w:val="cs"/>
        </w:rPr>
        <w:t>imi</w:t>
      </w:r>
      <w:r w:rsidRPr="00315C41">
        <w:rPr>
          <w:i/>
          <w:color w:val="000000" w:themeColor="text1"/>
          <w:lang w:val="cs"/>
        </w:rPr>
        <w:t xml:space="preserve"> </w:t>
      </w:r>
      <w:r w:rsidR="00CC64B0">
        <w:rPr>
          <w:i/>
          <w:color w:val="000000" w:themeColor="text1"/>
          <w:lang w:val="cs"/>
        </w:rPr>
        <w:t>retailovými</w:t>
      </w:r>
      <w:r w:rsidRPr="00315C41">
        <w:rPr>
          <w:i/>
          <w:color w:val="000000" w:themeColor="text1"/>
          <w:lang w:val="cs"/>
        </w:rPr>
        <w:t xml:space="preserve">í zákazníky na šesti trzích. Nyní jsme spustili George Business pro firemní uživatele v Rakousku a tuto inovativní platformu </w:t>
      </w:r>
      <w:r w:rsidR="00CC64B0">
        <w:rPr>
          <w:i/>
          <w:color w:val="000000" w:themeColor="text1"/>
          <w:lang w:val="cs"/>
        </w:rPr>
        <w:t>firemního</w:t>
      </w:r>
      <w:r w:rsidRPr="00315C41">
        <w:rPr>
          <w:i/>
          <w:color w:val="000000" w:themeColor="text1"/>
          <w:lang w:val="cs"/>
        </w:rPr>
        <w:t xml:space="preserve"> bankovnictví rozšíříme i na naše další trhy. Budeme i nadále podporovat digitální inovace jako klíčový způsob, jak našim zákazníkům poskytovat data, nástroje a znalosti, které potřebují k posílení své finanční </w:t>
      </w:r>
      <w:r w:rsidR="00CC64B0">
        <w:rPr>
          <w:i/>
          <w:color w:val="000000" w:themeColor="text1"/>
          <w:lang w:val="cs"/>
        </w:rPr>
        <w:t>kondice</w:t>
      </w:r>
      <w:r w:rsidRPr="00315C41">
        <w:rPr>
          <w:i/>
          <w:color w:val="000000" w:themeColor="text1"/>
          <w:lang w:val="cs"/>
        </w:rPr>
        <w:t>."</w:t>
      </w:r>
    </w:p>
    <w:p w14:paraId="44331871" w14:textId="77777777" w:rsidR="00C10479" w:rsidRPr="00315C41" w:rsidRDefault="00C10479" w:rsidP="00A23F87">
      <w:pPr>
        <w:rPr>
          <w:rFonts w:ascii="Inter" w:hAnsi="Inter"/>
          <w:noProof w:val="0"/>
          <w:color w:val="FFFFFF" w:themeColor="background1"/>
          <w:lang w:val="en-US"/>
        </w:rPr>
      </w:pPr>
    </w:p>
    <w:p w14:paraId="33FFC7BD" w14:textId="1010DFD8" w:rsidR="00C10479" w:rsidRPr="00860BEC" w:rsidRDefault="00C10479" w:rsidP="00C10479">
      <w:pPr>
        <w:rPr>
          <w:rFonts w:ascii="Inter" w:hAnsi="Inter"/>
          <w:color w:val="000000" w:themeColor="text1"/>
          <w:lang w:val="en-US"/>
        </w:rPr>
      </w:pPr>
      <w:r w:rsidRPr="00315C41">
        <w:rPr>
          <w:i/>
          <w:color w:val="000000" w:themeColor="text1"/>
          <w:lang w:val="cs"/>
        </w:rPr>
        <w:t xml:space="preserve">"Růst úvěrů v prvním čtvrtletí zpomalil, což odráží celkově utlumenější makroekonomické prostředí. Čistý úrokový výnos </w:t>
      </w:r>
      <w:r w:rsidR="00CC64B0">
        <w:rPr>
          <w:i/>
          <w:color w:val="000000" w:themeColor="text1"/>
          <w:lang w:val="cs"/>
        </w:rPr>
        <w:t xml:space="preserve">(NII) </w:t>
      </w:r>
      <w:r w:rsidRPr="00315C41">
        <w:rPr>
          <w:i/>
          <w:color w:val="000000" w:themeColor="text1"/>
          <w:lang w:val="cs"/>
        </w:rPr>
        <w:t xml:space="preserve">však silně rostl a zůstal klíčovým zdrojem příjmů, NII rostl díky příznivým cyklům sazeb na většině trhů a vyšším objemům klientských úvěrů na všech trzích. Náš hospodářský výsledek v prvních třech měsících roku 2023 také těžil z provozních nákladů, které byly v souladu s očekáváním, a z rizikového prostředí, které zůstalo příznivé," </w:t>
      </w:r>
      <w:r w:rsidRPr="00315C41">
        <w:rPr>
          <w:color w:val="000000" w:themeColor="text1"/>
          <w:lang w:val="cs"/>
        </w:rPr>
        <w:t xml:space="preserve">řekl </w:t>
      </w:r>
      <w:r w:rsidRPr="00315C41">
        <w:rPr>
          <w:b/>
          <w:color w:val="000000" w:themeColor="text1"/>
          <w:lang w:val="cs"/>
        </w:rPr>
        <w:t>Stefan Dörfler</w:t>
      </w:r>
      <w:r w:rsidRPr="00315C41">
        <w:rPr>
          <w:color w:val="000000" w:themeColor="text1"/>
          <w:lang w:val="cs"/>
        </w:rPr>
        <w:t xml:space="preserve">, </w:t>
      </w:r>
      <w:r w:rsidRPr="00315C41">
        <w:rPr>
          <w:b/>
          <w:color w:val="000000" w:themeColor="text1"/>
          <w:lang w:val="cs"/>
        </w:rPr>
        <w:t>finanční ředitel Erste Group</w:t>
      </w:r>
      <w:r w:rsidRPr="00315C41">
        <w:rPr>
          <w:i/>
          <w:color w:val="000000" w:themeColor="text1"/>
          <w:lang w:val="cs"/>
        </w:rPr>
        <w:t>. "Vzhledem k nedávnému vývoji na globálním bankovním trhu vítáme příliv vkladů, který jsme zaznamenali v posledních měsících. Jsou známkou důvěry, kterou v nás zákazníci vkládají jako do stabilního lídra v regionu střední a východní Evropy. Solidní provozní a hospodářské výsledky, které jsme vykázali v prvním čtvrtletí, nám také dávají jistotu, že jsme na dobré cestě ke splnění našeho vylepšeného celoročního výhled</w:t>
      </w:r>
      <w:r w:rsidR="00CC64B0">
        <w:rPr>
          <w:i/>
          <w:color w:val="000000" w:themeColor="text1"/>
          <w:lang w:val="cs"/>
        </w:rPr>
        <w:t>u.“</w:t>
      </w:r>
    </w:p>
    <w:p w14:paraId="56EFE6DD" w14:textId="77777777" w:rsidR="009C74F2" w:rsidRPr="00315C41" w:rsidRDefault="009C74F2" w:rsidP="00C71EFA">
      <w:pPr>
        <w:rPr>
          <w:rFonts w:ascii="Inter" w:hAnsi="Inter"/>
          <w:noProof w:val="0"/>
          <w:lang w:val="en-US"/>
        </w:rPr>
      </w:pPr>
    </w:p>
    <w:p w14:paraId="53969514" w14:textId="4B91F9AD" w:rsidR="009C74F2" w:rsidRPr="00315C41" w:rsidRDefault="009C74F2" w:rsidP="009C74F2">
      <w:pPr>
        <w:rPr>
          <w:rFonts w:ascii="Inter" w:hAnsi="Inter"/>
          <w:noProof w:val="0"/>
          <w:lang w:val="en-US"/>
        </w:rPr>
      </w:pPr>
    </w:p>
    <w:p w14:paraId="59FAD78F" w14:textId="77777777" w:rsidR="009C74F2" w:rsidRPr="00315C41" w:rsidRDefault="009C74F2" w:rsidP="009C74F2">
      <w:pPr>
        <w:rPr>
          <w:rFonts w:ascii="Inter" w:hAnsi="Inter"/>
          <w:noProof w:val="0"/>
          <w:color w:val="FFFFFF" w:themeColor="background1"/>
          <w:lang w:val="en-US"/>
        </w:rPr>
      </w:pPr>
    </w:p>
    <w:p w14:paraId="72220DDD" w14:textId="77777777" w:rsidR="00CC64B0" w:rsidRPr="00CC64B0" w:rsidRDefault="00CC64B0" w:rsidP="00CC64B0">
      <w:pPr>
        <w:rPr>
          <w:rFonts w:ascii="Inter" w:hAnsi="Inter"/>
          <w:sz w:val="16"/>
          <w:szCs w:val="16"/>
          <w:lang w:val="en-US"/>
        </w:rPr>
      </w:pPr>
      <w:r w:rsidRPr="00CC64B0">
        <w:rPr>
          <w:sz w:val="16"/>
          <w:szCs w:val="16"/>
          <w:lang w:val="cs"/>
        </w:rPr>
        <w:t>Finanční výsledky za leden až březen 2023 jsou porovnány s výsledky za leden až březen 2022 a rozvahové pozice k 31. březnu 2023 s výsledky k 31. prosinci 2022.</w:t>
      </w:r>
    </w:p>
    <w:p w14:paraId="21772062" w14:textId="77777777" w:rsidR="00CC64B0" w:rsidRPr="00315C41" w:rsidRDefault="00CC64B0" w:rsidP="009C74F2">
      <w:pPr>
        <w:spacing w:line="280" w:lineRule="exact"/>
        <w:rPr>
          <w:rFonts w:ascii="Inter" w:hAnsi="Inter"/>
          <w:noProof w:val="0"/>
          <w:sz w:val="16"/>
          <w:szCs w:val="14"/>
          <w:lang w:val="en-US"/>
        </w:rPr>
      </w:pPr>
    </w:p>
    <w:p w14:paraId="433EC43B" w14:textId="661B9B1E" w:rsidR="009C74F2" w:rsidRPr="00CC64B0" w:rsidRDefault="009C74F2" w:rsidP="000D67C8">
      <w:pPr>
        <w:pStyle w:val="Bezmezer"/>
        <w:spacing w:before="40" w:after="120" w:line="288" w:lineRule="auto"/>
        <w:rPr>
          <w:rFonts w:ascii="Inter" w:eastAsiaTheme="majorEastAsia" w:hAnsi="Inter" w:cstheme="majorBidi"/>
          <w:b/>
          <w:bCs/>
          <w:sz w:val="20"/>
          <w:szCs w:val="20"/>
          <w:shd w:val="clear" w:color="auto" w:fill="FFFFFF"/>
          <w:lang w:val="en-US" w:eastAsia="de-DE"/>
        </w:rPr>
      </w:pPr>
    </w:p>
    <w:p w14:paraId="56EF436A" w14:textId="77777777" w:rsidR="00CC64B0" w:rsidRPr="00CC64B0" w:rsidRDefault="00CC64B0" w:rsidP="00CC64B0">
      <w:pPr>
        <w:rPr>
          <w:rFonts w:ascii="Inter" w:hAnsi="Inter"/>
          <w:b/>
          <w:bCs/>
          <w:sz w:val="24"/>
          <w:szCs w:val="24"/>
          <w:lang w:val="en-GB"/>
        </w:rPr>
      </w:pPr>
      <w:r w:rsidRPr="00CC64B0">
        <w:rPr>
          <w:b/>
          <w:bCs/>
          <w:sz w:val="24"/>
          <w:szCs w:val="24"/>
          <w:lang w:val="cs"/>
        </w:rPr>
        <w:t>Vyšší provozní zisk odráží růst čistého příjmu z úroků (NII), lepší výsledek z obchodování</w:t>
      </w:r>
    </w:p>
    <w:p w14:paraId="33FA26AE" w14:textId="77777777" w:rsidR="00CC64B0" w:rsidRPr="00CC64B0" w:rsidRDefault="00CC64B0" w:rsidP="00CC64B0">
      <w:pPr>
        <w:rPr>
          <w:rFonts w:ascii="Inter" w:hAnsi="Inter"/>
          <w:lang w:val="en-GB"/>
        </w:rPr>
      </w:pPr>
    </w:p>
    <w:p w14:paraId="1EAAADA4" w14:textId="77777777" w:rsidR="00CC64B0" w:rsidRPr="00CC64B0" w:rsidRDefault="00CC64B0" w:rsidP="00CC64B0">
      <w:pPr>
        <w:rPr>
          <w:rFonts w:ascii="Inter" w:hAnsi="Inter"/>
          <w:lang w:val="en-GB"/>
        </w:rPr>
      </w:pPr>
      <w:bookmarkStart w:id="0" w:name="_Hlk45893200"/>
      <w:r w:rsidRPr="00CC64B0">
        <w:rPr>
          <w:b/>
          <w:lang w:val="cs"/>
        </w:rPr>
        <w:t>Čistý úrokový výnos</w:t>
      </w:r>
      <w:r w:rsidRPr="00CC64B0">
        <w:rPr>
          <w:lang w:val="cs"/>
        </w:rPr>
        <w:t xml:space="preserve"> vzrostl na 1 769,0 milionu EUR (+27,1 %; 1 392,1 milionu EUR) díky vyšším tržním úrokovým sazbám – zejména v Rakousku, Maďarsku a Rumunsku – a většímu objemu klientských úvěrů na všech trzích. </w:t>
      </w:r>
      <w:r w:rsidRPr="00CC64B0">
        <w:rPr>
          <w:b/>
          <w:lang w:val="cs"/>
        </w:rPr>
        <w:t>Čisté výnosy z poplatků a provizí</w:t>
      </w:r>
      <w:r w:rsidRPr="00CC64B0">
        <w:rPr>
          <w:lang w:val="cs"/>
        </w:rPr>
        <w:t xml:space="preserve"> vzrostly na 642,7 milionu EUR (+4,4 %; 615,3 milionu EUR). Růst byl zaznamenán téměř na všech klíčových trzích, zejména v oblasti platebních služeb a v obchodování s cennými papíry. </w:t>
      </w:r>
      <w:r w:rsidRPr="00CC64B0">
        <w:rPr>
          <w:b/>
          <w:lang w:val="cs"/>
        </w:rPr>
        <w:t>Čistý výsledek obchodování</w:t>
      </w:r>
      <w:r w:rsidRPr="00CC64B0">
        <w:rPr>
          <w:lang w:val="cs"/>
        </w:rPr>
        <w:t xml:space="preserve"> se zlepšil na 116,7 milionu EUR (-256,6 milionu EUR); </w:t>
      </w:r>
      <w:r w:rsidRPr="00CC64B0">
        <w:rPr>
          <w:b/>
          <w:lang w:val="cs"/>
        </w:rPr>
        <w:t>zisky/ztráty z finančních nástrojů oceňované reálnou hodnotou poklesly</w:t>
      </w:r>
      <w:r w:rsidRPr="00CC64B0">
        <w:rPr>
          <w:lang w:val="cs"/>
        </w:rPr>
        <w:t xml:space="preserve"> na -81,4 milionu EUR  (239,7 milionu EUR  ). Vývoj těchto dvou položek způsobily především dopady ocenění. </w:t>
      </w:r>
      <w:r w:rsidRPr="00CC64B0">
        <w:rPr>
          <w:b/>
          <w:lang w:val="cs"/>
        </w:rPr>
        <w:t>Provozní výnosy</w:t>
      </w:r>
      <w:r w:rsidRPr="00CC64B0">
        <w:rPr>
          <w:lang w:val="cs"/>
        </w:rPr>
        <w:t xml:space="preserve"> vzrostly na 2 498,7 milionu EUR (+22,7 %; 2 036,2 milionu EUR).</w:t>
      </w:r>
    </w:p>
    <w:p w14:paraId="14D42A8C" w14:textId="77777777" w:rsidR="00CC64B0" w:rsidRPr="00CC64B0" w:rsidRDefault="00CC64B0" w:rsidP="00CC64B0">
      <w:pPr>
        <w:rPr>
          <w:rFonts w:ascii="Inter" w:hAnsi="Inter"/>
          <w:lang w:val="en-GB"/>
        </w:rPr>
      </w:pPr>
    </w:p>
    <w:p w14:paraId="2A70F8A7" w14:textId="77777777" w:rsidR="00CC64B0" w:rsidRPr="00CC64B0" w:rsidRDefault="00CC64B0" w:rsidP="00CC64B0">
      <w:pPr>
        <w:rPr>
          <w:rFonts w:ascii="Inter" w:hAnsi="Inter"/>
          <w:b/>
          <w:bCs/>
          <w:sz w:val="24"/>
          <w:szCs w:val="24"/>
          <w:lang w:val="en-GB"/>
        </w:rPr>
      </w:pPr>
      <w:r w:rsidRPr="00CC64B0">
        <w:rPr>
          <w:b/>
          <w:bCs/>
          <w:sz w:val="24"/>
          <w:szCs w:val="24"/>
          <w:lang w:val="cs"/>
        </w:rPr>
        <w:t>Provozní výsledek prudce vzrostl na 1,25 miliardy eur</w:t>
      </w:r>
    </w:p>
    <w:p w14:paraId="4AFFF68F" w14:textId="77777777" w:rsidR="00CC64B0" w:rsidRPr="00CC64B0" w:rsidRDefault="00CC64B0" w:rsidP="00CC64B0">
      <w:pPr>
        <w:rPr>
          <w:rFonts w:ascii="Inter" w:hAnsi="Inter"/>
          <w:lang w:val="en-GB"/>
        </w:rPr>
      </w:pPr>
    </w:p>
    <w:p w14:paraId="58A2A842" w14:textId="77777777" w:rsidR="00CC64B0" w:rsidRPr="00CC64B0" w:rsidRDefault="00CC64B0" w:rsidP="00CC64B0">
      <w:pPr>
        <w:rPr>
          <w:rFonts w:ascii="Inter" w:hAnsi="Inter"/>
          <w:lang w:val="en-GB"/>
        </w:rPr>
      </w:pPr>
      <w:r w:rsidRPr="00CC64B0">
        <w:rPr>
          <w:b/>
          <w:lang w:val="cs"/>
        </w:rPr>
        <w:t>Všeobecné administrativní náklady</w:t>
      </w:r>
      <w:r w:rsidRPr="00CC64B0">
        <w:rPr>
          <w:lang w:val="cs"/>
        </w:rPr>
        <w:t xml:space="preserve"> se téměř nezměnily a dosáhly úrovně 1 242,0 milionu EUR (+0,6 %; 1 235,2 milionu EUR). Personální náklady byly vyšší a činily 697,5 milionu EUR (+10,6 %; 630,7 milionu EUR). Pokles ostatních správních nákladů na 408,6 milionu EUR (-12,7 %; 468,1 milionu EUR) byl zapříčiněn především snížením příspěvků do systémů pojištění vkladů na 113,5 milionu EUR (199,2 milionu EUR). Většina příspěvků očekávaných pro rok 2023 již byla zveřejněna předem. Vyšší náklady byly vyvolány vlivem výplaty pojištění vkladů v kauze Sberbank Europe v prvním čtvrtletí roku 2022. Amortizace a odpisy činily 135,9 milionu EUR (-0,4 %; 136,4 milionu EUR). Celkově  se </w:t>
      </w:r>
      <w:r w:rsidRPr="00CC64B0">
        <w:rPr>
          <w:b/>
          <w:lang w:val="cs"/>
        </w:rPr>
        <w:t xml:space="preserve">provozní výsledek </w:t>
      </w:r>
      <w:r w:rsidRPr="00CC64B0">
        <w:rPr>
          <w:lang w:val="cs"/>
        </w:rPr>
        <w:t xml:space="preserve">výrazně zvýšil na 1 256,7 milionu EUR (+56,9 %; 801,0 milionů EUR). Poměr </w:t>
      </w:r>
      <w:r w:rsidRPr="00CC64B0">
        <w:rPr>
          <w:b/>
          <w:lang w:val="cs"/>
        </w:rPr>
        <w:t>nákladů a výnosů</w:t>
      </w:r>
      <w:r w:rsidRPr="00CC64B0">
        <w:rPr>
          <w:lang w:val="cs"/>
        </w:rPr>
        <w:t xml:space="preserve"> se zlepšil na 49,7 % (60,7 %).</w:t>
      </w:r>
    </w:p>
    <w:p w14:paraId="731DE3C9" w14:textId="77777777" w:rsidR="00CC64B0" w:rsidRPr="00CC64B0" w:rsidRDefault="00CC64B0" w:rsidP="00CC64B0">
      <w:pPr>
        <w:rPr>
          <w:rFonts w:ascii="Inter" w:hAnsi="Inter"/>
          <w:lang w:val="en-GB"/>
        </w:rPr>
      </w:pPr>
    </w:p>
    <w:p w14:paraId="5CB880DE" w14:textId="77777777" w:rsidR="00CC64B0" w:rsidRPr="00CC64B0" w:rsidRDefault="00CC64B0" w:rsidP="00CC64B0">
      <w:pPr>
        <w:rPr>
          <w:rFonts w:ascii="Inter" w:hAnsi="Inter"/>
          <w:b/>
          <w:bCs/>
          <w:sz w:val="24"/>
          <w:szCs w:val="24"/>
          <w:lang w:val="en-GB"/>
        </w:rPr>
      </w:pPr>
      <w:r w:rsidRPr="00CC64B0">
        <w:rPr>
          <w:b/>
          <w:bCs/>
          <w:sz w:val="24"/>
          <w:szCs w:val="24"/>
          <w:lang w:val="cs"/>
        </w:rPr>
        <w:t>Rizikové prostředí zůstává příznivé</w:t>
      </w:r>
    </w:p>
    <w:p w14:paraId="2D349F63" w14:textId="77777777" w:rsidR="00CC64B0" w:rsidRPr="00CC64B0" w:rsidRDefault="00CC64B0" w:rsidP="00CC64B0">
      <w:pPr>
        <w:rPr>
          <w:rFonts w:ascii="Inter" w:hAnsi="Inter"/>
          <w:lang w:val="en-GB"/>
        </w:rPr>
      </w:pPr>
    </w:p>
    <w:p w14:paraId="56D37187" w14:textId="337ABB01" w:rsidR="00CC64B0" w:rsidRPr="00CC64B0" w:rsidRDefault="00CC64B0" w:rsidP="00CC64B0">
      <w:pPr>
        <w:rPr>
          <w:rFonts w:ascii="Inter" w:hAnsi="Inter"/>
          <w:lang w:val="en-US"/>
        </w:rPr>
      </w:pPr>
      <w:r w:rsidRPr="00CC64B0">
        <w:rPr>
          <w:b/>
          <w:lang w:val="cs"/>
        </w:rPr>
        <w:t>Snížení hodnoty vyplývající z finančních nástrojů</w:t>
      </w:r>
      <w:r w:rsidRPr="00CC64B0">
        <w:rPr>
          <w:lang w:val="cs"/>
        </w:rPr>
        <w:t xml:space="preserve"> </w:t>
      </w:r>
      <w:r>
        <w:rPr>
          <w:lang w:val="cs"/>
        </w:rPr>
        <w:t>odpovídalo čistému rozpuštění rizikových rezerv ve výši</w:t>
      </w:r>
      <w:r w:rsidRPr="00CC64B0">
        <w:rPr>
          <w:lang w:val="cs"/>
        </w:rPr>
        <w:t xml:space="preserve"> 20,7 milionu EUR, neboli 4 bazické body průměrných hrubých klientských úvěrů (–59,1 milionu EUR neboli 13 bazických bodů). Kladné se projevilo rozpuštění opravných položek k závazkům a zárukám téměř ve všech segmentech a  také z výnosů ze splátek již odepsaných úvěrů, zejména v Rakousku a České republice. V prvním čtvrtletí </w:t>
      </w:r>
      <w:r>
        <w:rPr>
          <w:lang w:val="cs"/>
        </w:rPr>
        <w:t>nebyly provedeny změny</w:t>
      </w:r>
      <w:r w:rsidRPr="00CC64B0">
        <w:rPr>
          <w:lang w:val="cs"/>
        </w:rPr>
        <w:t xml:space="preserve"> výhledových ekonomických ukazatelů (FLI). Celkově zůstaly rezervy na výkonnostní rizika vyvolané krizí ke konci března beze změny na úrovni přibližně 900 mil. EUR. Podíl </w:t>
      </w:r>
      <w:r w:rsidRPr="00CC64B0">
        <w:rPr>
          <w:b/>
          <w:lang w:val="cs"/>
        </w:rPr>
        <w:t>úvěrů se selháním</w:t>
      </w:r>
      <w:r w:rsidRPr="00CC64B0">
        <w:rPr>
          <w:lang w:val="cs"/>
        </w:rPr>
        <w:t xml:space="preserve"> založený na hrubých klientských úvěrech zůstal téměř beze změny na úrovni 2,1 % (2,0 %). Ukazatel NPL, tedy </w:t>
      </w:r>
      <w:r w:rsidRPr="00CC64B0">
        <w:rPr>
          <w:b/>
          <w:lang w:val="cs"/>
        </w:rPr>
        <w:t>krytí úvěrů se selháním</w:t>
      </w:r>
      <w:r w:rsidRPr="00CC64B0">
        <w:rPr>
          <w:lang w:val="cs"/>
        </w:rPr>
        <w:t xml:space="preserve"> (bez zajištění) vzrostl na 94,3 % (94,6 %).</w:t>
      </w:r>
    </w:p>
    <w:bookmarkEnd w:id="0"/>
    <w:p w14:paraId="08B73CB6" w14:textId="77777777" w:rsidR="00CC64B0" w:rsidRPr="00CC64B0" w:rsidRDefault="00CC64B0" w:rsidP="00CC64B0">
      <w:pPr>
        <w:rPr>
          <w:rFonts w:ascii="Inter" w:hAnsi="Inter"/>
          <w:lang w:val="en-GB"/>
        </w:rPr>
      </w:pPr>
    </w:p>
    <w:p w14:paraId="78A0BE79" w14:textId="07E740A1" w:rsidR="00CC64B0" w:rsidRPr="00CC64B0" w:rsidRDefault="00CC64B0" w:rsidP="00CC64B0">
      <w:pPr>
        <w:rPr>
          <w:rFonts w:ascii="Inter" w:hAnsi="Inter"/>
          <w:b/>
          <w:bCs/>
          <w:sz w:val="24"/>
          <w:szCs w:val="24"/>
          <w:lang w:val="en-GB"/>
        </w:rPr>
      </w:pPr>
      <w:r w:rsidRPr="00CC64B0">
        <w:rPr>
          <w:b/>
          <w:bCs/>
          <w:sz w:val="24"/>
          <w:szCs w:val="24"/>
          <w:lang w:val="cs"/>
        </w:rPr>
        <w:t>Čistý zisk roste díky silnému provoznímu výsledku,</w:t>
      </w:r>
      <w:r>
        <w:rPr>
          <w:b/>
          <w:bCs/>
          <w:sz w:val="24"/>
          <w:szCs w:val="24"/>
          <w:lang w:val="cs"/>
        </w:rPr>
        <w:t xml:space="preserve"> </w:t>
      </w:r>
      <w:r w:rsidRPr="00CC64B0">
        <w:rPr>
          <w:b/>
          <w:bCs/>
          <w:sz w:val="24"/>
          <w:szCs w:val="24"/>
          <w:lang w:val="cs"/>
        </w:rPr>
        <w:t>rozpuštění rezerv na rizika</w:t>
      </w:r>
    </w:p>
    <w:p w14:paraId="49B8162D" w14:textId="77777777" w:rsidR="00CC64B0" w:rsidRPr="00CC64B0" w:rsidRDefault="00CC64B0" w:rsidP="00CC64B0">
      <w:pPr>
        <w:rPr>
          <w:rFonts w:ascii="Inter" w:hAnsi="Inter"/>
          <w:lang w:val="en-GB"/>
        </w:rPr>
      </w:pPr>
    </w:p>
    <w:p w14:paraId="36379DAE" w14:textId="77777777" w:rsidR="00CC64B0" w:rsidRPr="00CC64B0" w:rsidRDefault="00CC64B0" w:rsidP="00CC64B0">
      <w:pPr>
        <w:rPr>
          <w:rFonts w:ascii="Inter" w:hAnsi="Inter"/>
          <w:lang w:val="en-GB"/>
        </w:rPr>
      </w:pPr>
      <w:r w:rsidRPr="00CC64B0">
        <w:rPr>
          <w:b/>
          <w:lang w:val="cs"/>
        </w:rPr>
        <w:t>Ostatní provozní výsledek</w:t>
      </w:r>
      <w:r w:rsidRPr="00CC64B0">
        <w:rPr>
          <w:lang w:val="cs"/>
        </w:rPr>
        <w:t xml:space="preserve"> činil -274,3 milionu EUR (-132,7 milionu EUR). Náklady na roční příspěvky do fondů pro řešení tržních selhání (rezoluční fondy) zahrnuté v této položce již za celý rok </w:t>
      </w:r>
      <w:r w:rsidRPr="00CC64B0">
        <w:rPr>
          <w:lang w:val="cs"/>
        </w:rPr>
        <w:lastRenderedPageBreak/>
        <w:t xml:space="preserve">2023 vzrostly – zejména v Rakousku – na 138,1 milionu EUR (123,1 milionu EUR). Odvody do fondů, které jsou v současné době splatné na dvou hlavních trzích, vzrostly na 99,1 milionu EUR (40,2 milionu EUR). Z toho bylo v Maďarsku vyúčtováno 89,5 milionu EUR: kromě běžné bankovní daně ve výši 18,8 milionu EUR (18,0 milionu EUR) byla vykázána daň z neočekávaného zisku (windfall tax) ve výši 53,4 milionu EUR na základě čistých příjmů předchozího roku (obojí rovněž předem za celý rok 2023). Daň z neočekávaných příjmů za předchozí rok (49,9 milionu EUR) byla vykázána až ve druhém čtvrtletí roku 2022. Maďarská daň z transakcí za první čtvrtletí činila 17,4 milionu eur (14,1 milionu eur). V Rakousku činila bankovní daň 9,6 milionu EUR (8,1 milionu EUR). Kromě toho byl ostatní provozní výsledek nepříznivě ovlivněn vlivy ocenění. </w:t>
      </w:r>
    </w:p>
    <w:p w14:paraId="0EA8F42E" w14:textId="77777777" w:rsidR="00CC64B0" w:rsidRPr="00CC64B0" w:rsidRDefault="00CC64B0" w:rsidP="00CC64B0">
      <w:pPr>
        <w:rPr>
          <w:rFonts w:ascii="Inter" w:hAnsi="Inter"/>
          <w:lang w:val="en-GB"/>
        </w:rPr>
      </w:pPr>
    </w:p>
    <w:p w14:paraId="02AC45A2" w14:textId="77777777" w:rsidR="00CC64B0" w:rsidRPr="00CC64B0" w:rsidRDefault="00CC64B0" w:rsidP="00CC64B0">
      <w:pPr>
        <w:rPr>
          <w:rFonts w:ascii="Inter" w:hAnsi="Inter"/>
          <w:lang w:val="en-GB"/>
        </w:rPr>
      </w:pPr>
      <w:r w:rsidRPr="00CC64B0">
        <w:rPr>
          <w:lang w:val="cs"/>
        </w:rPr>
        <w:t xml:space="preserve">Daň z příjmu činila 185,6 milionu EUR (115,6 milionu EUR). Zvýšení minoritních nákladů na 224,0 mil. EUR (45,7 mil. EUR) bylo způsobeno výrazně lepšími výsledky spořitelen – především díky vyšším čistým úrokovým výnosům. </w:t>
      </w:r>
      <w:r w:rsidRPr="00CC64B0">
        <w:rPr>
          <w:b/>
          <w:lang w:val="cs"/>
        </w:rPr>
        <w:t xml:space="preserve"> Čistý zisk připadající vlastníkům mateřského podniku </w:t>
      </w:r>
      <w:r w:rsidRPr="00CC64B0">
        <w:rPr>
          <w:lang w:val="cs"/>
        </w:rPr>
        <w:t>vzrostl na 593,6 milionu EUR (448,8 milionu EUR) díky silnému provoznímu výsledku a čistému rozpuštění rezerv na rizika.</w:t>
      </w:r>
    </w:p>
    <w:p w14:paraId="25F7FED1" w14:textId="77777777" w:rsidR="00CC64B0" w:rsidRPr="00CC64B0" w:rsidRDefault="00CC64B0" w:rsidP="00CC64B0">
      <w:pPr>
        <w:rPr>
          <w:rFonts w:ascii="Inter" w:hAnsi="Inter"/>
          <w:lang w:val="en-GB"/>
        </w:rPr>
      </w:pPr>
    </w:p>
    <w:p w14:paraId="35F75CCA" w14:textId="77777777" w:rsidR="00CC64B0" w:rsidRPr="00CC64B0" w:rsidRDefault="00CC64B0" w:rsidP="00CC64B0">
      <w:pPr>
        <w:rPr>
          <w:rFonts w:ascii="Inter" w:hAnsi="Inter"/>
          <w:b/>
          <w:bCs/>
          <w:sz w:val="24"/>
          <w:szCs w:val="24"/>
          <w:lang w:val="en-GB"/>
        </w:rPr>
      </w:pPr>
      <w:r w:rsidRPr="00CC64B0">
        <w:rPr>
          <w:b/>
          <w:bCs/>
          <w:sz w:val="24"/>
          <w:szCs w:val="24"/>
          <w:lang w:val="cs"/>
        </w:rPr>
        <w:t>Nárůst klientských vkladů předbíhá růst objemu úvěrů</w:t>
      </w:r>
    </w:p>
    <w:p w14:paraId="6DAF7916" w14:textId="77777777" w:rsidR="00CC64B0" w:rsidRPr="00CC64B0" w:rsidRDefault="00CC64B0" w:rsidP="00CC64B0">
      <w:pPr>
        <w:rPr>
          <w:rFonts w:ascii="Inter" w:hAnsi="Inter"/>
          <w:lang w:val="en-GB"/>
        </w:rPr>
      </w:pPr>
    </w:p>
    <w:p w14:paraId="7FC53AAC" w14:textId="77777777" w:rsidR="00CC64B0" w:rsidRPr="00CC64B0" w:rsidRDefault="00CC64B0" w:rsidP="00CC64B0">
      <w:pPr>
        <w:rPr>
          <w:rFonts w:ascii="Inter" w:hAnsi="Inter"/>
          <w:lang w:val="en-US"/>
        </w:rPr>
      </w:pPr>
      <w:r w:rsidRPr="00CC64B0">
        <w:rPr>
          <w:b/>
          <w:lang w:val="cs"/>
        </w:rPr>
        <w:t>Celkový vlastní kapitál</w:t>
      </w:r>
      <w:r w:rsidRPr="00CC64B0">
        <w:rPr>
          <w:lang w:val="cs"/>
        </w:rPr>
        <w:t xml:space="preserve"> bez zahrnutí nástrojů AT1 vzrostl na 24,2 mld. EUR (23,1 mld. EUR). Po regulačních odpočtech a filtrování v souladu s nařízením o kapitálových požadavcích (CRR) vzrostl </w:t>
      </w:r>
      <w:r w:rsidRPr="00CC64B0">
        <w:rPr>
          <w:b/>
          <w:lang w:val="cs"/>
        </w:rPr>
        <w:t>kmenový kapitál tier 1</w:t>
      </w:r>
      <w:r w:rsidRPr="00CC64B0">
        <w:rPr>
          <w:lang w:val="cs"/>
        </w:rPr>
        <w:t xml:space="preserve"> (CET1 v konečném znění)  na 20,5 miliardy EUR (20,4 miliardy EUR), celkový </w:t>
      </w:r>
      <w:r w:rsidRPr="00CC64B0">
        <w:rPr>
          <w:b/>
          <w:lang w:val="cs"/>
        </w:rPr>
        <w:t>kapitál</w:t>
      </w:r>
      <w:r w:rsidRPr="00CC64B0">
        <w:rPr>
          <w:lang w:val="cs"/>
        </w:rPr>
        <w:t xml:space="preserve"> (konečný) na 26,4 miliardy EUR (26,2 miliardy EUR). Prozatímní zisk za první čtvrtletí roku není ve výše uvedených číslech zahrnut. Celkové riziko (</w:t>
      </w:r>
      <w:r w:rsidRPr="00CC64B0">
        <w:rPr>
          <w:b/>
          <w:lang w:val="cs"/>
        </w:rPr>
        <w:t>rizikově vážená aktiva</w:t>
      </w:r>
      <w:r w:rsidRPr="00CC64B0">
        <w:rPr>
          <w:lang w:val="cs"/>
        </w:rPr>
        <w:t xml:space="preserve"> včetně úvěrového, tržního a operačního rizika, konečné CRR) vzrostlo na 146,1 mld. EUR (143,9 mld. EUR). Poměr</w:t>
      </w:r>
      <w:r w:rsidRPr="00CC64B0">
        <w:rPr>
          <w:b/>
          <w:lang w:val="cs"/>
        </w:rPr>
        <w:t xml:space="preserve"> kmenového kapitálu tier</w:t>
      </w:r>
      <w:r w:rsidRPr="00CC64B0">
        <w:rPr>
          <w:lang w:val="cs"/>
        </w:rPr>
        <w:t xml:space="preserve"> 1 (CET1 v konečném znění) činil 14,0 % (14,2 %), </w:t>
      </w:r>
      <w:r w:rsidRPr="00CC64B0">
        <w:rPr>
          <w:rStyle w:val="FettimText"/>
          <w:sz w:val="20"/>
          <w:lang w:val="cs"/>
        </w:rPr>
        <w:t>celkový kapitálový poměr činil</w:t>
      </w:r>
      <w:r w:rsidRPr="00CC64B0">
        <w:rPr>
          <w:lang w:val="cs"/>
        </w:rPr>
        <w:t xml:space="preserve"> 18,1 % (18,2 %).</w:t>
      </w:r>
    </w:p>
    <w:p w14:paraId="4C68D816" w14:textId="77777777" w:rsidR="00CC64B0" w:rsidRPr="00CC64B0" w:rsidRDefault="00CC64B0" w:rsidP="00CC64B0">
      <w:pPr>
        <w:rPr>
          <w:rFonts w:ascii="Inter" w:hAnsi="Inter"/>
          <w:lang w:val="en-US"/>
        </w:rPr>
      </w:pPr>
    </w:p>
    <w:p w14:paraId="4C1AAB1C" w14:textId="6D36AAB7" w:rsidR="00CC64B0" w:rsidRPr="00CC64B0" w:rsidRDefault="00CC64B0" w:rsidP="00CC64B0">
      <w:pPr>
        <w:pStyle w:val="Bezmezer"/>
        <w:spacing w:before="40" w:after="120" w:line="288" w:lineRule="auto"/>
        <w:rPr>
          <w:rFonts w:ascii="Inter" w:eastAsiaTheme="majorEastAsia" w:hAnsi="Inter" w:cstheme="majorBidi"/>
          <w:b/>
          <w:bCs/>
          <w:sz w:val="20"/>
          <w:szCs w:val="20"/>
          <w:shd w:val="clear" w:color="auto" w:fill="FFFFFF"/>
          <w:lang w:val="en-US" w:eastAsia="de-DE"/>
        </w:rPr>
      </w:pPr>
      <w:r w:rsidRPr="00CC64B0">
        <w:rPr>
          <w:b/>
          <w:sz w:val="20"/>
          <w:szCs w:val="20"/>
          <w:lang w:val="cs"/>
        </w:rPr>
        <w:t>Celková aktiva</w:t>
      </w:r>
      <w:r w:rsidRPr="00CC64B0">
        <w:rPr>
          <w:sz w:val="20"/>
          <w:szCs w:val="20"/>
          <w:lang w:val="cs"/>
        </w:rPr>
        <w:t xml:space="preserve"> vzrostla na 342,9 mld. EUR (+5,9 %; 323,9 miliardy EUR). Na straně aktiv vzrostla hotovost a hotovostní zůstatky na 43,3 mld. EUR (35,7 mld. EUR), úvěry a pohledávky za bankami vzrostly na 27,3 mld. EUR (18,4 mld. EUR), zejména v Rakousku a České republice. </w:t>
      </w:r>
      <w:r w:rsidRPr="00CC64B0">
        <w:rPr>
          <w:b/>
          <w:sz w:val="20"/>
          <w:szCs w:val="20"/>
          <w:lang w:val="cs"/>
        </w:rPr>
        <w:t>Pohledávky za klienty</w:t>
      </w:r>
      <w:r w:rsidRPr="00CC64B0">
        <w:rPr>
          <w:sz w:val="20"/>
          <w:szCs w:val="20"/>
          <w:lang w:val="cs"/>
        </w:rPr>
        <w:t xml:space="preserve"> se meziročně zvýšily jen mírně, na 202,7 mld. EUR (+0,3 %; 202,1 mld. EUR), neboť poptávka po podnikových úvěrech, které byly v předchozím roce dlouhodobě hlavním motorem růstu, zůstala utlumená. Na straně pasiv vzrostly vklady bank na 29,9 mld. EUR (28,8 mld. EUR). </w:t>
      </w:r>
      <w:r w:rsidRPr="00CC64B0">
        <w:rPr>
          <w:b/>
          <w:sz w:val="20"/>
          <w:szCs w:val="20"/>
          <w:lang w:val="cs"/>
        </w:rPr>
        <w:t>Klientský vklad</w:t>
      </w:r>
      <w:r w:rsidRPr="00CC64B0">
        <w:rPr>
          <w:sz w:val="20"/>
          <w:szCs w:val="20"/>
          <w:lang w:val="cs"/>
        </w:rPr>
        <w:t xml:space="preserve"> vzrostl téměř na všech klíčových trzích – nejvýrazněji v Rakousku a České republice – na 238,1 mld. EUR (+6,3 %; 224,0 miliard EUR). Poměr </w:t>
      </w:r>
      <w:r w:rsidRPr="00CC64B0">
        <w:rPr>
          <w:b/>
          <w:sz w:val="20"/>
          <w:szCs w:val="20"/>
          <w:lang w:val="cs"/>
        </w:rPr>
        <w:t xml:space="preserve">úvěrů ke vkladům </w:t>
      </w:r>
      <w:r w:rsidRPr="00CC64B0">
        <w:rPr>
          <w:sz w:val="20"/>
          <w:szCs w:val="20"/>
          <w:lang w:val="cs"/>
        </w:rPr>
        <w:t>činil 85,1 % (90,2 %).</w:t>
      </w:r>
    </w:p>
    <w:p w14:paraId="5486DFDF" w14:textId="77777777" w:rsidR="008B63E9" w:rsidRPr="00315C41" w:rsidRDefault="008B63E9" w:rsidP="001E3A94">
      <w:pPr>
        <w:spacing w:line="280" w:lineRule="exact"/>
        <w:rPr>
          <w:rFonts w:ascii="Inter" w:hAnsi="Inter"/>
          <w:noProof w:val="0"/>
          <w:lang w:val="en-US"/>
        </w:rPr>
      </w:pPr>
    </w:p>
    <w:p w14:paraId="51FAE227" w14:textId="276740D6" w:rsidR="00CC18B8" w:rsidRPr="00315C41" w:rsidRDefault="001E3A94" w:rsidP="001E3A94">
      <w:pPr>
        <w:pStyle w:val="Bezmezer"/>
        <w:spacing w:before="40" w:after="120" w:line="288" w:lineRule="auto"/>
        <w:rPr>
          <w:rFonts w:ascii="Inter" w:eastAsiaTheme="majorEastAsia" w:hAnsi="Inter" w:cstheme="majorBidi"/>
          <w:b/>
          <w:bCs/>
          <w:sz w:val="24"/>
          <w:szCs w:val="24"/>
          <w:shd w:val="clear" w:color="auto" w:fill="FFFFFF"/>
          <w:lang w:val="en-US" w:eastAsia="de-DE"/>
        </w:rPr>
      </w:pPr>
      <w:r w:rsidRPr="00315C41">
        <w:rPr>
          <w:b/>
          <w:sz w:val="24"/>
          <w:szCs w:val="24"/>
          <w:shd w:val="clear" w:color="auto" w:fill="FFFFFF"/>
          <w:lang w:val="cs"/>
        </w:rPr>
        <w:t>V</w:t>
      </w:r>
      <w:r w:rsidR="00CC64B0">
        <w:rPr>
          <w:b/>
          <w:sz w:val="24"/>
          <w:szCs w:val="24"/>
          <w:shd w:val="clear" w:color="auto" w:fill="FFFFFF"/>
          <w:lang w:val="cs"/>
        </w:rPr>
        <w:t>ýhled</w:t>
      </w:r>
    </w:p>
    <w:p w14:paraId="5DABE73F" w14:textId="5A3431F0" w:rsidR="003F414F" w:rsidRPr="00315C41" w:rsidRDefault="003F414F" w:rsidP="003F414F">
      <w:pPr>
        <w:pStyle w:val="Bezmezer"/>
        <w:spacing w:line="280" w:lineRule="exact"/>
        <w:rPr>
          <w:rFonts w:ascii="Inter" w:hAnsi="Inter"/>
          <w:sz w:val="20"/>
          <w:szCs w:val="20"/>
          <w:lang w:val="en-US"/>
        </w:rPr>
      </w:pPr>
      <w:r w:rsidRPr="00315C41">
        <w:rPr>
          <w:sz w:val="20"/>
          <w:szCs w:val="20"/>
          <w:lang w:val="cs"/>
        </w:rPr>
        <w:t xml:space="preserve">Ekonomové očekávají, že se hlavní trhy Erste Group v roce 2023 vyhnou recesi a ve skutečnosti vykáží </w:t>
      </w:r>
      <w:r w:rsidRPr="00315C41">
        <w:rPr>
          <w:b/>
          <w:sz w:val="20"/>
          <w:szCs w:val="20"/>
          <w:lang w:val="cs"/>
        </w:rPr>
        <w:t>růst reálného HDP</w:t>
      </w:r>
      <w:r w:rsidRPr="00CC64B0">
        <w:rPr>
          <w:sz w:val="20"/>
          <w:szCs w:val="20"/>
          <w:lang w:val="cs"/>
        </w:rPr>
        <w:t>.  Očekává se, že</w:t>
      </w:r>
      <w:r>
        <w:rPr>
          <w:lang w:val="cs"/>
        </w:rPr>
        <w:t xml:space="preserve"> </w:t>
      </w:r>
      <w:r w:rsidRPr="00315C41">
        <w:rPr>
          <w:b/>
          <w:sz w:val="20"/>
          <w:szCs w:val="20"/>
          <w:lang w:val="cs"/>
        </w:rPr>
        <w:t>inflační tlaky</w:t>
      </w:r>
      <w:r w:rsidRPr="00315C41">
        <w:rPr>
          <w:sz w:val="20"/>
          <w:szCs w:val="20"/>
          <w:lang w:val="cs"/>
        </w:rPr>
        <w:t xml:space="preserve"> v roce 2023 odezní a v roce 2022 dosáhnou dvouciferných hodnot v důsledku mimořádně vysokých cen energií. Pokračující silné </w:t>
      </w:r>
      <w:r w:rsidRPr="00315C41">
        <w:rPr>
          <w:b/>
          <w:sz w:val="20"/>
          <w:szCs w:val="20"/>
          <w:lang w:val="cs"/>
        </w:rPr>
        <w:t>trhy práce</w:t>
      </w:r>
      <w:r w:rsidRPr="00315C41">
        <w:rPr>
          <w:sz w:val="20"/>
          <w:szCs w:val="20"/>
          <w:lang w:val="cs"/>
        </w:rPr>
        <w:t xml:space="preserve"> by měly podporovat ekonomickou výkonnost na všech trzích Erste Group. Očekává se, že bilance běžného účtu, která v roce 2022 výrazně utrpěla v důsledku mimořádně vysokých cen energií, se v roce 2023 opět zlepší a využije obratu cen energií. Fiskální bilance by se po značných rozpočtových schodcích v roce 2022 měla rovněž znovu konsolidovat. </w:t>
      </w:r>
      <w:r w:rsidRPr="00315C41">
        <w:rPr>
          <w:b/>
          <w:sz w:val="20"/>
          <w:szCs w:val="20"/>
          <w:lang w:val="cs"/>
        </w:rPr>
        <w:t>Poměr veřejného dluhu k HDP</w:t>
      </w:r>
      <w:r>
        <w:rPr>
          <w:lang w:val="cs"/>
        </w:rPr>
        <w:t xml:space="preserve"> na </w:t>
      </w:r>
      <w:r w:rsidRPr="00315C41">
        <w:rPr>
          <w:sz w:val="20"/>
          <w:szCs w:val="20"/>
          <w:lang w:val="cs"/>
        </w:rPr>
        <w:t xml:space="preserve"> všech trzích skupiny Erste by měl být víceméně stabilní, a tudíž zůstat výrazně pod průměrem eurozóny.</w:t>
      </w:r>
    </w:p>
    <w:p w14:paraId="26D3496F" w14:textId="77777777" w:rsidR="003F414F" w:rsidRPr="00315C41" w:rsidRDefault="003F414F" w:rsidP="003F414F">
      <w:pPr>
        <w:pStyle w:val="Bezmezer"/>
        <w:spacing w:line="280" w:lineRule="exact"/>
        <w:rPr>
          <w:rFonts w:ascii="Inter" w:hAnsi="Inter"/>
          <w:sz w:val="20"/>
          <w:szCs w:val="20"/>
          <w:lang w:val="en-US"/>
        </w:rPr>
      </w:pPr>
    </w:p>
    <w:p w14:paraId="12B4F03C" w14:textId="1B898966" w:rsidR="003F414F" w:rsidRPr="00315C41" w:rsidRDefault="003F414F" w:rsidP="003F414F">
      <w:pPr>
        <w:pStyle w:val="Bezmezer"/>
        <w:spacing w:line="280" w:lineRule="exact"/>
        <w:rPr>
          <w:rFonts w:ascii="Inter" w:hAnsi="Inter"/>
          <w:sz w:val="20"/>
          <w:szCs w:val="20"/>
          <w:lang w:val="en-US"/>
        </w:rPr>
      </w:pPr>
      <w:r w:rsidRPr="00315C41">
        <w:rPr>
          <w:sz w:val="20"/>
          <w:szCs w:val="20"/>
          <w:lang w:val="cs"/>
        </w:rPr>
        <w:t xml:space="preserve">V této souvislosti Erste Group očekává </w:t>
      </w:r>
      <w:r w:rsidRPr="00315C41">
        <w:rPr>
          <w:b/>
          <w:sz w:val="20"/>
          <w:szCs w:val="20"/>
          <w:lang w:val="cs"/>
        </w:rPr>
        <w:t>čistý růst úvěrů</w:t>
      </w:r>
      <w:r w:rsidRPr="00315C41">
        <w:rPr>
          <w:sz w:val="20"/>
          <w:szCs w:val="20"/>
          <w:lang w:val="cs"/>
        </w:rPr>
        <w:t xml:space="preserve"> ve středních jednociferných číslech.</w:t>
      </w:r>
      <w:r>
        <w:rPr>
          <w:lang w:val="cs"/>
        </w:rPr>
        <w:t xml:space="preserve"> </w:t>
      </w:r>
      <w:r w:rsidR="00A06FEF" w:rsidRPr="0087352A">
        <w:rPr>
          <w:sz w:val="20"/>
          <w:szCs w:val="20"/>
          <w:lang w:val="cs"/>
        </w:rPr>
        <w:t xml:space="preserve"> Růst úvěrů a příznivé faktory úrokových sazeb, jak je uvedeno výše, by měly vést ke zvýšení čistých úrokových výnosů  o přibližně 15 %.</w:t>
      </w:r>
      <w:r>
        <w:rPr>
          <w:lang w:val="cs"/>
        </w:rPr>
        <w:t xml:space="preserve"> </w:t>
      </w:r>
      <w:r w:rsidRPr="00315C41">
        <w:rPr>
          <w:sz w:val="20"/>
          <w:szCs w:val="20"/>
          <w:lang w:val="cs"/>
        </w:rPr>
        <w:t xml:space="preserve"> Na základě robustního makroekonomického výhledu popsaného </w:t>
      </w:r>
      <w:r w:rsidRPr="00CC64B0">
        <w:rPr>
          <w:sz w:val="20"/>
          <w:szCs w:val="20"/>
          <w:lang w:val="cs"/>
        </w:rPr>
        <w:t xml:space="preserve">výše by </w:t>
      </w:r>
      <w:r w:rsidRPr="00CC64B0">
        <w:rPr>
          <w:b/>
          <w:sz w:val="20"/>
          <w:szCs w:val="20"/>
          <w:lang w:val="cs"/>
        </w:rPr>
        <w:t>rizikové</w:t>
      </w:r>
      <w:r w:rsidRPr="00315C41">
        <w:rPr>
          <w:b/>
          <w:sz w:val="20"/>
          <w:szCs w:val="20"/>
          <w:lang w:val="cs"/>
        </w:rPr>
        <w:t xml:space="preserve"> náklady</w:t>
      </w:r>
      <w:r w:rsidRPr="00315C41">
        <w:rPr>
          <w:sz w:val="20"/>
          <w:szCs w:val="20"/>
          <w:lang w:val="cs"/>
        </w:rPr>
        <w:t xml:space="preserve"> měly v roce 2023 zůstat na nízké úrovni</w:t>
      </w:r>
      <w:r w:rsidRPr="00CC64B0">
        <w:rPr>
          <w:sz w:val="20"/>
          <w:szCs w:val="20"/>
          <w:lang w:val="cs"/>
        </w:rPr>
        <w:t xml:space="preserve">. </w:t>
      </w:r>
      <w:r w:rsidR="00CC64B0">
        <w:rPr>
          <w:sz w:val="20"/>
          <w:szCs w:val="20"/>
          <w:lang w:val="cs"/>
        </w:rPr>
        <w:t xml:space="preserve">Na základě současných prognóz Erste Group očekává, </w:t>
      </w:r>
      <w:r w:rsidRPr="00CC64B0">
        <w:rPr>
          <w:sz w:val="20"/>
          <w:szCs w:val="20"/>
          <w:lang w:val="cs"/>
        </w:rPr>
        <w:t>že</w:t>
      </w:r>
      <w:r w:rsidR="00CC64B0" w:rsidRPr="00CC64B0">
        <w:rPr>
          <w:sz w:val="20"/>
          <w:szCs w:val="20"/>
          <w:lang w:val="cs"/>
        </w:rPr>
        <w:t xml:space="preserve"> </w:t>
      </w:r>
      <w:r w:rsidRPr="00CC64B0">
        <w:rPr>
          <w:b/>
          <w:sz w:val="20"/>
          <w:szCs w:val="20"/>
          <w:lang w:val="cs"/>
        </w:rPr>
        <w:t>rizikové náklady</w:t>
      </w:r>
      <w:r w:rsidR="00CC64B0">
        <w:rPr>
          <w:sz w:val="20"/>
          <w:szCs w:val="20"/>
          <w:lang w:val="cs"/>
        </w:rPr>
        <w:t xml:space="preserve"> v roce 2023 </w:t>
      </w:r>
      <w:r w:rsidRPr="00315C41">
        <w:rPr>
          <w:sz w:val="20"/>
          <w:szCs w:val="20"/>
          <w:lang w:val="cs"/>
        </w:rPr>
        <w:t>budou nižší než 25 bazických bodů průměrných hrubých klientských úvěrů.</w:t>
      </w:r>
    </w:p>
    <w:p w14:paraId="4270D728" w14:textId="77777777" w:rsidR="003F414F" w:rsidRPr="00315C41" w:rsidRDefault="003F414F" w:rsidP="003F414F">
      <w:pPr>
        <w:pStyle w:val="Bezmezer"/>
        <w:spacing w:line="280" w:lineRule="exact"/>
        <w:rPr>
          <w:rFonts w:ascii="Inter" w:hAnsi="Inter"/>
          <w:sz w:val="20"/>
          <w:szCs w:val="20"/>
          <w:lang w:val="en-US"/>
        </w:rPr>
      </w:pPr>
    </w:p>
    <w:p w14:paraId="7DFAFD8F" w14:textId="2F903FF4" w:rsidR="003F414F" w:rsidRPr="00860BEC" w:rsidRDefault="003F414F" w:rsidP="003F414F">
      <w:pPr>
        <w:pStyle w:val="Bezmezer"/>
        <w:spacing w:line="280" w:lineRule="exact"/>
        <w:rPr>
          <w:rFonts w:ascii="Inter" w:hAnsi="Inter"/>
          <w:sz w:val="20"/>
          <w:szCs w:val="20"/>
          <w:lang w:val="en-US"/>
        </w:rPr>
      </w:pPr>
      <w:r w:rsidRPr="00315C41">
        <w:rPr>
          <w:sz w:val="20"/>
          <w:szCs w:val="20"/>
          <w:lang w:val="cs"/>
        </w:rPr>
        <w:t xml:space="preserve">Cílem Erste Group je dosáhnout </w:t>
      </w:r>
      <w:r w:rsidRPr="00315C41">
        <w:rPr>
          <w:b/>
          <w:sz w:val="20"/>
          <w:szCs w:val="20"/>
          <w:lang w:val="cs"/>
        </w:rPr>
        <w:t>ROTE</w:t>
      </w:r>
      <w:r w:rsidRPr="00315C41">
        <w:rPr>
          <w:sz w:val="20"/>
          <w:szCs w:val="20"/>
          <w:lang w:val="cs"/>
        </w:rPr>
        <w:t xml:space="preserve"> v rozmezí 13 až 15 %. Očekává </w:t>
      </w:r>
      <w:r>
        <w:rPr>
          <w:lang w:val="cs"/>
        </w:rPr>
        <w:t xml:space="preserve"> se</w:t>
      </w:r>
      <w:r w:rsidRPr="00315C41">
        <w:rPr>
          <w:b/>
          <w:sz w:val="20"/>
          <w:szCs w:val="20"/>
          <w:lang w:val="cs"/>
        </w:rPr>
        <w:t>, že poměr CET1</w:t>
      </w:r>
      <w:r>
        <w:rPr>
          <w:lang w:val="cs"/>
        </w:rPr>
        <w:t xml:space="preserve"> </w:t>
      </w:r>
      <w:r w:rsidRPr="00CC64B0">
        <w:rPr>
          <w:sz w:val="20"/>
          <w:szCs w:val="20"/>
          <w:lang w:val="cs"/>
        </w:rPr>
        <w:t>skupiny Erste zůstane</w:t>
      </w:r>
      <w:r>
        <w:rPr>
          <w:lang w:val="cs"/>
        </w:rPr>
        <w:t xml:space="preserve"> </w:t>
      </w:r>
      <w:r w:rsidRPr="00315C41">
        <w:rPr>
          <w:sz w:val="20"/>
          <w:szCs w:val="20"/>
          <w:lang w:val="cs"/>
        </w:rPr>
        <w:t xml:space="preserve"> silný. V důsledku toho Erste Group navrhne </w:t>
      </w:r>
      <w:r w:rsidRPr="00315C41">
        <w:rPr>
          <w:b/>
          <w:sz w:val="20"/>
          <w:szCs w:val="20"/>
          <w:lang w:val="cs"/>
        </w:rPr>
        <w:t>dividendu</w:t>
      </w:r>
      <w:r w:rsidRPr="00315C41">
        <w:rPr>
          <w:sz w:val="20"/>
          <w:szCs w:val="20"/>
          <w:lang w:val="cs"/>
        </w:rPr>
        <w:t xml:space="preserve"> ve výši 1,90 EUR na akcii za fiskální rok 2022 do valné hromady 2023 v květnu. Erste Group navíc podala žádost o schválení </w:t>
      </w:r>
      <w:r w:rsidRPr="00315C41">
        <w:rPr>
          <w:b/>
          <w:sz w:val="20"/>
          <w:szCs w:val="20"/>
          <w:lang w:val="cs"/>
        </w:rPr>
        <w:t>zpětného odkupu akcií</w:t>
      </w:r>
      <w:r>
        <w:rPr>
          <w:lang w:val="cs"/>
        </w:rPr>
        <w:t xml:space="preserve"> v </w:t>
      </w:r>
      <w:r w:rsidRPr="00315C41">
        <w:rPr>
          <w:sz w:val="20"/>
          <w:szCs w:val="20"/>
          <w:lang w:val="cs"/>
        </w:rPr>
        <w:t xml:space="preserve"> objemu až 300 milionů eur v roce 2023.</w:t>
      </w:r>
    </w:p>
    <w:p w14:paraId="22DC95A8" w14:textId="77777777" w:rsidR="008B63E9" w:rsidRPr="00315C41" w:rsidRDefault="008B63E9" w:rsidP="00BC5E2E">
      <w:pPr>
        <w:pStyle w:val="Bezmezer"/>
        <w:spacing w:line="280" w:lineRule="exact"/>
        <w:rPr>
          <w:rFonts w:ascii="Inter" w:hAnsi="Inter"/>
          <w:lang w:val="en-US"/>
        </w:rPr>
      </w:pPr>
    </w:p>
    <w:p w14:paraId="0CCCA113" w14:textId="77777777" w:rsidR="008B63E9" w:rsidRPr="00315C41" w:rsidRDefault="008B63E9" w:rsidP="00BC5E2E">
      <w:pPr>
        <w:pStyle w:val="Bezmezer"/>
        <w:spacing w:line="280" w:lineRule="exact"/>
        <w:rPr>
          <w:rFonts w:ascii="Inter" w:hAnsi="Inter"/>
          <w:lang w:val="en-US"/>
        </w:rPr>
      </w:pPr>
    </w:p>
    <w:p w14:paraId="20C2CEC8" w14:textId="47B27F94" w:rsidR="00CC18B8" w:rsidRPr="00A644D4" w:rsidRDefault="00711D5D" w:rsidP="009844F9">
      <w:pPr>
        <w:rPr>
          <w:rFonts w:ascii="Inter" w:hAnsi="Inter"/>
          <w:noProof w:val="0"/>
          <w:lang w:val="en-US"/>
        </w:rPr>
      </w:pPr>
      <w:r w:rsidRPr="00860BEC">
        <w:rPr>
          <w:lang w:val="cs"/>
        </w:rPr>
        <mc:AlternateContent>
          <mc:Choice Requires="wps">
            <w:drawing>
              <wp:anchor distT="0" distB="0" distL="114300" distR="114300" simplePos="0" relativeHeight="251658240" behindDoc="0" locked="0" layoutInCell="1" allowOverlap="1" wp14:anchorId="610A5F4A" wp14:editId="65F68AB9">
                <wp:simplePos x="0" y="0"/>
                <wp:positionH relativeFrom="column">
                  <wp:posOffset>-10795</wp:posOffset>
                </wp:positionH>
                <wp:positionV relativeFrom="paragraph">
                  <wp:posOffset>41275</wp:posOffset>
                </wp:positionV>
                <wp:extent cx="5744845" cy="1554480"/>
                <wp:effectExtent l="0" t="0" r="27305" b="28575"/>
                <wp:wrapTopAndBottom/>
                <wp:docPr id="7" name="Rectangle: Rounded Corners 7"/>
                <wp:cNvGraphicFramePr/>
                <a:graphic xmlns:a="http://schemas.openxmlformats.org/drawingml/2006/main">
                  <a:graphicData uri="http://schemas.microsoft.com/office/word/2010/wordprocessingShape">
                    <wps:wsp>
                      <wps:cNvSpPr/>
                      <wps:spPr>
                        <a:xfrm>
                          <a:off x="0" y="0"/>
                          <a:ext cx="5744845" cy="1554480"/>
                        </a:xfrm>
                        <a:prstGeom prst="roundRect">
                          <a:avLst>
                            <a:gd name="adj" fmla="val 11495"/>
                          </a:avLst>
                        </a:prstGeom>
                        <a:noFill/>
                        <a:ln w="19050">
                          <a:solidFill>
                            <a:srgbClr val="2870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0A7D56" w14:textId="77777777" w:rsidR="00711D5D" w:rsidRPr="00711D5D" w:rsidRDefault="00711D5D" w:rsidP="00711D5D">
                            <w:pPr>
                              <w:ind w:left="-426"/>
                              <w:jc w:val="center"/>
                              <w:rPr>
                                <w:rFonts w:ascii="Inter" w:eastAsia="Arial" w:hAnsi="Inter"/>
                                <w:b/>
                                <w:bCs/>
                                <w:color w:val="2870ED"/>
                                <w:sz w:val="14"/>
                                <w:szCs w:val="14"/>
                                <w:lang w:val="en-US"/>
                              </w:rPr>
                            </w:pPr>
                            <w:r w:rsidRPr="00711D5D">
                              <w:rPr>
                                <w:b/>
                                <w:color w:val="2870ED"/>
                                <w:sz w:val="14"/>
                                <w:szCs w:val="14"/>
                                <w:shd w:val="clear" w:color="auto" w:fill="auto"/>
                                <w:lang w:val="cs"/>
                              </w:rPr>
                              <w:t>Dotazy médií:</w:t>
                            </w:r>
                          </w:p>
                          <w:p w14:paraId="4B7719DE" w14:textId="77777777" w:rsidR="00711D5D" w:rsidRPr="00711D5D" w:rsidRDefault="00711D5D" w:rsidP="00711D5D">
                            <w:pPr>
                              <w:ind w:left="-426"/>
                              <w:jc w:val="center"/>
                              <w:rPr>
                                <w:rFonts w:ascii="Inter" w:eastAsia="Arial" w:hAnsi="Inter"/>
                                <w:color w:val="000000" w:themeColor="text1"/>
                                <w:sz w:val="14"/>
                                <w:szCs w:val="14"/>
                                <w:lang w:val="en-US"/>
                              </w:rPr>
                            </w:pPr>
                            <w:r w:rsidRPr="00711D5D">
                              <w:rPr>
                                <w:color w:val="000000" w:themeColor="text1"/>
                                <w:sz w:val="14"/>
                                <w:szCs w:val="14"/>
                                <w:shd w:val="clear" w:color="auto" w:fill="auto"/>
                                <w:lang w:val="cs"/>
                              </w:rPr>
                              <w:t>Skupina Erste | Tiskové oddělení, Am Belvedere 1, 1100 Wien</w:t>
                            </w:r>
                          </w:p>
                          <w:p w14:paraId="33283A62" w14:textId="552456F5" w:rsidR="00711D5D" w:rsidRPr="00711D5D" w:rsidRDefault="00711D5D" w:rsidP="00711D5D">
                            <w:pPr>
                              <w:ind w:left="-426"/>
                              <w:jc w:val="center"/>
                              <w:rPr>
                                <w:rFonts w:ascii="Inter" w:eastAsia="Arial" w:hAnsi="Inter"/>
                                <w:color w:val="000000" w:themeColor="text1"/>
                                <w:sz w:val="14"/>
                                <w:szCs w:val="14"/>
                                <w:lang w:val="en-US"/>
                              </w:rPr>
                            </w:pPr>
                            <w:r w:rsidRPr="00711D5D">
                              <w:rPr>
                                <w:color w:val="000000" w:themeColor="text1"/>
                                <w:sz w:val="14"/>
                                <w:szCs w:val="14"/>
                                <w:shd w:val="clear" w:color="auto" w:fill="auto"/>
                                <w:lang w:val="cs"/>
                              </w:rPr>
                              <w:t xml:space="preserve">Christian Hromatka, 050100 - 13711, E-mail: </w:t>
                            </w:r>
                            <w:hyperlink r:id="rId11" w:history="1">
                              <w:r w:rsidR="007100CD">
                                <w:rPr>
                                  <w:rStyle w:val="Hypertextovodkaz"/>
                                  <w:lang w:val="cs"/>
                                </w:rPr>
                                <w:t>christian.hromatka@erstegroup.com</w:t>
                              </w:r>
                            </w:hyperlink>
                          </w:p>
                          <w:p w14:paraId="29548830" w14:textId="77777777" w:rsidR="00711D5D" w:rsidRPr="00711D5D" w:rsidRDefault="00711D5D" w:rsidP="00711D5D">
                            <w:pPr>
                              <w:autoSpaceDE w:val="0"/>
                              <w:autoSpaceDN w:val="0"/>
                              <w:adjustRightInd w:val="0"/>
                              <w:ind w:left="-426"/>
                              <w:jc w:val="center"/>
                              <w:rPr>
                                <w:rFonts w:ascii="Inter" w:eastAsia="Arial" w:hAnsi="Inter"/>
                                <w:color w:val="000000" w:themeColor="text1"/>
                                <w:sz w:val="14"/>
                                <w:szCs w:val="14"/>
                              </w:rPr>
                            </w:pPr>
                            <w:r w:rsidRPr="00711D5D">
                              <w:rPr>
                                <w:color w:val="000000" w:themeColor="text1"/>
                                <w:sz w:val="14"/>
                                <w:szCs w:val="14"/>
                                <w:shd w:val="clear" w:color="auto" w:fill="auto"/>
                                <w:lang w:val="cs"/>
                              </w:rPr>
                              <w:t xml:space="preserve">Martin Sonn-Wende, 050100 - 11680, E-mail: </w:t>
                            </w:r>
                            <w:hyperlink r:id="rId12" w:history="1">
                              <w:r w:rsidRPr="00711D5D">
                                <w:rPr>
                                  <w:rStyle w:val="Hypertextovodkaz"/>
                                  <w:color w:val="2870ED"/>
                                  <w:lang w:val="cs"/>
                                </w:rPr>
                                <w:t>martin.sonn-wende@erstegroup.com</w:t>
                              </w:r>
                            </w:hyperlink>
                          </w:p>
                          <w:p w14:paraId="2AF950F6" w14:textId="77777777" w:rsidR="00711D5D" w:rsidRPr="00711D5D" w:rsidRDefault="00711D5D" w:rsidP="00711D5D">
                            <w:pPr>
                              <w:autoSpaceDE w:val="0"/>
                              <w:autoSpaceDN w:val="0"/>
                              <w:adjustRightInd w:val="0"/>
                              <w:ind w:left="-426"/>
                              <w:jc w:val="center"/>
                              <w:rPr>
                                <w:rStyle w:val="Hypertextovodkaz"/>
                                <w:rFonts w:ascii="Inter" w:hAnsi="Inter"/>
                                <w:color w:val="000000" w:themeColor="text1"/>
                              </w:rPr>
                            </w:pPr>
                            <w:r w:rsidRPr="00711D5D">
                              <w:rPr>
                                <w:color w:val="000000" w:themeColor="text1"/>
                                <w:sz w:val="14"/>
                                <w:szCs w:val="14"/>
                                <w:shd w:val="clear" w:color="auto" w:fill="auto"/>
                                <w:lang w:val="cs"/>
                              </w:rPr>
                              <w:t xml:space="preserve">Peter Klopf, 050100 - 11676, E-mail: </w:t>
                            </w:r>
                            <w:hyperlink r:id="rId13" w:history="1">
                              <w:r w:rsidRPr="00711D5D">
                                <w:rPr>
                                  <w:rStyle w:val="Hypertextovodkaz"/>
                                  <w:color w:val="2870ED"/>
                                  <w:lang w:val="cs"/>
                                </w:rPr>
                                <w:t>peter.klopf@erstegroup.com</w:t>
                              </w:r>
                            </w:hyperlink>
                          </w:p>
                          <w:p w14:paraId="6BFBADA9" w14:textId="77777777" w:rsidR="007263E4" w:rsidRPr="00885F5F" w:rsidRDefault="007263E4" w:rsidP="00711D5D">
                            <w:pPr>
                              <w:autoSpaceDE w:val="0"/>
                              <w:autoSpaceDN w:val="0"/>
                              <w:adjustRightInd w:val="0"/>
                              <w:ind w:left="-426"/>
                              <w:jc w:val="center"/>
                              <w:rPr>
                                <w:rFonts w:ascii="Inter" w:eastAsia="Arial" w:hAnsi="Inter"/>
                                <w:color w:val="000000" w:themeColor="text1"/>
                                <w:sz w:val="14"/>
                                <w:szCs w:val="14"/>
                                <w:shd w:val="clear" w:color="auto" w:fill="auto"/>
                              </w:rPr>
                            </w:pPr>
                          </w:p>
                          <w:p w14:paraId="31421E96" w14:textId="77777777" w:rsidR="00711D5D" w:rsidRPr="00711D5D" w:rsidRDefault="00711D5D" w:rsidP="00711D5D">
                            <w:pPr>
                              <w:autoSpaceDE w:val="0"/>
                              <w:autoSpaceDN w:val="0"/>
                              <w:adjustRightInd w:val="0"/>
                              <w:ind w:left="-426"/>
                              <w:jc w:val="center"/>
                              <w:rPr>
                                <w:rStyle w:val="Hypertextovodkaz"/>
                                <w:rFonts w:ascii="Inter" w:hAnsi="Inter"/>
                                <w:color w:val="2870ED"/>
                                <w:lang w:val="en-US"/>
                              </w:rPr>
                            </w:pPr>
                            <w:r w:rsidRPr="00711D5D">
                              <w:rPr>
                                <w:color w:val="000000" w:themeColor="text1"/>
                                <w:sz w:val="14"/>
                                <w:szCs w:val="14"/>
                                <w:shd w:val="clear" w:color="auto" w:fill="auto"/>
                                <w:lang w:val="cs"/>
                              </w:rPr>
                              <w:t xml:space="preserve">Text je také dostupný na: </w:t>
                            </w:r>
                            <w:hyperlink r:id="rId14">
                              <w:r w:rsidR="00F7399E">
                                <w:rPr>
                                  <w:rStyle w:val="Hypertextovodkaz"/>
                                  <w:color w:val="2870ED"/>
                                  <w:lang w:val="cs"/>
                                </w:rPr>
                                <w:t>https://www.erstegroup.com/en/news-media</w:t>
                              </w:r>
                            </w:hyperlink>
                          </w:p>
                          <w:p w14:paraId="509C4139" w14:textId="5F88A9E8" w:rsidR="00711D5D" w:rsidRPr="00711D5D" w:rsidRDefault="00711D5D" w:rsidP="00711D5D">
                            <w:pPr>
                              <w:autoSpaceDE w:val="0"/>
                              <w:autoSpaceDN w:val="0"/>
                              <w:adjustRightInd w:val="0"/>
                              <w:ind w:left="-426"/>
                              <w:jc w:val="center"/>
                              <w:rPr>
                                <w:rFonts w:ascii="Inter" w:eastAsia="Arial" w:hAnsi="Inter"/>
                                <w:color w:val="000000" w:themeColor="text1"/>
                                <w:sz w:val="14"/>
                                <w:szCs w:val="14"/>
                                <w:lang w:val="en-US"/>
                              </w:rPr>
                            </w:pPr>
                            <w:r w:rsidRPr="00711D5D">
                              <w:rPr>
                                <w:rStyle w:val="Hypertextovodkaz"/>
                                <w:color w:val="000000" w:themeColor="text1"/>
                                <w:u w:val="none"/>
                                <w:lang w:val="cs"/>
                              </w:rPr>
                              <w:t xml:space="preserve">Pokud si od nás v budoucnu </w:t>
                            </w:r>
                            <w:r>
                              <w:rPr>
                                <w:lang w:val="cs"/>
                              </w:rPr>
                              <w:t xml:space="preserve"> nepřejete dostávat žádné </w:t>
                            </w:r>
                            <w:r w:rsidR="00117FB4">
                              <w:rPr>
                                <w:rStyle w:val="Hypertextovodkaz"/>
                                <w:color w:val="000000" w:themeColor="text1"/>
                                <w:u w:val="none"/>
                                <w:lang w:val="cs"/>
                              </w:rPr>
                              <w:t>mediální informace</w:t>
                            </w:r>
                            <w:r>
                              <w:rPr>
                                <w:lang w:val="cs"/>
                              </w:rPr>
                              <w:t xml:space="preserve">, </w:t>
                            </w:r>
                            <w:hyperlink r:id="rId15" w:history="1">
                              <w:r w:rsidR="007100CD" w:rsidRPr="007100CD">
                                <w:rPr>
                                  <w:rStyle w:val="Hypertextovodkaz"/>
                                  <w:lang w:val="cs"/>
                                </w:rPr>
                                <w:t>zašlete presse@erstebank.at e-mail</w:t>
                              </w:r>
                            </w:hyperlink>
                            <w:r w:rsidRPr="00113355">
                              <w:rPr>
                                <w:rStyle w:val="Hypertextovodkaz"/>
                                <w:color w:val="2870ED"/>
                                <w:u w:val="none"/>
                                <w:lang w:val="cs"/>
                              </w:rPr>
                              <w:t>.</w:t>
                            </w:r>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10A5F4A" id="Rectangle: Rounded Corners 7" o:spid="_x0000_s1026" style="position:absolute;margin-left:-.85pt;margin-top:3.25pt;width:452.35pt;height:1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" filled="f" strokecolor="#2870ed" strokeweight="1.5pt">
                <v:stroke joinstyle="miter"/>
                <v:textbox style="mso-fit-shape-to-text:t" inset="5mm,,5mm">
                  <w:txbxContent>
                    <w:p w14:paraId="360A7D56" w14:textId="77777777" w:rsidR="00711D5D" w:rsidRPr="00711D5D" w:rsidRDefault="00711D5D" w:rsidP="00711D5D">
                      <w:pPr>
                        <w:ind w:left="-426"/>
                        <w:jc w:val="center"/>
                        <w:rPr>
                          <w:rFonts w:ascii="Inter" w:eastAsia="Arial" w:hAnsi="Inter"/>
                          <w:b/>
                          <w:bCs/>
                          <w:color w:val="2870ED"/>
                          <w:sz w:val="14"/>
                          <w:szCs w:val="14"/>
                          <w:lang w:val="en-US"/>
                        </w:rPr>
                      </w:pPr>
                      <w:r w:rsidRPr="00711D5D">
                        <w:rPr>
                          <w:b/>
                          <w:color w:val="2870ED"/>
                          <w:sz w:val="14"/>
                          <w:szCs w:val="14"/>
                          <w:shd w:val="clear" w:color="auto" w:fill="auto"/>
                          <w:lang w:val="cs"/>
                        </w:rPr>
                        <w:t>Dotazy médií:</w:t>
                      </w:r>
                    </w:p>
                    <w:p w14:paraId="4B7719DE" w14:textId="77777777" w:rsidR="00711D5D" w:rsidRPr="00711D5D" w:rsidRDefault="00711D5D" w:rsidP="00711D5D">
                      <w:pPr>
                        <w:ind w:left="-426"/>
                        <w:jc w:val="center"/>
                        <w:rPr>
                          <w:rFonts w:ascii="Inter" w:eastAsia="Arial" w:hAnsi="Inter"/>
                          <w:color w:val="000000" w:themeColor="text1"/>
                          <w:sz w:val="14"/>
                          <w:szCs w:val="14"/>
                          <w:lang w:val="en-US"/>
                        </w:rPr>
                      </w:pPr>
                      <w:r w:rsidRPr="00711D5D">
                        <w:rPr>
                          <w:color w:val="000000" w:themeColor="text1"/>
                          <w:sz w:val="14"/>
                          <w:szCs w:val="14"/>
                          <w:shd w:val="clear" w:color="auto" w:fill="auto"/>
                          <w:lang w:val="cs"/>
                        </w:rPr>
                        <w:t>Skupina Erste | Tiskové oddělení, Am Belvedere 1, 1100 Wien</w:t>
                      </w:r>
                    </w:p>
                    <w:p w14:paraId="33283A62" w14:textId="552456F5" w:rsidR="00711D5D" w:rsidRPr="00711D5D" w:rsidRDefault="00711D5D" w:rsidP="00711D5D">
                      <w:pPr>
                        <w:ind w:left="-426"/>
                        <w:jc w:val="center"/>
                        <w:rPr>
                          <w:rFonts w:ascii="Inter" w:eastAsia="Arial" w:hAnsi="Inter"/>
                          <w:color w:val="000000" w:themeColor="text1"/>
                          <w:sz w:val="14"/>
                          <w:szCs w:val="14"/>
                          <w:lang w:val="en-US"/>
                        </w:rPr>
                      </w:pPr>
                      <w:r w:rsidRPr="00711D5D">
                        <w:rPr>
                          <w:color w:val="000000" w:themeColor="text1"/>
                          <w:sz w:val="14"/>
                          <w:szCs w:val="14"/>
                          <w:shd w:val="clear" w:color="auto" w:fill="auto"/>
                          <w:lang w:val="cs"/>
                        </w:rPr>
                        <w:t xml:space="preserve">Christian Hromatka, 050100 - 13711, E-mail: </w:t>
                      </w:r>
                      <w:hyperlink r:id="rId16" w:history="1">
                        <w:r w:rsidR="007100CD">
                          <w:rPr>
                            <w:rStyle w:val="Hypertextovodkaz"/>
                            <w:lang w:val="cs"/>
                          </w:rPr>
                          <w:t>christian.hromatka@erstegroup.com</w:t>
                        </w:r>
                      </w:hyperlink>
                    </w:p>
                    <w:p w14:paraId="29548830" w14:textId="77777777" w:rsidR="00711D5D" w:rsidRPr="00711D5D" w:rsidRDefault="00711D5D" w:rsidP="00711D5D">
                      <w:pPr>
                        <w:autoSpaceDE w:val="0"/>
                        <w:autoSpaceDN w:val="0"/>
                        <w:adjustRightInd w:val="0"/>
                        <w:ind w:left="-426"/>
                        <w:jc w:val="center"/>
                        <w:rPr>
                          <w:rFonts w:ascii="Inter" w:eastAsia="Arial" w:hAnsi="Inter"/>
                          <w:color w:val="000000" w:themeColor="text1"/>
                          <w:sz w:val="14"/>
                          <w:szCs w:val="14"/>
                        </w:rPr>
                      </w:pPr>
                      <w:r w:rsidRPr="00711D5D">
                        <w:rPr>
                          <w:color w:val="000000" w:themeColor="text1"/>
                          <w:sz w:val="14"/>
                          <w:szCs w:val="14"/>
                          <w:shd w:val="clear" w:color="auto" w:fill="auto"/>
                          <w:lang w:val="cs"/>
                        </w:rPr>
                        <w:t xml:space="preserve">Martin Sonn-Wende, 050100 - 11680, E-mail: </w:t>
                      </w:r>
                      <w:hyperlink r:id="rId17" w:history="1">
                        <w:r w:rsidRPr="00711D5D">
                          <w:rPr>
                            <w:rStyle w:val="Hypertextovodkaz"/>
                            <w:color w:val="2870ED"/>
                            <w:lang w:val="cs"/>
                          </w:rPr>
                          <w:t>martin.sonn-wende@erstegroup.com</w:t>
                        </w:r>
                      </w:hyperlink>
                    </w:p>
                    <w:p w14:paraId="2AF950F6" w14:textId="77777777" w:rsidR="00711D5D" w:rsidRPr="00711D5D" w:rsidRDefault="00711D5D" w:rsidP="00711D5D">
                      <w:pPr>
                        <w:autoSpaceDE w:val="0"/>
                        <w:autoSpaceDN w:val="0"/>
                        <w:adjustRightInd w:val="0"/>
                        <w:ind w:left="-426"/>
                        <w:jc w:val="center"/>
                        <w:rPr>
                          <w:rStyle w:val="Hypertextovodkaz"/>
                          <w:rFonts w:ascii="Inter" w:hAnsi="Inter"/>
                          <w:color w:val="000000" w:themeColor="text1"/>
                        </w:rPr>
                      </w:pPr>
                      <w:r w:rsidRPr="00711D5D">
                        <w:rPr>
                          <w:color w:val="000000" w:themeColor="text1"/>
                          <w:sz w:val="14"/>
                          <w:szCs w:val="14"/>
                          <w:shd w:val="clear" w:color="auto" w:fill="auto"/>
                          <w:lang w:val="cs"/>
                        </w:rPr>
                        <w:t xml:space="preserve">Peter Klopf, 050100 - 11676, E-mail: </w:t>
                      </w:r>
                      <w:hyperlink r:id="rId18" w:history="1">
                        <w:r w:rsidRPr="00711D5D">
                          <w:rPr>
                            <w:rStyle w:val="Hypertextovodkaz"/>
                            <w:color w:val="2870ED"/>
                            <w:lang w:val="cs"/>
                          </w:rPr>
                          <w:t>peter.klopf@erstegroup.com</w:t>
                        </w:r>
                      </w:hyperlink>
                    </w:p>
                    <w:p w14:paraId="6BFBADA9" w14:textId="77777777" w:rsidR="007263E4" w:rsidRPr="00885F5F" w:rsidRDefault="007263E4" w:rsidP="00711D5D">
                      <w:pPr>
                        <w:autoSpaceDE w:val="0"/>
                        <w:autoSpaceDN w:val="0"/>
                        <w:adjustRightInd w:val="0"/>
                        <w:ind w:left="-426"/>
                        <w:jc w:val="center"/>
                        <w:rPr>
                          <w:rFonts w:ascii="Inter" w:eastAsia="Arial" w:hAnsi="Inter"/>
                          <w:color w:val="000000" w:themeColor="text1"/>
                          <w:sz w:val="14"/>
                          <w:szCs w:val="14"/>
                          <w:shd w:val="clear" w:color="auto" w:fill="auto"/>
                        </w:rPr>
                      </w:pPr>
                    </w:p>
                    <w:p w14:paraId="31421E96" w14:textId="77777777" w:rsidR="00711D5D" w:rsidRPr="00711D5D" w:rsidRDefault="00711D5D" w:rsidP="00711D5D">
                      <w:pPr>
                        <w:autoSpaceDE w:val="0"/>
                        <w:autoSpaceDN w:val="0"/>
                        <w:adjustRightInd w:val="0"/>
                        <w:ind w:left="-426"/>
                        <w:jc w:val="center"/>
                        <w:rPr>
                          <w:rStyle w:val="Hypertextovodkaz"/>
                          <w:rFonts w:ascii="Inter" w:hAnsi="Inter"/>
                          <w:color w:val="2870ED"/>
                          <w:lang w:val="en-US"/>
                        </w:rPr>
                      </w:pPr>
                      <w:r w:rsidRPr="00711D5D">
                        <w:rPr>
                          <w:color w:val="000000" w:themeColor="text1"/>
                          <w:sz w:val="14"/>
                          <w:szCs w:val="14"/>
                          <w:shd w:val="clear" w:color="auto" w:fill="auto"/>
                          <w:lang w:val="cs"/>
                        </w:rPr>
                        <w:t xml:space="preserve">Text je také dostupný na: </w:t>
                      </w:r>
                      <w:hyperlink r:id="rId19">
                        <w:r w:rsidR="00F7399E">
                          <w:rPr>
                            <w:rStyle w:val="Hypertextovodkaz"/>
                            <w:color w:val="2870ED"/>
                            <w:lang w:val="cs"/>
                          </w:rPr>
                          <w:t>https://www.erstegroup.com/en/news-media</w:t>
                        </w:r>
                      </w:hyperlink>
                    </w:p>
                    <w:p w14:paraId="509C4139" w14:textId="5F88A9E8" w:rsidR="00711D5D" w:rsidRPr="00711D5D" w:rsidRDefault="00711D5D" w:rsidP="00711D5D">
                      <w:pPr>
                        <w:autoSpaceDE w:val="0"/>
                        <w:autoSpaceDN w:val="0"/>
                        <w:adjustRightInd w:val="0"/>
                        <w:ind w:left="-426"/>
                        <w:jc w:val="center"/>
                        <w:rPr>
                          <w:rFonts w:ascii="Inter" w:eastAsia="Arial" w:hAnsi="Inter"/>
                          <w:color w:val="000000" w:themeColor="text1"/>
                          <w:sz w:val="14"/>
                          <w:szCs w:val="14"/>
                          <w:lang w:val="en-US"/>
                        </w:rPr>
                      </w:pPr>
                      <w:r w:rsidRPr="00711D5D">
                        <w:rPr>
                          <w:rStyle w:val="Hypertextovodkaz"/>
                          <w:color w:val="000000" w:themeColor="text1"/>
                          <w:u w:val="none"/>
                          <w:lang w:val="cs"/>
                        </w:rPr>
                        <w:t xml:space="preserve">Pokud si od nás v budoucnu </w:t>
                      </w:r>
                      <w:r>
                        <w:rPr>
                          <w:lang w:val="cs"/>
                        </w:rPr>
                        <w:t xml:space="preserve"> nepřejete dostávat žádné </w:t>
                      </w:r>
                      <w:r w:rsidR="00117FB4">
                        <w:rPr>
                          <w:rStyle w:val="Hypertextovodkaz"/>
                          <w:color w:val="000000" w:themeColor="text1"/>
                          <w:u w:val="none"/>
                          <w:lang w:val="cs"/>
                        </w:rPr>
                        <w:t>mediální informace</w:t>
                      </w:r>
                      <w:r>
                        <w:rPr>
                          <w:lang w:val="cs"/>
                        </w:rPr>
                        <w:t xml:space="preserve">, </w:t>
                      </w:r>
                      <w:hyperlink r:id="rId20" w:history="1">
                        <w:r w:rsidR="007100CD" w:rsidRPr="007100CD">
                          <w:rPr>
                            <w:rStyle w:val="Hypertextovodkaz"/>
                            <w:lang w:val="cs"/>
                          </w:rPr>
                          <w:t>zašlete presse@erstebank.at e-mail</w:t>
                        </w:r>
                      </w:hyperlink>
                      <w:r w:rsidRPr="00113355">
                        <w:rPr>
                          <w:rStyle w:val="Hypertextovodkaz"/>
                          <w:color w:val="2870ED"/>
                          <w:u w:val="none"/>
                          <w:lang w:val="cs"/>
                        </w:rPr>
                        <w:t>.</w:t>
                      </w:r>
                    </w:p>
                  </w:txbxContent>
                </v:textbox>
                <w10:wrap type="topAndBottom"/>
              </v:roundrect>
            </w:pict>
          </mc:Fallback>
        </mc:AlternateContent>
      </w:r>
    </w:p>
    <w:sectPr w:rsidR="00CC18B8" w:rsidRPr="00A644D4" w:rsidSect="00392372">
      <w:headerReference w:type="default" r:id="rId21"/>
      <w:headerReference w:type="first" r:id="rId22"/>
      <w:footerReference w:type="first" r:id="rId23"/>
      <w:pgSz w:w="11900" w:h="16840"/>
      <w:pgMar w:top="2268" w:right="1417" w:bottom="1276" w:left="1417"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3F8C" w14:textId="77777777" w:rsidR="005D2CFE" w:rsidRDefault="005D2CFE" w:rsidP="009844F9">
      <w:r>
        <w:rPr>
          <w:lang w:val="cs"/>
        </w:rPr>
        <w:separator/>
      </w:r>
    </w:p>
  </w:endnote>
  <w:endnote w:type="continuationSeparator" w:id="0">
    <w:p w14:paraId="29A2C9A9" w14:textId="77777777" w:rsidR="005D2CFE" w:rsidRDefault="005D2CFE" w:rsidP="009844F9">
      <w:r>
        <w:rPr>
          <w:lang w:val="cs"/>
        </w:rPr>
        <w:continuationSeparator/>
      </w:r>
    </w:p>
  </w:endnote>
  <w:endnote w:type="continuationNotice" w:id="1">
    <w:p w14:paraId="74958A7B" w14:textId="77777777" w:rsidR="005D2CFE" w:rsidRDefault="005D2C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ter">
    <w:altName w:val="Calibri"/>
    <w:charset w:val="00"/>
    <w:family w:val="auto"/>
    <w:pitch w:val="variable"/>
    <w:sig w:usb0="E0000AFF" w:usb1="5200A1FF" w:usb2="00000021"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19C6" w14:textId="77777777" w:rsidR="0069608C" w:rsidRDefault="00553F90" w:rsidP="0069608C">
    <w:pPr>
      <w:ind w:left="-426"/>
      <w:jc w:val="center"/>
      <w:rPr>
        <w:rFonts w:eastAsia="Arial"/>
        <w:b/>
        <w:bCs/>
        <w:sz w:val="14"/>
        <w:szCs w:val="14"/>
      </w:rPr>
    </w:pPr>
    <w:r w:rsidRPr="00553F90">
      <w:rPr>
        <w:sz w:val="14"/>
        <w:szCs w:val="14"/>
        <w:shd w:val="clear" w:color="auto" w:fill="auto"/>
        <w:lang w:val="cs"/>
      </w:rPr>
      <mc:AlternateContent>
        <mc:Choice Requires="wps">
          <w:drawing>
            <wp:anchor distT="0" distB="0" distL="114300" distR="114300" simplePos="0" relativeHeight="251658241" behindDoc="0" locked="0" layoutInCell="1" allowOverlap="1" wp14:anchorId="3CC34FDD" wp14:editId="2BDBABBA">
              <wp:simplePos x="0" y="0"/>
              <wp:positionH relativeFrom="column">
                <wp:posOffset>-890905</wp:posOffset>
              </wp:positionH>
              <wp:positionV relativeFrom="paragraph">
                <wp:posOffset>362162</wp:posOffset>
              </wp:positionV>
              <wp:extent cx="7543800" cy="270933"/>
              <wp:effectExtent l="0" t="0" r="0" b="0"/>
              <wp:wrapNone/>
              <wp:docPr id="4" name="Rectangle 4"/>
              <wp:cNvGraphicFramePr/>
              <a:graphic xmlns:a="http://schemas.openxmlformats.org/drawingml/2006/main">
                <a:graphicData uri="http://schemas.microsoft.com/office/word/2010/wordprocessingShape">
                  <wps:wsp>
                    <wps:cNvSpPr/>
                    <wps:spPr>
                      <a:xfrm>
                        <a:off x="0" y="0"/>
                        <a:ext cx="7543800" cy="270933"/>
                      </a:xfrm>
                      <a:prstGeom prst="rect">
                        <a:avLst/>
                      </a:prstGeom>
                      <a:solidFill>
                        <a:srgbClr val="0077B3"/>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4" style="position:absolute;margin-left:-70.15pt;margin-top:28.5pt;width:594pt;height:21.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77b3"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" w14:anchorId="6EF1CB3D"/>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8CE" w14:textId="77777777" w:rsidR="005D2CFE" w:rsidRDefault="005D2CFE" w:rsidP="009844F9">
      <w:r>
        <w:rPr>
          <w:lang w:val="cs"/>
        </w:rPr>
        <w:separator/>
      </w:r>
    </w:p>
  </w:footnote>
  <w:footnote w:type="continuationSeparator" w:id="0">
    <w:p w14:paraId="6FE784B9" w14:textId="77777777" w:rsidR="005D2CFE" w:rsidRDefault="005D2CFE" w:rsidP="009844F9">
      <w:r>
        <w:rPr>
          <w:lang w:val="cs"/>
        </w:rPr>
        <w:continuationSeparator/>
      </w:r>
    </w:p>
  </w:footnote>
  <w:footnote w:type="continuationNotice" w:id="1">
    <w:p w14:paraId="4A6D1D52" w14:textId="77777777" w:rsidR="005D2CFE" w:rsidRDefault="005D2C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30F3" w14:textId="77777777" w:rsidR="00897B52" w:rsidRPr="00E57665" w:rsidRDefault="002B44FF" w:rsidP="0005724A">
    <w:pPr>
      <w:pStyle w:val="Zhlav"/>
    </w:pPr>
    <w:r w:rsidRPr="0066165B">
      <w:rPr>
        <w:highlight w:val="blue"/>
        <w:lang w:val="cs"/>
      </w:rPr>
      <w:drawing>
        <wp:anchor distT="0" distB="0" distL="114300" distR="114300" simplePos="0" relativeHeight="251658243" behindDoc="0" locked="0" layoutInCell="1" allowOverlap="1" wp14:anchorId="6BEC1790" wp14:editId="5B50DA62">
          <wp:simplePos x="0" y="0"/>
          <wp:positionH relativeFrom="column">
            <wp:posOffset>-747</wp:posOffset>
          </wp:positionH>
          <wp:positionV relativeFrom="paragraph">
            <wp:posOffset>123190</wp:posOffset>
          </wp:positionV>
          <wp:extent cx="987136" cy="469323"/>
          <wp:effectExtent l="0" t="0" r="381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87136" cy="469323"/>
                  </a:xfrm>
                  <a:prstGeom prst="rect">
                    <a:avLst/>
                  </a:prstGeom>
                </pic:spPr>
              </pic:pic>
            </a:graphicData>
          </a:graphic>
          <wp14:sizeRelH relativeFrom="margin">
            <wp14:pctWidth>0</wp14:pctWidth>
          </wp14:sizeRelH>
          <wp14:sizeRelV relativeFrom="margin">
            <wp14:pctHeight>0</wp14:pctHeight>
          </wp14:sizeRelV>
        </wp:anchor>
      </w:drawing>
    </w:r>
    <w:r w:rsidRPr="0066165B">
      <w:rPr>
        <w:highlight w:val="blue"/>
        <w:lang w:val="cs"/>
      </w:rPr>
      <mc:AlternateContent>
        <mc:Choice Requires="wps">
          <w:drawing>
            <wp:anchor distT="0" distB="0" distL="114300" distR="114300" simplePos="0" relativeHeight="251658242" behindDoc="1" locked="1" layoutInCell="1" allowOverlap="1" wp14:anchorId="47D6D12B" wp14:editId="17234A39">
              <wp:simplePos x="0" y="0"/>
              <wp:positionH relativeFrom="page">
                <wp:posOffset>427355</wp:posOffset>
              </wp:positionH>
              <wp:positionV relativeFrom="page">
                <wp:posOffset>260985</wp:posOffset>
              </wp:positionV>
              <wp:extent cx="6767830" cy="755650"/>
              <wp:effectExtent l="0" t="0" r="1270" b="6350"/>
              <wp:wrapNone/>
              <wp:docPr id="589" name="Rectangle: Rounded Corners 589"/>
              <wp:cNvGraphicFramePr/>
              <a:graphic xmlns:a="http://schemas.openxmlformats.org/drawingml/2006/main">
                <a:graphicData uri="http://schemas.microsoft.com/office/word/2010/wordprocessingShape">
                  <wps:wsp>
                    <wps:cNvSpPr/>
                    <wps:spPr>
                      <a:xfrm>
                        <a:off x="0" y="0"/>
                        <a:ext cx="6767830" cy="755650"/>
                      </a:xfrm>
                      <a:prstGeom prst="roundRect">
                        <a:avLst>
                          <a:gd name="adj" fmla="val 9377"/>
                        </a:avLst>
                      </a:prstGeom>
                      <a:solidFill>
                        <a:srgbClr val="2870ED"/>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899EA" w14:textId="073C1A78" w:rsidR="001D07BC" w:rsidRPr="00F064B6" w:rsidRDefault="00CC64B0" w:rsidP="00962EBC">
                          <w:pPr>
                            <w:pStyle w:val="Info"/>
                            <w:spacing w:before="120" w:line="276" w:lineRule="auto"/>
                            <w:jc w:val="right"/>
                            <w:rPr>
                              <w:rFonts w:ascii="Inter" w:hAnsi="Inter"/>
                              <w:color w:val="FFFFFF" w:themeColor="background1"/>
                              <w:sz w:val="18"/>
                              <w:szCs w:val="32"/>
                            </w:rPr>
                          </w:pPr>
                          <w:r>
                            <w:rPr>
                              <w:b/>
                              <w:color w:val="FFFFFF" w:themeColor="background1"/>
                              <w:sz w:val="28"/>
                              <w:szCs w:val="52"/>
                              <w:lang w:val="cs"/>
                            </w:rPr>
                            <w:t>I</w:t>
                          </w:r>
                          <w:r w:rsidR="009C7387">
                            <w:rPr>
                              <w:b/>
                              <w:color w:val="FFFFFF" w:themeColor="background1"/>
                              <w:sz w:val="28"/>
                              <w:szCs w:val="52"/>
                              <w:lang w:val="cs"/>
                            </w:rPr>
                            <w:t>nformace</w:t>
                          </w:r>
                          <w:r>
                            <w:rPr>
                              <w:b/>
                              <w:color w:val="FFFFFF" w:themeColor="background1"/>
                              <w:sz w:val="28"/>
                              <w:szCs w:val="52"/>
                              <w:lang w:val="cs"/>
                            </w:rPr>
                            <w:t xml:space="preserve"> pro média</w:t>
                          </w:r>
                          <w:r w:rsidR="001D07BC" w:rsidRPr="00F064B6">
                            <w:rPr>
                              <w:color w:val="FFFFFF" w:themeColor="background1"/>
                              <w:lang w:val="cs"/>
                            </w:rPr>
                            <w:br/>
                          </w:r>
                          <w:r w:rsidR="00A85FA9" w:rsidRPr="00F064B6">
                            <w:rPr>
                              <w:color w:val="FFFFFF" w:themeColor="background1"/>
                              <w:sz w:val="18"/>
                              <w:szCs w:val="32"/>
                              <w:lang w:val="cs"/>
                            </w:rPr>
                            <w:t xml:space="preserve">Vídeň </w:t>
                          </w:r>
                          <w:r w:rsidR="00FB6F87" w:rsidRPr="00F064B6">
                            <w:rPr>
                              <w:color w:val="FFFFFF" w:themeColor="background1"/>
                              <w:sz w:val="18"/>
                              <w:szCs w:val="32"/>
                              <w:lang w:val="cs"/>
                            </w:rPr>
                            <w:t>–</w:t>
                          </w:r>
                          <w:r w:rsidR="00A85FA9" w:rsidRPr="00F064B6">
                            <w:rPr>
                              <w:color w:val="FFFFFF" w:themeColor="background1"/>
                              <w:sz w:val="18"/>
                              <w:szCs w:val="32"/>
                              <w:lang w:val="cs"/>
                            </w:rPr>
                            <w:t xml:space="preserve"> </w:t>
                          </w:r>
                          <w:r w:rsidR="00C15F67">
                            <w:rPr>
                              <w:color w:val="FFFFFF" w:themeColor="background1"/>
                              <w:sz w:val="18"/>
                              <w:szCs w:val="32"/>
                              <w:lang w:val="cs"/>
                            </w:rPr>
                            <w:t>28. dubna 2023</w:t>
                          </w:r>
                        </w:p>
                        <w:p w14:paraId="1A45870B" w14:textId="77777777" w:rsidR="002B44FF" w:rsidRPr="00962EBC" w:rsidRDefault="002B44FF" w:rsidP="001D07B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D12B" id="Rectangle: Rounded Corners 589" o:spid="_x0000_s1027" style="position:absolute;margin-left:33.65pt;margin-top:20.55pt;width:532.9pt;height:5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" fillcolor="#2870ed" stroked="f" strokeweight=".25pt">
              <v:stroke joinstyle="miter"/>
              <v:textbox>
                <w:txbxContent>
                  <w:p w14:paraId="364899EA" w14:textId="073C1A78" w:rsidR="001D07BC" w:rsidRPr="00F064B6" w:rsidRDefault="00CC64B0" w:rsidP="00962EBC">
                    <w:pPr>
                      <w:pStyle w:val="Info"/>
                      <w:spacing w:before="120" w:line="276" w:lineRule="auto"/>
                      <w:jc w:val="right"/>
                      <w:rPr>
                        <w:rFonts w:ascii="Inter" w:hAnsi="Inter"/>
                        <w:color w:val="FFFFFF" w:themeColor="background1"/>
                        <w:sz w:val="18"/>
                        <w:szCs w:val="32"/>
                      </w:rPr>
                    </w:pPr>
                    <w:r>
                      <w:rPr>
                        <w:b/>
                        <w:color w:val="FFFFFF" w:themeColor="background1"/>
                        <w:sz w:val="28"/>
                        <w:szCs w:val="52"/>
                        <w:lang w:val="cs"/>
                      </w:rPr>
                      <w:t>I</w:t>
                    </w:r>
                    <w:r w:rsidR="009C7387">
                      <w:rPr>
                        <w:b/>
                        <w:color w:val="FFFFFF" w:themeColor="background1"/>
                        <w:sz w:val="28"/>
                        <w:szCs w:val="52"/>
                        <w:lang w:val="cs"/>
                      </w:rPr>
                      <w:t>nformace</w:t>
                    </w:r>
                    <w:r>
                      <w:rPr>
                        <w:b/>
                        <w:color w:val="FFFFFF" w:themeColor="background1"/>
                        <w:sz w:val="28"/>
                        <w:szCs w:val="52"/>
                        <w:lang w:val="cs"/>
                      </w:rPr>
                      <w:t xml:space="preserve"> pro média</w:t>
                    </w:r>
                    <w:r w:rsidR="001D07BC" w:rsidRPr="00F064B6">
                      <w:rPr>
                        <w:color w:val="FFFFFF" w:themeColor="background1"/>
                        <w:lang w:val="cs"/>
                      </w:rPr>
                      <w:br/>
                    </w:r>
                    <w:r w:rsidR="00A85FA9" w:rsidRPr="00F064B6">
                      <w:rPr>
                        <w:color w:val="FFFFFF" w:themeColor="background1"/>
                        <w:sz w:val="18"/>
                        <w:szCs w:val="32"/>
                        <w:lang w:val="cs"/>
                      </w:rPr>
                      <w:t xml:space="preserve">Vídeň </w:t>
                    </w:r>
                    <w:r w:rsidR="00FB6F87" w:rsidRPr="00F064B6">
                      <w:rPr>
                        <w:color w:val="FFFFFF" w:themeColor="background1"/>
                        <w:sz w:val="18"/>
                        <w:szCs w:val="32"/>
                        <w:lang w:val="cs"/>
                      </w:rPr>
                      <w:t>–</w:t>
                    </w:r>
                    <w:r w:rsidR="00A85FA9" w:rsidRPr="00F064B6">
                      <w:rPr>
                        <w:color w:val="FFFFFF" w:themeColor="background1"/>
                        <w:sz w:val="18"/>
                        <w:szCs w:val="32"/>
                        <w:lang w:val="cs"/>
                      </w:rPr>
                      <w:t xml:space="preserve"> </w:t>
                    </w:r>
                    <w:r w:rsidR="00C15F67">
                      <w:rPr>
                        <w:color w:val="FFFFFF" w:themeColor="background1"/>
                        <w:sz w:val="18"/>
                        <w:szCs w:val="32"/>
                        <w:lang w:val="cs"/>
                      </w:rPr>
                      <w:t>28. dubna 2023</w:t>
                    </w:r>
                  </w:p>
                  <w:p w14:paraId="1A45870B" w14:textId="77777777" w:rsidR="002B44FF" w:rsidRPr="00962EBC" w:rsidRDefault="002B44FF" w:rsidP="001D07BC">
                    <w:pPr>
                      <w:rPr>
                        <w:lang w:val="en-US"/>
                      </w:rPr>
                    </w:pPr>
                  </w:p>
                </w:txbxContent>
              </v:textbox>
              <w10:wrap anchorx="page" anchory="page"/>
              <w10:anchorlock/>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BC16" w14:textId="77777777" w:rsidR="009844F9" w:rsidRDefault="00E67431">
    <w:pPr>
      <w:pStyle w:val="Zhlav"/>
    </w:pPr>
    <w:r w:rsidRPr="00E67431">
      <w:rPr>
        <w:lang w:val="cs"/>
      </w:rPr>
      <w:drawing>
        <wp:anchor distT="0" distB="0" distL="114300" distR="114300" simplePos="0" relativeHeight="251658244" behindDoc="1" locked="0" layoutInCell="1" allowOverlap="1" wp14:anchorId="6CE1C5F5" wp14:editId="2C74437D">
          <wp:simplePos x="0" y="0"/>
          <wp:positionH relativeFrom="column">
            <wp:posOffset>3363595</wp:posOffset>
          </wp:positionH>
          <wp:positionV relativeFrom="paragraph">
            <wp:posOffset>146897</wp:posOffset>
          </wp:positionV>
          <wp:extent cx="2904490" cy="520700"/>
          <wp:effectExtent l="0" t="0" r="3810" b="0"/>
          <wp:wrapTight wrapText="bothSides">
            <wp:wrapPolygon edited="0">
              <wp:start x="0" y="0"/>
              <wp:lineTo x="0" y="21073"/>
              <wp:lineTo x="21534" y="21073"/>
              <wp:lineTo x="21534" y="0"/>
              <wp:lineTo x="0" y="0"/>
            </wp:wrapPolygon>
          </wp:wrapTight>
          <wp:docPr id="22" name="Picture 22" descr="P:\01980394\OE0394\OE_ORD\PRESSE\E. ADMINISTRATION\Logos\Erste Bank\a_NEUE LOGOs from Oct 2017\EBSPK_office_external-mate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1980394\OE0394\OE_ORD\PRESSE\E. ADMINISTRATION\Logos\Erste Bank\a_NEUE LOGOs ab Okt 2017\EBSPK_office_external-mater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449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431">
      <mc:AlternateContent>
        <mc:Choice Requires="wps">
          <w:drawing>
            <wp:anchor distT="0" distB="0" distL="114300" distR="114300" simplePos="0" relativeHeight="251658240" behindDoc="1" locked="0" layoutInCell="1" allowOverlap="1" wp14:anchorId="034DD314" wp14:editId="5BA75060">
              <wp:simplePos x="0" y="0"/>
              <wp:positionH relativeFrom="page">
                <wp:posOffset>19262</wp:posOffset>
              </wp:positionH>
              <wp:positionV relativeFrom="page">
                <wp:posOffset>3387</wp:posOffset>
              </wp:positionV>
              <wp:extent cx="7560310" cy="1218565"/>
              <wp:effectExtent l="0" t="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18565"/>
                      </a:xfrm>
                      <a:prstGeom prst="rect">
                        <a:avLst/>
                      </a:prstGeom>
                      <a:solidFill>
                        <a:srgbClr val="BCE4FA"/>
                      </a:solidFill>
                      <a:ln>
                        <a:noFill/>
                      </a:ln>
                    </wps:spPr>
                    <wps:txbx>
                      <w:txbxContent>
                        <w:p w14:paraId="4575A127" w14:textId="77777777" w:rsidR="00E67431" w:rsidRDefault="00E67431" w:rsidP="00E67431">
                          <w:pPr>
                            <w:rPr>
                              <w:rFonts w:ascii="Open Sans" w:eastAsia="Arial" w:hAnsi="Open Sans" w:cs="Open Sans"/>
                              <w:b/>
                              <w:bCs/>
                              <w:color w:val="00497C"/>
                              <w:sz w:val="28"/>
                              <w:szCs w:val="28"/>
                            </w:rPr>
                          </w:pPr>
                        </w:p>
                        <w:p w14:paraId="4CB42DCF" w14:textId="77777777" w:rsidR="00E67431" w:rsidRDefault="00E67431" w:rsidP="00E67431">
                          <w:pPr>
                            <w:rPr>
                              <w:rFonts w:ascii="Open Sans" w:eastAsia="Arial" w:hAnsi="Open Sans" w:cs="Open Sans"/>
                              <w:b/>
                              <w:bCs/>
                              <w:color w:val="00497C"/>
                              <w:sz w:val="28"/>
                              <w:szCs w:val="28"/>
                            </w:rPr>
                          </w:pPr>
                        </w:p>
                        <w:p w14:paraId="374E3378" w14:textId="77777777" w:rsidR="00E67431" w:rsidRDefault="00E67431" w:rsidP="003C10CD">
                          <w:pPr>
                            <w:pStyle w:val="Nadpis3"/>
                            <w:spacing w:after="40"/>
                            <w:ind w:left="567" w:right="556"/>
                            <w:rPr>
                              <w:shd w:val="clear" w:color="auto" w:fill="auto"/>
                            </w:rPr>
                          </w:pPr>
                          <w:r w:rsidRPr="00E67431">
                            <w:rPr>
                              <w:shd w:val="clear" w:color="auto" w:fill="auto"/>
                              <w:lang w:val="cs"/>
                            </w:rPr>
                            <w:t>Tisková zpráva</w:t>
                          </w:r>
                        </w:p>
                        <w:p w14:paraId="4E195131" w14:textId="4F1E1A64" w:rsidR="003C10CD" w:rsidRPr="003C10CD" w:rsidRDefault="003C10CD" w:rsidP="00711920">
                          <w:pPr>
                            <w:pStyle w:val="Datum"/>
                          </w:pPr>
                          <w:r w:rsidRPr="003C10CD">
                            <w:rPr>
                              <w:lang w:val="cs"/>
                            </w:rPr>
                            <w:fldChar w:fldCharType="begin"/>
                          </w:r>
                          <w:r w:rsidRPr="003C10CD">
                            <w:rPr>
                              <w:lang w:val="cs"/>
                            </w:rPr>
                            <w:instrText xml:space="preserve"> TIME \@ "d. MMMM yyyy" </w:instrText>
                          </w:r>
                          <w:r w:rsidRPr="003C10CD">
                            <w:rPr>
                              <w:lang w:val="cs"/>
                            </w:rPr>
                            <w:fldChar w:fldCharType="separate"/>
                          </w:r>
                          <w:r w:rsidR="00CC64B0">
                            <w:rPr>
                              <w:lang w:val="cs"/>
                            </w:rPr>
                            <w:t>27. dubna 2023</w:t>
                          </w:r>
                          <w:r w:rsidRPr="003C10CD">
                            <w:rPr>
                              <w:lang w:val="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DD314" id="Rectangle 2" o:spid="_x0000_s1028" style="position:absolute;margin-left:1.5pt;margin-top:.25pt;width:595.3pt;height:9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" fillcolor="#bce4fa" stroked="f">
              <v:textbox>
                <w:txbxContent>
                  <w:p w14:paraId="4575A127" w14:textId="77777777" w:rsidR="00E67431" w:rsidRDefault="00E67431" w:rsidP="00E67431">
                    <w:pPr>
                      <w:rPr>
                        <w:rFonts w:ascii="Open Sans" w:eastAsia="Arial" w:hAnsi="Open Sans" w:cs="Open Sans"/>
                        <w:b/>
                        <w:bCs/>
                        <w:color w:val="00497C"/>
                        <w:sz w:val="28"/>
                        <w:szCs w:val="28"/>
                      </w:rPr>
                    </w:pPr>
                  </w:p>
                  <w:p w14:paraId="4CB42DCF" w14:textId="77777777" w:rsidR="00E67431" w:rsidRDefault="00E67431" w:rsidP="00E67431">
                    <w:pPr>
                      <w:rPr>
                        <w:rFonts w:ascii="Open Sans" w:eastAsia="Arial" w:hAnsi="Open Sans" w:cs="Open Sans"/>
                        <w:b/>
                        <w:bCs/>
                        <w:color w:val="00497C"/>
                        <w:sz w:val="28"/>
                        <w:szCs w:val="28"/>
                      </w:rPr>
                    </w:pPr>
                  </w:p>
                  <w:p w14:paraId="374E3378" w14:textId="77777777" w:rsidR="00E67431" w:rsidRDefault="00E67431" w:rsidP="003C10CD">
                    <w:pPr>
                      <w:pStyle w:val="Nadpis3"/>
                      <w:spacing w:after="40"/>
                      <w:ind w:left="567" w:right="556"/>
                      <w:rPr>
                        <w:shd w:val="clear" w:color="auto" w:fill="auto"/>
                      </w:rPr>
                    </w:pPr>
                    <w:r w:rsidRPr="00E67431">
                      <w:rPr>
                        <w:shd w:val="clear" w:color="auto" w:fill="auto"/>
                        <w:lang w:val="cs"/>
                      </w:rPr>
                      <w:t>Tisková zpráva</w:t>
                    </w:r>
                  </w:p>
                  <w:p w14:paraId="4E195131" w14:textId="4F1E1A64" w:rsidR="003C10CD" w:rsidRPr="003C10CD" w:rsidRDefault="003C10CD" w:rsidP="00711920">
                    <w:pPr>
                      <w:pStyle w:val="Datum"/>
                    </w:pPr>
                    <w:r w:rsidRPr="003C10CD">
                      <w:rPr>
                        <w:lang w:val="cs"/>
                      </w:rPr>
                      <w:fldChar w:fldCharType="begin"/>
                    </w:r>
                    <w:r w:rsidRPr="003C10CD">
                      <w:rPr>
                        <w:lang w:val="cs"/>
                      </w:rPr>
                      <w:instrText xml:space="preserve"> TIME \@ "d. MMMM yyyy" </w:instrText>
                    </w:r>
                    <w:r w:rsidRPr="003C10CD">
                      <w:rPr>
                        <w:lang w:val="cs"/>
                      </w:rPr>
                      <w:fldChar w:fldCharType="separate"/>
                    </w:r>
                    <w:r w:rsidR="00CC64B0">
                      <w:rPr>
                        <w:lang w:val="cs"/>
                      </w:rPr>
                      <w:t>27. dubna 2023</w:t>
                    </w:r>
                    <w:r w:rsidRPr="003C10CD">
                      <w:rPr>
                        <w:lang w:val="cs"/>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65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4D9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04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4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2D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A2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EC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EC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C6D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61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71B67"/>
    <w:multiLevelType w:val="hybridMultilevel"/>
    <w:tmpl w:val="6CC6400A"/>
    <w:lvl w:ilvl="0" w:tplc="858842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736232"/>
    <w:multiLevelType w:val="multilevel"/>
    <w:tmpl w:val="DFD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3643A"/>
    <w:multiLevelType w:val="hybridMultilevel"/>
    <w:tmpl w:val="4B7896E0"/>
    <w:lvl w:ilvl="0" w:tplc="9E0256B2">
      <w:start w:val="1"/>
      <w:numFmt w:val="bullet"/>
      <w:pStyle w:val="Odstavecseseznamem"/>
      <w:lvlText w:val=""/>
      <w:lvlJc w:val="left"/>
      <w:pPr>
        <w:ind w:left="360" w:hanging="360"/>
      </w:pPr>
      <w:rPr>
        <w:rFonts w:ascii="Symbol" w:hAnsi="Symbol" w:hint="default"/>
        <w:color w:val="2870ED"/>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7E34BE"/>
    <w:multiLevelType w:val="hybridMultilevel"/>
    <w:tmpl w:val="B1C45F4E"/>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200" w:hanging="360"/>
      </w:pPr>
      <w:rPr>
        <w:rFonts w:ascii="Courier New" w:hAnsi="Courier New" w:cs="Courier New" w:hint="default"/>
      </w:rPr>
    </w:lvl>
    <w:lvl w:ilvl="2" w:tplc="0C070005" w:tentative="1">
      <w:start w:val="1"/>
      <w:numFmt w:val="bullet"/>
      <w:lvlText w:val=""/>
      <w:lvlJc w:val="left"/>
      <w:pPr>
        <w:ind w:left="1920" w:hanging="360"/>
      </w:pPr>
      <w:rPr>
        <w:rFonts w:ascii="Wingdings" w:hAnsi="Wingdings" w:hint="default"/>
      </w:rPr>
    </w:lvl>
    <w:lvl w:ilvl="3" w:tplc="0C070001" w:tentative="1">
      <w:start w:val="1"/>
      <w:numFmt w:val="bullet"/>
      <w:lvlText w:val=""/>
      <w:lvlJc w:val="left"/>
      <w:pPr>
        <w:ind w:left="2640" w:hanging="360"/>
      </w:pPr>
      <w:rPr>
        <w:rFonts w:ascii="Symbol" w:hAnsi="Symbol" w:hint="default"/>
      </w:rPr>
    </w:lvl>
    <w:lvl w:ilvl="4" w:tplc="0C070003" w:tentative="1">
      <w:start w:val="1"/>
      <w:numFmt w:val="bullet"/>
      <w:lvlText w:val="o"/>
      <w:lvlJc w:val="left"/>
      <w:pPr>
        <w:ind w:left="3360" w:hanging="360"/>
      </w:pPr>
      <w:rPr>
        <w:rFonts w:ascii="Courier New" w:hAnsi="Courier New" w:cs="Courier New" w:hint="default"/>
      </w:rPr>
    </w:lvl>
    <w:lvl w:ilvl="5" w:tplc="0C070005" w:tentative="1">
      <w:start w:val="1"/>
      <w:numFmt w:val="bullet"/>
      <w:lvlText w:val=""/>
      <w:lvlJc w:val="left"/>
      <w:pPr>
        <w:ind w:left="4080" w:hanging="360"/>
      </w:pPr>
      <w:rPr>
        <w:rFonts w:ascii="Wingdings" w:hAnsi="Wingdings" w:hint="default"/>
      </w:rPr>
    </w:lvl>
    <w:lvl w:ilvl="6" w:tplc="0C070001" w:tentative="1">
      <w:start w:val="1"/>
      <w:numFmt w:val="bullet"/>
      <w:lvlText w:val=""/>
      <w:lvlJc w:val="left"/>
      <w:pPr>
        <w:ind w:left="4800" w:hanging="360"/>
      </w:pPr>
      <w:rPr>
        <w:rFonts w:ascii="Symbol" w:hAnsi="Symbol" w:hint="default"/>
      </w:rPr>
    </w:lvl>
    <w:lvl w:ilvl="7" w:tplc="0C070003" w:tentative="1">
      <w:start w:val="1"/>
      <w:numFmt w:val="bullet"/>
      <w:lvlText w:val="o"/>
      <w:lvlJc w:val="left"/>
      <w:pPr>
        <w:ind w:left="5520" w:hanging="360"/>
      </w:pPr>
      <w:rPr>
        <w:rFonts w:ascii="Courier New" w:hAnsi="Courier New" w:cs="Courier New" w:hint="default"/>
      </w:rPr>
    </w:lvl>
    <w:lvl w:ilvl="8" w:tplc="0C070005" w:tentative="1">
      <w:start w:val="1"/>
      <w:numFmt w:val="bullet"/>
      <w:lvlText w:val=""/>
      <w:lvlJc w:val="left"/>
      <w:pPr>
        <w:ind w:left="6240" w:hanging="360"/>
      </w:pPr>
      <w:rPr>
        <w:rFonts w:ascii="Wingdings" w:hAnsi="Wingdings" w:hint="default"/>
      </w:rPr>
    </w:lvl>
  </w:abstractNum>
  <w:abstractNum w:abstractNumId="14" w15:restartNumberingAfterBreak="0">
    <w:nsid w:val="5D3B6693"/>
    <w:multiLevelType w:val="hybridMultilevel"/>
    <w:tmpl w:val="139499B8"/>
    <w:lvl w:ilvl="0" w:tplc="1920532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5B587E"/>
    <w:multiLevelType w:val="multilevel"/>
    <w:tmpl w:val="57B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C7D64"/>
    <w:multiLevelType w:val="multilevel"/>
    <w:tmpl w:val="5384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197874">
    <w:abstractNumId w:val="10"/>
  </w:num>
  <w:num w:numId="2" w16cid:durableId="1471090853">
    <w:abstractNumId w:val="13"/>
  </w:num>
  <w:num w:numId="3" w16cid:durableId="168327247">
    <w:abstractNumId w:val="0"/>
  </w:num>
  <w:num w:numId="4" w16cid:durableId="526868593">
    <w:abstractNumId w:val="1"/>
  </w:num>
  <w:num w:numId="5" w16cid:durableId="298801889">
    <w:abstractNumId w:val="2"/>
  </w:num>
  <w:num w:numId="6" w16cid:durableId="423764833">
    <w:abstractNumId w:val="3"/>
  </w:num>
  <w:num w:numId="7" w16cid:durableId="931666056">
    <w:abstractNumId w:val="8"/>
  </w:num>
  <w:num w:numId="8" w16cid:durableId="1391609941">
    <w:abstractNumId w:val="4"/>
  </w:num>
  <w:num w:numId="9" w16cid:durableId="1036587579">
    <w:abstractNumId w:val="5"/>
  </w:num>
  <w:num w:numId="10" w16cid:durableId="1599172355">
    <w:abstractNumId w:val="6"/>
  </w:num>
  <w:num w:numId="11" w16cid:durableId="71583005">
    <w:abstractNumId w:val="7"/>
  </w:num>
  <w:num w:numId="12" w16cid:durableId="1483304187">
    <w:abstractNumId w:val="9"/>
  </w:num>
  <w:num w:numId="13" w16cid:durableId="666716411">
    <w:abstractNumId w:val="12"/>
  </w:num>
  <w:num w:numId="14" w16cid:durableId="851260833">
    <w:abstractNumId w:val="14"/>
  </w:num>
  <w:num w:numId="15" w16cid:durableId="1948148773">
    <w:abstractNumId w:val="12"/>
    <w:lvlOverride w:ilvl="0">
      <w:startOverride w:val="1"/>
    </w:lvlOverride>
  </w:num>
  <w:num w:numId="16" w16cid:durableId="1743483468">
    <w:abstractNumId w:val="12"/>
    <w:lvlOverride w:ilvl="0">
      <w:startOverride w:val="1"/>
    </w:lvlOverride>
  </w:num>
  <w:num w:numId="17" w16cid:durableId="47264835">
    <w:abstractNumId w:val="12"/>
    <w:lvlOverride w:ilvl="0">
      <w:startOverride w:val="1"/>
    </w:lvlOverride>
  </w:num>
  <w:num w:numId="18" w16cid:durableId="122311165">
    <w:abstractNumId w:val="16"/>
  </w:num>
  <w:num w:numId="19" w16cid:durableId="1007058718">
    <w:abstractNumId w:val="11"/>
  </w:num>
  <w:num w:numId="20" w16cid:durableId="1518622225">
    <w:abstractNumId w:val="15"/>
  </w:num>
  <w:num w:numId="21" w16cid:durableId="1768961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72"/>
    <w:rsid w:val="000112D9"/>
    <w:rsid w:val="00015146"/>
    <w:rsid w:val="00020DCB"/>
    <w:rsid w:val="0005724A"/>
    <w:rsid w:val="00057A3C"/>
    <w:rsid w:val="00062F77"/>
    <w:rsid w:val="00067770"/>
    <w:rsid w:val="00080652"/>
    <w:rsid w:val="0008090D"/>
    <w:rsid w:val="000870DE"/>
    <w:rsid w:val="000969EF"/>
    <w:rsid w:val="000D232A"/>
    <w:rsid w:val="000D67C8"/>
    <w:rsid w:val="000E7F27"/>
    <w:rsid w:val="000F23A3"/>
    <w:rsid w:val="00113355"/>
    <w:rsid w:val="00117FB4"/>
    <w:rsid w:val="00120228"/>
    <w:rsid w:val="00131718"/>
    <w:rsid w:val="00133A6F"/>
    <w:rsid w:val="00141C2B"/>
    <w:rsid w:val="0014578A"/>
    <w:rsid w:val="00160496"/>
    <w:rsid w:val="001609E2"/>
    <w:rsid w:val="00167E7A"/>
    <w:rsid w:val="00191778"/>
    <w:rsid w:val="00191CEC"/>
    <w:rsid w:val="0019748B"/>
    <w:rsid w:val="001B717F"/>
    <w:rsid w:val="001C5B42"/>
    <w:rsid w:val="001D07BC"/>
    <w:rsid w:val="001D730C"/>
    <w:rsid w:val="001E3A94"/>
    <w:rsid w:val="001E5EB6"/>
    <w:rsid w:val="001F6901"/>
    <w:rsid w:val="00200CEA"/>
    <w:rsid w:val="00207147"/>
    <w:rsid w:val="00214080"/>
    <w:rsid w:val="00221663"/>
    <w:rsid w:val="00224C8A"/>
    <w:rsid w:val="0023346B"/>
    <w:rsid w:val="00236FF8"/>
    <w:rsid w:val="0024087E"/>
    <w:rsid w:val="00240B69"/>
    <w:rsid w:val="002539DD"/>
    <w:rsid w:val="00260790"/>
    <w:rsid w:val="002661DB"/>
    <w:rsid w:val="0026699D"/>
    <w:rsid w:val="002669D2"/>
    <w:rsid w:val="002801D7"/>
    <w:rsid w:val="0028528D"/>
    <w:rsid w:val="002A0D59"/>
    <w:rsid w:val="002A220D"/>
    <w:rsid w:val="002A5792"/>
    <w:rsid w:val="002B1EFC"/>
    <w:rsid w:val="002B44FF"/>
    <w:rsid w:val="002B62AE"/>
    <w:rsid w:val="002B7651"/>
    <w:rsid w:val="002B7D0C"/>
    <w:rsid w:val="002D5D4F"/>
    <w:rsid w:val="002D76D3"/>
    <w:rsid w:val="002F1CBD"/>
    <w:rsid w:val="002F28A1"/>
    <w:rsid w:val="002F3D38"/>
    <w:rsid w:val="002F71C4"/>
    <w:rsid w:val="003017A5"/>
    <w:rsid w:val="00302879"/>
    <w:rsid w:val="003039D9"/>
    <w:rsid w:val="003055CE"/>
    <w:rsid w:val="00315C41"/>
    <w:rsid w:val="00315FB8"/>
    <w:rsid w:val="0032391F"/>
    <w:rsid w:val="00324390"/>
    <w:rsid w:val="00324B3C"/>
    <w:rsid w:val="00327CCC"/>
    <w:rsid w:val="0033172B"/>
    <w:rsid w:val="00334302"/>
    <w:rsid w:val="00340D65"/>
    <w:rsid w:val="003507A4"/>
    <w:rsid w:val="00357A5F"/>
    <w:rsid w:val="00364619"/>
    <w:rsid w:val="00380EDD"/>
    <w:rsid w:val="00384141"/>
    <w:rsid w:val="00392372"/>
    <w:rsid w:val="0039787F"/>
    <w:rsid w:val="003B3C0A"/>
    <w:rsid w:val="003B4524"/>
    <w:rsid w:val="003C10CD"/>
    <w:rsid w:val="003D067B"/>
    <w:rsid w:val="003D4A3C"/>
    <w:rsid w:val="003D74E7"/>
    <w:rsid w:val="003E7F90"/>
    <w:rsid w:val="003F414F"/>
    <w:rsid w:val="003F479F"/>
    <w:rsid w:val="003F6EE4"/>
    <w:rsid w:val="0040622F"/>
    <w:rsid w:val="004157EF"/>
    <w:rsid w:val="00422422"/>
    <w:rsid w:val="00431C8D"/>
    <w:rsid w:val="0044065B"/>
    <w:rsid w:val="004406FC"/>
    <w:rsid w:val="0044147D"/>
    <w:rsid w:val="00454508"/>
    <w:rsid w:val="00455E1D"/>
    <w:rsid w:val="0046514C"/>
    <w:rsid w:val="00466D4B"/>
    <w:rsid w:val="00467A4E"/>
    <w:rsid w:val="00484D15"/>
    <w:rsid w:val="0049539F"/>
    <w:rsid w:val="004A0724"/>
    <w:rsid w:val="004E5E5B"/>
    <w:rsid w:val="004F1AB5"/>
    <w:rsid w:val="004F1D2A"/>
    <w:rsid w:val="00506C14"/>
    <w:rsid w:val="00512320"/>
    <w:rsid w:val="00526B5E"/>
    <w:rsid w:val="005503D9"/>
    <w:rsid w:val="00550881"/>
    <w:rsid w:val="005530C3"/>
    <w:rsid w:val="00553F90"/>
    <w:rsid w:val="005613C6"/>
    <w:rsid w:val="00563894"/>
    <w:rsid w:val="0056412E"/>
    <w:rsid w:val="0056543C"/>
    <w:rsid w:val="005731B7"/>
    <w:rsid w:val="00584824"/>
    <w:rsid w:val="00584B98"/>
    <w:rsid w:val="0058655F"/>
    <w:rsid w:val="00597A2D"/>
    <w:rsid w:val="005A2BB3"/>
    <w:rsid w:val="005A3A75"/>
    <w:rsid w:val="005A4A85"/>
    <w:rsid w:val="005B26F5"/>
    <w:rsid w:val="005B3E1A"/>
    <w:rsid w:val="005B46B7"/>
    <w:rsid w:val="005C34A1"/>
    <w:rsid w:val="005C3EF2"/>
    <w:rsid w:val="005C5685"/>
    <w:rsid w:val="005D155B"/>
    <w:rsid w:val="005D2CFE"/>
    <w:rsid w:val="005D2D7A"/>
    <w:rsid w:val="005E1A12"/>
    <w:rsid w:val="00607AA1"/>
    <w:rsid w:val="00634B93"/>
    <w:rsid w:val="006449F5"/>
    <w:rsid w:val="00644CC0"/>
    <w:rsid w:val="0064757E"/>
    <w:rsid w:val="00654927"/>
    <w:rsid w:val="00655755"/>
    <w:rsid w:val="00660334"/>
    <w:rsid w:val="0066165B"/>
    <w:rsid w:val="00664280"/>
    <w:rsid w:val="006746E8"/>
    <w:rsid w:val="0069608C"/>
    <w:rsid w:val="006B4D78"/>
    <w:rsid w:val="006B4EF9"/>
    <w:rsid w:val="006B59CC"/>
    <w:rsid w:val="006D7B38"/>
    <w:rsid w:val="006E3920"/>
    <w:rsid w:val="006E5BEE"/>
    <w:rsid w:val="006E789D"/>
    <w:rsid w:val="006F5FE6"/>
    <w:rsid w:val="007100CD"/>
    <w:rsid w:val="00711920"/>
    <w:rsid w:val="00711D5D"/>
    <w:rsid w:val="00716C9E"/>
    <w:rsid w:val="00722673"/>
    <w:rsid w:val="00722EA9"/>
    <w:rsid w:val="007254CC"/>
    <w:rsid w:val="007263E4"/>
    <w:rsid w:val="00745D18"/>
    <w:rsid w:val="007571EA"/>
    <w:rsid w:val="00757CC0"/>
    <w:rsid w:val="007711B0"/>
    <w:rsid w:val="00771914"/>
    <w:rsid w:val="00774E0D"/>
    <w:rsid w:val="00775A11"/>
    <w:rsid w:val="00781C80"/>
    <w:rsid w:val="0078423B"/>
    <w:rsid w:val="007856C8"/>
    <w:rsid w:val="00785CBB"/>
    <w:rsid w:val="00786550"/>
    <w:rsid w:val="007A12A6"/>
    <w:rsid w:val="007A5A05"/>
    <w:rsid w:val="007A5F05"/>
    <w:rsid w:val="007A5F23"/>
    <w:rsid w:val="007B3D66"/>
    <w:rsid w:val="007C21F1"/>
    <w:rsid w:val="007E7419"/>
    <w:rsid w:val="00800972"/>
    <w:rsid w:val="00807FF6"/>
    <w:rsid w:val="00815AEF"/>
    <w:rsid w:val="008254C9"/>
    <w:rsid w:val="00830E26"/>
    <w:rsid w:val="008568D5"/>
    <w:rsid w:val="00860BEC"/>
    <w:rsid w:val="00870F81"/>
    <w:rsid w:val="0087344A"/>
    <w:rsid w:val="0087352A"/>
    <w:rsid w:val="00885F5F"/>
    <w:rsid w:val="00886B86"/>
    <w:rsid w:val="008967BA"/>
    <w:rsid w:val="00897B52"/>
    <w:rsid w:val="008A4E98"/>
    <w:rsid w:val="008A539B"/>
    <w:rsid w:val="008A5768"/>
    <w:rsid w:val="008B63E9"/>
    <w:rsid w:val="008B66F8"/>
    <w:rsid w:val="008C7BAE"/>
    <w:rsid w:val="008D00E6"/>
    <w:rsid w:val="008E74B2"/>
    <w:rsid w:val="008F041D"/>
    <w:rsid w:val="008F4334"/>
    <w:rsid w:val="008F7267"/>
    <w:rsid w:val="00913FDA"/>
    <w:rsid w:val="00921528"/>
    <w:rsid w:val="00921922"/>
    <w:rsid w:val="00922E51"/>
    <w:rsid w:val="009238C5"/>
    <w:rsid w:val="009247A0"/>
    <w:rsid w:val="00931FF4"/>
    <w:rsid w:val="009338EA"/>
    <w:rsid w:val="00937CB4"/>
    <w:rsid w:val="00943F04"/>
    <w:rsid w:val="009449AE"/>
    <w:rsid w:val="00951C91"/>
    <w:rsid w:val="00961E37"/>
    <w:rsid w:val="00962EBC"/>
    <w:rsid w:val="00975097"/>
    <w:rsid w:val="00976D46"/>
    <w:rsid w:val="00981FA7"/>
    <w:rsid w:val="009844F9"/>
    <w:rsid w:val="0099476D"/>
    <w:rsid w:val="00997C92"/>
    <w:rsid w:val="009A4943"/>
    <w:rsid w:val="009A6CE3"/>
    <w:rsid w:val="009C4388"/>
    <w:rsid w:val="009C7387"/>
    <w:rsid w:val="009C74F2"/>
    <w:rsid w:val="009C7D32"/>
    <w:rsid w:val="009D4463"/>
    <w:rsid w:val="009D49C7"/>
    <w:rsid w:val="009D5084"/>
    <w:rsid w:val="009E0111"/>
    <w:rsid w:val="009E1DFF"/>
    <w:rsid w:val="009E2782"/>
    <w:rsid w:val="009E2952"/>
    <w:rsid w:val="009F161E"/>
    <w:rsid w:val="009F2CBE"/>
    <w:rsid w:val="00A00816"/>
    <w:rsid w:val="00A016DD"/>
    <w:rsid w:val="00A02037"/>
    <w:rsid w:val="00A06FEF"/>
    <w:rsid w:val="00A23F87"/>
    <w:rsid w:val="00A24B0B"/>
    <w:rsid w:val="00A25DAA"/>
    <w:rsid w:val="00A315E1"/>
    <w:rsid w:val="00A338C3"/>
    <w:rsid w:val="00A339F9"/>
    <w:rsid w:val="00A3785C"/>
    <w:rsid w:val="00A52D63"/>
    <w:rsid w:val="00A6002A"/>
    <w:rsid w:val="00A644D4"/>
    <w:rsid w:val="00A742C0"/>
    <w:rsid w:val="00A779DC"/>
    <w:rsid w:val="00A85FA9"/>
    <w:rsid w:val="00A9117B"/>
    <w:rsid w:val="00A92B2C"/>
    <w:rsid w:val="00AB0FAC"/>
    <w:rsid w:val="00AB43E7"/>
    <w:rsid w:val="00AB6CF2"/>
    <w:rsid w:val="00AC3985"/>
    <w:rsid w:val="00AC64F3"/>
    <w:rsid w:val="00AD1A2A"/>
    <w:rsid w:val="00AD6212"/>
    <w:rsid w:val="00AE1C43"/>
    <w:rsid w:val="00AE2E62"/>
    <w:rsid w:val="00AE64F0"/>
    <w:rsid w:val="00AF1580"/>
    <w:rsid w:val="00B02D21"/>
    <w:rsid w:val="00B15B51"/>
    <w:rsid w:val="00B16D68"/>
    <w:rsid w:val="00B3400C"/>
    <w:rsid w:val="00B664BB"/>
    <w:rsid w:val="00B70526"/>
    <w:rsid w:val="00B72EED"/>
    <w:rsid w:val="00B91C39"/>
    <w:rsid w:val="00BA2B75"/>
    <w:rsid w:val="00BA30C6"/>
    <w:rsid w:val="00BA7DA1"/>
    <w:rsid w:val="00BB1836"/>
    <w:rsid w:val="00BB4600"/>
    <w:rsid w:val="00BC5E2E"/>
    <w:rsid w:val="00BE5BB2"/>
    <w:rsid w:val="00C10479"/>
    <w:rsid w:val="00C139B8"/>
    <w:rsid w:val="00C15F67"/>
    <w:rsid w:val="00C24EA6"/>
    <w:rsid w:val="00C31072"/>
    <w:rsid w:val="00C33AAF"/>
    <w:rsid w:val="00C57ECB"/>
    <w:rsid w:val="00C665E0"/>
    <w:rsid w:val="00C71EFA"/>
    <w:rsid w:val="00C76836"/>
    <w:rsid w:val="00C84427"/>
    <w:rsid w:val="00CA4B9A"/>
    <w:rsid w:val="00CC18B8"/>
    <w:rsid w:val="00CC3F85"/>
    <w:rsid w:val="00CC4765"/>
    <w:rsid w:val="00CC64B0"/>
    <w:rsid w:val="00CE39FF"/>
    <w:rsid w:val="00CF1B1A"/>
    <w:rsid w:val="00CF58BD"/>
    <w:rsid w:val="00CF67B6"/>
    <w:rsid w:val="00CF7AA4"/>
    <w:rsid w:val="00D04368"/>
    <w:rsid w:val="00D14F20"/>
    <w:rsid w:val="00D24316"/>
    <w:rsid w:val="00D3103F"/>
    <w:rsid w:val="00D40B56"/>
    <w:rsid w:val="00D4695C"/>
    <w:rsid w:val="00D5373A"/>
    <w:rsid w:val="00D5643A"/>
    <w:rsid w:val="00D71087"/>
    <w:rsid w:val="00D71794"/>
    <w:rsid w:val="00D75051"/>
    <w:rsid w:val="00D77402"/>
    <w:rsid w:val="00D86268"/>
    <w:rsid w:val="00D975B2"/>
    <w:rsid w:val="00DB1C2C"/>
    <w:rsid w:val="00DB3F51"/>
    <w:rsid w:val="00DC6F1B"/>
    <w:rsid w:val="00DC7F07"/>
    <w:rsid w:val="00E1743F"/>
    <w:rsid w:val="00E2307E"/>
    <w:rsid w:val="00E271CE"/>
    <w:rsid w:val="00E2780A"/>
    <w:rsid w:val="00E34D35"/>
    <w:rsid w:val="00E43671"/>
    <w:rsid w:val="00E5507D"/>
    <w:rsid w:val="00E57665"/>
    <w:rsid w:val="00E62B4B"/>
    <w:rsid w:val="00E67431"/>
    <w:rsid w:val="00E837D9"/>
    <w:rsid w:val="00E86D77"/>
    <w:rsid w:val="00E87708"/>
    <w:rsid w:val="00E87BB3"/>
    <w:rsid w:val="00E93989"/>
    <w:rsid w:val="00E95072"/>
    <w:rsid w:val="00E97638"/>
    <w:rsid w:val="00EC38A6"/>
    <w:rsid w:val="00ED0CF9"/>
    <w:rsid w:val="00ED59B1"/>
    <w:rsid w:val="00EE402C"/>
    <w:rsid w:val="00EF68C8"/>
    <w:rsid w:val="00F047C7"/>
    <w:rsid w:val="00F064B6"/>
    <w:rsid w:val="00F1387C"/>
    <w:rsid w:val="00F34F20"/>
    <w:rsid w:val="00F46C5C"/>
    <w:rsid w:val="00F51E44"/>
    <w:rsid w:val="00F56C8E"/>
    <w:rsid w:val="00F57693"/>
    <w:rsid w:val="00F64925"/>
    <w:rsid w:val="00F65DD2"/>
    <w:rsid w:val="00F66052"/>
    <w:rsid w:val="00F734F9"/>
    <w:rsid w:val="00F7399E"/>
    <w:rsid w:val="00F86679"/>
    <w:rsid w:val="00FB3B2E"/>
    <w:rsid w:val="00FB6F12"/>
    <w:rsid w:val="00FB6F87"/>
    <w:rsid w:val="00FC1F9B"/>
    <w:rsid w:val="00FC387E"/>
    <w:rsid w:val="00FD601A"/>
    <w:rsid w:val="00FF5E6A"/>
    <w:rsid w:val="021939DC"/>
    <w:rsid w:val="0AD446B5"/>
    <w:rsid w:val="1D94C364"/>
    <w:rsid w:val="2C082661"/>
    <w:rsid w:val="2F006889"/>
    <w:rsid w:val="3AD51F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970ED"/>
  <w15:chartTrackingRefBased/>
  <w15:docId w15:val="{3FCCA016-E526-42C1-9E45-447160F1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9844F9"/>
    <w:pPr>
      <w:spacing w:line="288" w:lineRule="auto"/>
    </w:pPr>
    <w:rPr>
      <w:rFonts w:ascii="Arial" w:hAnsi="Arial" w:cs="Arial"/>
      <w:noProof/>
      <w:sz w:val="20"/>
      <w:szCs w:val="20"/>
      <w:shd w:val="clear" w:color="auto" w:fill="FFFFFF"/>
      <w:lang w:val="de-AT" w:eastAsia="de-DE"/>
    </w:rPr>
  </w:style>
  <w:style w:type="paragraph" w:styleId="Nadpis1">
    <w:name w:val="heading 1"/>
    <w:basedOn w:val="Nzev"/>
    <w:next w:val="Normln"/>
    <w:link w:val="Nadpis1Char"/>
    <w:uiPriority w:val="9"/>
    <w:qFormat/>
    <w:rsid w:val="002B7D0C"/>
    <w:pPr>
      <w:outlineLvl w:val="0"/>
    </w:pPr>
    <w:rPr>
      <w:sz w:val="56"/>
      <w:szCs w:val="56"/>
    </w:rPr>
  </w:style>
  <w:style w:type="paragraph" w:styleId="Nadpis2">
    <w:name w:val="heading 2"/>
    <w:basedOn w:val="Normln"/>
    <w:next w:val="Normln"/>
    <w:link w:val="Nadpis2Char"/>
    <w:uiPriority w:val="9"/>
    <w:unhideWhenUsed/>
    <w:qFormat/>
    <w:rsid w:val="002B7D0C"/>
    <w:pPr>
      <w:keepNext/>
      <w:keepLines/>
      <w:spacing w:before="40" w:after="120"/>
      <w:outlineLvl w:val="1"/>
    </w:pPr>
    <w:rPr>
      <w:rFonts w:eastAsiaTheme="majorEastAsia" w:cstheme="majorBidi"/>
      <w:b/>
      <w:bCs/>
      <w:color w:val="00497B"/>
      <w:sz w:val="40"/>
      <w:szCs w:val="40"/>
    </w:rPr>
  </w:style>
  <w:style w:type="paragraph" w:styleId="Nadpis3">
    <w:name w:val="heading 3"/>
    <w:basedOn w:val="Nadpis2"/>
    <w:next w:val="Normln"/>
    <w:link w:val="Nadpis3Char"/>
    <w:uiPriority w:val="9"/>
    <w:unhideWhenUsed/>
    <w:qFormat/>
    <w:rsid w:val="002B7D0C"/>
    <w:pPr>
      <w:outlineLvl w:val="2"/>
    </w:pPr>
    <w:rPr>
      <w:sz w:val="32"/>
      <w:szCs w:val="32"/>
    </w:rPr>
  </w:style>
  <w:style w:type="paragraph" w:styleId="Nadpis4">
    <w:name w:val="heading 4"/>
    <w:basedOn w:val="Nadpis3"/>
    <w:next w:val="Normln"/>
    <w:link w:val="Nadpis4Char"/>
    <w:uiPriority w:val="9"/>
    <w:unhideWhenUsed/>
    <w:qFormat/>
    <w:rsid w:val="002B7D0C"/>
    <w:p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qFormat/>
    <w:rsid w:val="00553F90"/>
    <w:rPr>
      <w:rFonts w:eastAsia="Arial"/>
      <w:color w:val="00497C"/>
      <w:sz w:val="14"/>
      <w:szCs w:val="14"/>
      <w:u w:val="single"/>
      <w:shd w:val="clear" w:color="auto" w:fill="auto"/>
    </w:rPr>
  </w:style>
  <w:style w:type="paragraph" w:styleId="Zhlav">
    <w:name w:val="header"/>
    <w:basedOn w:val="Normln"/>
    <w:link w:val="ZhlavChar"/>
    <w:uiPriority w:val="99"/>
    <w:unhideWhenUsed/>
    <w:rsid w:val="00897B52"/>
    <w:pPr>
      <w:tabs>
        <w:tab w:val="center" w:pos="4536"/>
        <w:tab w:val="right" w:pos="9072"/>
      </w:tabs>
    </w:pPr>
  </w:style>
  <w:style w:type="character" w:customStyle="1" w:styleId="ZhlavChar">
    <w:name w:val="Záhlaví Char"/>
    <w:basedOn w:val="Standardnpsmoodstavce"/>
    <w:link w:val="Zhlav"/>
    <w:uiPriority w:val="99"/>
    <w:rsid w:val="00897B52"/>
    <w:rPr>
      <w:noProof/>
      <w:lang w:val="de-AT"/>
    </w:rPr>
  </w:style>
  <w:style w:type="paragraph" w:styleId="Zpat">
    <w:name w:val="footer"/>
    <w:basedOn w:val="Normln"/>
    <w:link w:val="ZpatChar"/>
    <w:uiPriority w:val="99"/>
    <w:unhideWhenUsed/>
    <w:rsid w:val="00897B52"/>
    <w:pPr>
      <w:tabs>
        <w:tab w:val="center" w:pos="4536"/>
        <w:tab w:val="right" w:pos="9072"/>
      </w:tabs>
    </w:pPr>
  </w:style>
  <w:style w:type="character" w:customStyle="1" w:styleId="ZpatChar">
    <w:name w:val="Zápatí Char"/>
    <w:basedOn w:val="Standardnpsmoodstavce"/>
    <w:link w:val="Zpat"/>
    <w:uiPriority w:val="99"/>
    <w:rsid w:val="00897B52"/>
    <w:rPr>
      <w:noProof/>
      <w:lang w:val="de-AT"/>
    </w:rPr>
  </w:style>
  <w:style w:type="paragraph" w:styleId="Nzev">
    <w:name w:val="Title"/>
    <w:basedOn w:val="Normln"/>
    <w:next w:val="Normln"/>
    <w:link w:val="NzevChar"/>
    <w:uiPriority w:val="10"/>
    <w:qFormat/>
    <w:rsid w:val="00224C8A"/>
    <w:pPr>
      <w:tabs>
        <w:tab w:val="left" w:pos="4067"/>
      </w:tabs>
    </w:pPr>
    <w:rPr>
      <w:b/>
      <w:bCs/>
      <w:color w:val="00497B"/>
      <w:sz w:val="50"/>
      <w:szCs w:val="50"/>
    </w:rPr>
  </w:style>
  <w:style w:type="character" w:customStyle="1" w:styleId="NzevChar">
    <w:name w:val="Název Char"/>
    <w:basedOn w:val="Standardnpsmoodstavce"/>
    <w:link w:val="Nzev"/>
    <w:uiPriority w:val="10"/>
    <w:rsid w:val="00224C8A"/>
    <w:rPr>
      <w:rFonts w:ascii="Arial" w:hAnsi="Arial" w:cs="Arial"/>
      <w:b/>
      <w:bCs/>
      <w:noProof/>
      <w:color w:val="00497B"/>
      <w:sz w:val="50"/>
      <w:szCs w:val="50"/>
      <w:lang w:val="de-AT"/>
    </w:rPr>
  </w:style>
  <w:style w:type="character" w:customStyle="1" w:styleId="Nadpis2Char">
    <w:name w:val="Nadpis 2 Char"/>
    <w:basedOn w:val="Standardnpsmoodstavce"/>
    <w:link w:val="Nadpis2"/>
    <w:uiPriority w:val="9"/>
    <w:rsid w:val="002B7D0C"/>
    <w:rPr>
      <w:rFonts w:ascii="Arial" w:eastAsiaTheme="majorEastAsia" w:hAnsi="Arial" w:cstheme="majorBidi"/>
      <w:b/>
      <w:bCs/>
      <w:noProof/>
      <w:color w:val="00497B"/>
      <w:sz w:val="40"/>
      <w:szCs w:val="40"/>
      <w:lang w:val="de-AT" w:eastAsia="de-DE"/>
    </w:rPr>
  </w:style>
  <w:style w:type="character" w:customStyle="1" w:styleId="Nadpis1Char">
    <w:name w:val="Nadpis 1 Char"/>
    <w:basedOn w:val="Standardnpsmoodstavce"/>
    <w:link w:val="Nadpis1"/>
    <w:uiPriority w:val="9"/>
    <w:rsid w:val="002B7D0C"/>
    <w:rPr>
      <w:rFonts w:ascii="Arial" w:hAnsi="Arial" w:cs="Arial"/>
      <w:b/>
      <w:bCs/>
      <w:noProof/>
      <w:color w:val="00497B"/>
      <w:sz w:val="56"/>
      <w:szCs w:val="56"/>
      <w:lang w:val="de-AT" w:eastAsia="de-DE"/>
    </w:rPr>
  </w:style>
  <w:style w:type="character" w:customStyle="1" w:styleId="Nadpis3Char">
    <w:name w:val="Nadpis 3 Char"/>
    <w:basedOn w:val="Standardnpsmoodstavce"/>
    <w:link w:val="Nadpis3"/>
    <w:uiPriority w:val="9"/>
    <w:rsid w:val="002B7D0C"/>
    <w:rPr>
      <w:rFonts w:ascii="Arial" w:eastAsiaTheme="majorEastAsia" w:hAnsi="Arial" w:cstheme="majorBidi"/>
      <w:b/>
      <w:bCs/>
      <w:noProof/>
      <w:color w:val="00497B"/>
      <w:sz w:val="32"/>
      <w:szCs w:val="32"/>
      <w:lang w:val="de-AT" w:eastAsia="de-DE"/>
    </w:rPr>
  </w:style>
  <w:style w:type="paragraph" w:customStyle="1" w:styleId="berschrift3mitHintergrund">
    <w:name w:val="Überschrift 3 mit Hintergrund"/>
    <w:basedOn w:val="Nadpis3"/>
    <w:qFormat/>
    <w:rsid w:val="00E57665"/>
    <w:pPr>
      <w:shd w:val="clear" w:color="auto" w:fill="A3C0D7"/>
    </w:pPr>
  </w:style>
  <w:style w:type="paragraph" w:styleId="Vrazncitt">
    <w:name w:val="Intense Quote"/>
    <w:basedOn w:val="Normln"/>
    <w:next w:val="Normln"/>
    <w:link w:val="VrazncittChar"/>
    <w:uiPriority w:val="30"/>
    <w:qFormat/>
    <w:rsid w:val="00E576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E57665"/>
    <w:rPr>
      <w:rFonts w:ascii="Arial" w:hAnsi="Arial" w:cs="Arial"/>
      <w:i/>
      <w:iCs/>
      <w:noProof/>
      <w:color w:val="4472C4" w:themeColor="accent1"/>
      <w:sz w:val="20"/>
      <w:szCs w:val="20"/>
      <w:lang w:val="de-AT" w:eastAsia="de-DE"/>
    </w:rPr>
  </w:style>
  <w:style w:type="paragraph" w:styleId="Odstavecseseznamem">
    <w:name w:val="List Paragraph"/>
    <w:basedOn w:val="Normln"/>
    <w:uiPriority w:val="34"/>
    <w:qFormat/>
    <w:rsid w:val="00AC3985"/>
    <w:pPr>
      <w:numPr>
        <w:numId w:val="13"/>
      </w:numPr>
      <w:ind w:right="986"/>
      <w:contextualSpacing/>
    </w:pPr>
    <w:rPr>
      <w:sz w:val="24"/>
      <w:szCs w:val="24"/>
    </w:rPr>
  </w:style>
  <w:style w:type="table" w:styleId="Mkatabulky">
    <w:name w:val="Table Grid"/>
    <w:basedOn w:val="Normlntabulka"/>
    <w:uiPriority w:val="39"/>
    <w:rsid w:val="002B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2B7D0C"/>
    <w:rPr>
      <w:rFonts w:ascii="Arial" w:eastAsiaTheme="majorEastAsia" w:hAnsi="Arial" w:cstheme="majorBidi"/>
      <w:b/>
      <w:bCs/>
      <w:noProof/>
      <w:color w:val="00497B"/>
      <w:lang w:val="de-AT" w:eastAsia="de-DE"/>
    </w:rPr>
  </w:style>
  <w:style w:type="character" w:styleId="Nevyeenzmnka">
    <w:name w:val="Unresolved Mention"/>
    <w:basedOn w:val="Standardnpsmoodstavce"/>
    <w:uiPriority w:val="99"/>
    <w:rsid w:val="005A4A85"/>
    <w:rPr>
      <w:color w:val="605E5C"/>
      <w:shd w:val="clear" w:color="auto" w:fill="E1DFDD"/>
    </w:rPr>
  </w:style>
  <w:style w:type="paragraph" w:customStyle="1" w:styleId="Aufzhlung">
    <w:name w:val="Aufzählung"/>
    <w:basedOn w:val="Normln"/>
    <w:uiPriority w:val="1"/>
    <w:qFormat/>
    <w:rsid w:val="00E67431"/>
    <w:pPr>
      <w:spacing w:line="320" w:lineRule="atLeast"/>
      <w:jc w:val="both"/>
    </w:pPr>
    <w:rPr>
      <w:rFonts w:ascii="Helvetica" w:eastAsia="Helvetica" w:hAnsi="Helvetica" w:cs="Helvetica"/>
      <w:noProof w:val="0"/>
      <w:sz w:val="24"/>
      <w:szCs w:val="24"/>
      <w:shd w:val="clear" w:color="auto" w:fill="auto"/>
      <w:lang w:eastAsia="de-AT" w:bidi="de-AT"/>
      <w14:ligatures w14:val="standardContextual"/>
    </w:rPr>
  </w:style>
  <w:style w:type="paragraph" w:styleId="Textkomente">
    <w:name w:val="annotation text"/>
    <w:basedOn w:val="Normln"/>
    <w:link w:val="TextkomenteChar"/>
    <w:uiPriority w:val="99"/>
    <w:semiHidden/>
    <w:unhideWhenUsed/>
    <w:rsid w:val="00E67431"/>
    <w:pPr>
      <w:spacing w:line="240" w:lineRule="auto"/>
    </w:pPr>
    <w:rPr>
      <w:rFonts w:eastAsia="Calibri" w:cs="Times New Roman"/>
      <w:noProof w:val="0"/>
      <w:shd w:val="clear" w:color="auto" w:fill="auto"/>
      <w:lang w:eastAsia="en-US"/>
    </w:rPr>
  </w:style>
  <w:style w:type="character" w:customStyle="1" w:styleId="TextkomenteChar">
    <w:name w:val="Text komentáře Char"/>
    <w:basedOn w:val="Standardnpsmoodstavce"/>
    <w:link w:val="Textkomente"/>
    <w:uiPriority w:val="99"/>
    <w:semiHidden/>
    <w:rsid w:val="00E67431"/>
    <w:rPr>
      <w:rFonts w:ascii="Arial" w:eastAsia="Calibri" w:hAnsi="Arial" w:cs="Times New Roman"/>
      <w:sz w:val="20"/>
      <w:szCs w:val="20"/>
      <w:lang w:val="de-AT"/>
    </w:rPr>
  </w:style>
  <w:style w:type="character" w:styleId="Siln">
    <w:name w:val="Strong"/>
    <w:basedOn w:val="Standardnpsmoodstavce"/>
    <w:uiPriority w:val="22"/>
    <w:qFormat/>
    <w:rsid w:val="0069608C"/>
    <w:rPr>
      <w:b/>
      <w:bCs/>
    </w:rPr>
  </w:style>
  <w:style w:type="character" w:styleId="Sledovanodkaz">
    <w:name w:val="FollowedHyperlink"/>
    <w:basedOn w:val="Hypertextovodkaz"/>
    <w:uiPriority w:val="99"/>
    <w:unhideWhenUsed/>
    <w:rsid w:val="00553F90"/>
    <w:rPr>
      <w:rFonts w:eastAsia="Arial"/>
      <w:color w:val="00497C"/>
      <w:sz w:val="14"/>
      <w:szCs w:val="14"/>
      <w:u w:val="single"/>
      <w:shd w:val="clear" w:color="auto" w:fill="auto"/>
    </w:rPr>
  </w:style>
  <w:style w:type="character" w:styleId="Odkaznakoment">
    <w:name w:val="annotation reference"/>
    <w:basedOn w:val="Standardnpsmoodstavce"/>
    <w:uiPriority w:val="99"/>
    <w:semiHidden/>
    <w:unhideWhenUsed/>
    <w:rsid w:val="00553F90"/>
    <w:rPr>
      <w:sz w:val="16"/>
      <w:szCs w:val="16"/>
    </w:rPr>
  </w:style>
  <w:style w:type="paragraph" w:styleId="Datum">
    <w:name w:val="Date"/>
    <w:basedOn w:val="Normln"/>
    <w:next w:val="Normln"/>
    <w:link w:val="DatumChar"/>
    <w:autoRedefine/>
    <w:uiPriority w:val="99"/>
    <w:unhideWhenUsed/>
    <w:rsid w:val="00711920"/>
    <w:pPr>
      <w:ind w:left="567"/>
    </w:pPr>
    <w:rPr>
      <w:color w:val="00497B"/>
      <w:shd w:val="clear" w:color="auto" w:fill="auto"/>
    </w:rPr>
  </w:style>
  <w:style w:type="character" w:customStyle="1" w:styleId="DatumChar">
    <w:name w:val="Datum Char"/>
    <w:basedOn w:val="Standardnpsmoodstavce"/>
    <w:link w:val="Datum"/>
    <w:uiPriority w:val="99"/>
    <w:rsid w:val="00711920"/>
    <w:rPr>
      <w:rFonts w:ascii="Arial" w:hAnsi="Arial" w:cs="Arial"/>
      <w:noProof/>
      <w:color w:val="00497B"/>
      <w:sz w:val="20"/>
      <w:szCs w:val="20"/>
      <w:lang w:val="de-AT" w:eastAsia="de-DE"/>
    </w:rPr>
  </w:style>
  <w:style w:type="paragraph" w:customStyle="1" w:styleId="Zitat1">
    <w:name w:val="Zitat1"/>
    <w:basedOn w:val="Normln"/>
    <w:qFormat/>
    <w:rsid w:val="00745D18"/>
    <w:pPr>
      <w:spacing w:line="312" w:lineRule="auto"/>
      <w:ind w:left="459" w:right="312"/>
    </w:pPr>
    <w:rPr>
      <w:i/>
      <w:iCs/>
      <w:color w:val="00497C"/>
      <w:shd w:val="clear" w:color="auto" w:fill="auto"/>
    </w:rPr>
  </w:style>
  <w:style w:type="paragraph" w:customStyle="1" w:styleId="QuoteIn-Text">
    <w:name w:val="Quote In-Text"/>
    <w:basedOn w:val="Normln"/>
    <w:next w:val="Normln"/>
    <w:link w:val="QuoteIn-TextZchn"/>
    <w:qFormat/>
    <w:rsid w:val="00AC3985"/>
    <w:rPr>
      <w:i/>
      <w:iCs/>
      <w:color w:val="000000" w:themeColor="text1"/>
      <w:shd w:val="clear" w:color="auto" w:fill="auto"/>
    </w:rPr>
  </w:style>
  <w:style w:type="character" w:customStyle="1" w:styleId="QuoteIn-TextZchn">
    <w:name w:val="Quote In-Text Zchn"/>
    <w:basedOn w:val="Standardnpsmoodstavce"/>
    <w:link w:val="QuoteIn-Text"/>
    <w:rsid w:val="00AC3985"/>
    <w:rPr>
      <w:rFonts w:ascii="Arial" w:hAnsi="Arial" w:cs="Arial"/>
      <w:i/>
      <w:iCs/>
      <w:noProof/>
      <w:color w:val="000000" w:themeColor="text1"/>
      <w:sz w:val="20"/>
      <w:szCs w:val="20"/>
      <w:lang w:val="de-AT" w:eastAsia="de-DE"/>
    </w:rPr>
  </w:style>
  <w:style w:type="paragraph" w:customStyle="1" w:styleId="Default">
    <w:name w:val="Default"/>
    <w:rsid w:val="005503D9"/>
    <w:pPr>
      <w:autoSpaceDE w:val="0"/>
      <w:autoSpaceDN w:val="0"/>
      <w:adjustRightInd w:val="0"/>
    </w:pPr>
    <w:rPr>
      <w:rFonts w:ascii="Arial" w:hAnsi="Arial" w:cs="Arial"/>
      <w:color w:val="000000"/>
    </w:rPr>
  </w:style>
  <w:style w:type="paragraph" w:customStyle="1" w:styleId="Externer-Hyperlink">
    <w:name w:val="Externer-Hyperlink"/>
    <w:basedOn w:val="Normln"/>
    <w:qFormat/>
    <w:rsid w:val="005C34A1"/>
    <w:rPr>
      <w:b/>
      <w:bCs/>
      <w:color w:val="00497C"/>
      <w:u w:val="single"/>
    </w:rPr>
  </w:style>
  <w:style w:type="paragraph" w:customStyle="1" w:styleId="Credits">
    <w:name w:val="Credits"/>
    <w:basedOn w:val="Normln"/>
    <w:qFormat/>
    <w:rsid w:val="005C34A1"/>
    <w:rPr>
      <w:sz w:val="16"/>
      <w:szCs w:val="16"/>
    </w:rPr>
  </w:style>
  <w:style w:type="paragraph" w:customStyle="1" w:styleId="berschrift-Kopfzeile">
    <w:name w:val="Überschrift-Kopfzeile"/>
    <w:basedOn w:val="Nadpis3"/>
    <w:qFormat/>
    <w:rsid w:val="00584B98"/>
    <w:pPr>
      <w:spacing w:after="40"/>
      <w:ind w:left="567" w:right="556"/>
    </w:pPr>
    <w:rPr>
      <w:shd w:val="clear" w:color="auto" w:fill="auto"/>
    </w:rPr>
  </w:style>
  <w:style w:type="paragraph" w:customStyle="1" w:styleId="ListenabsatzFliesstext">
    <w:name w:val="Listenabsatz Fliesstext"/>
    <w:basedOn w:val="Odstavecseseznamem"/>
    <w:qFormat/>
    <w:rsid w:val="00AC3985"/>
    <w:rPr>
      <w:sz w:val="20"/>
      <w:szCs w:val="20"/>
    </w:rPr>
  </w:style>
  <w:style w:type="paragraph" w:styleId="Bezmezer">
    <w:name w:val="No Spacing"/>
    <w:uiPriority w:val="1"/>
    <w:qFormat/>
    <w:rsid w:val="00A23F87"/>
    <w:rPr>
      <w:rFonts w:ascii="Arial" w:eastAsia="Calibri" w:hAnsi="Arial" w:cs="Times New Roman"/>
      <w:sz w:val="22"/>
      <w:szCs w:val="22"/>
      <w:lang w:val="de-AT"/>
    </w:rPr>
  </w:style>
  <w:style w:type="paragraph" w:customStyle="1" w:styleId="Info">
    <w:name w:val="Info"/>
    <w:basedOn w:val="Normln"/>
    <w:uiPriority w:val="11"/>
    <w:qFormat/>
    <w:rsid w:val="001D07BC"/>
    <w:pPr>
      <w:spacing w:line="169" w:lineRule="exact"/>
    </w:pPr>
    <w:rPr>
      <w:rFonts w:asciiTheme="minorHAnsi" w:hAnsiTheme="minorHAnsi" w:cstheme="minorBidi"/>
      <w:noProof w:val="0"/>
      <w:color w:val="000000" w:themeColor="text1"/>
      <w:sz w:val="13"/>
      <w:szCs w:val="22"/>
      <w:shd w:val="clear" w:color="auto" w:fill="auto"/>
      <w:lang w:val="en-GB" w:eastAsia="en-US"/>
    </w:rPr>
  </w:style>
  <w:style w:type="character" w:customStyle="1" w:styleId="FettimText">
    <w:name w:val="Fett im Text"/>
    <w:basedOn w:val="Standardnpsmoodstavce"/>
    <w:rsid w:val="001E3A94"/>
    <w:rPr>
      <w:rFonts w:ascii="Arial" w:hAnsi="Arial"/>
      <w:b/>
      <w:sz w:val="17"/>
    </w:rPr>
  </w:style>
  <w:style w:type="character" w:styleId="Zstupntext">
    <w:name w:val="Placeholder Text"/>
    <w:basedOn w:val="Standardnpsmoodstavce"/>
    <w:uiPriority w:val="99"/>
    <w:semiHidden/>
    <w:rsid w:val="00CC64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482">
      <w:bodyDiv w:val="1"/>
      <w:marLeft w:val="0"/>
      <w:marRight w:val="0"/>
      <w:marTop w:val="0"/>
      <w:marBottom w:val="0"/>
      <w:divBdr>
        <w:top w:val="none" w:sz="0" w:space="0" w:color="auto"/>
        <w:left w:val="none" w:sz="0" w:space="0" w:color="auto"/>
        <w:bottom w:val="none" w:sz="0" w:space="0" w:color="auto"/>
        <w:right w:val="none" w:sz="0" w:space="0" w:color="auto"/>
      </w:divBdr>
    </w:div>
    <w:div w:id="158086030">
      <w:bodyDiv w:val="1"/>
      <w:marLeft w:val="0"/>
      <w:marRight w:val="0"/>
      <w:marTop w:val="0"/>
      <w:marBottom w:val="0"/>
      <w:divBdr>
        <w:top w:val="none" w:sz="0" w:space="0" w:color="auto"/>
        <w:left w:val="none" w:sz="0" w:space="0" w:color="auto"/>
        <w:bottom w:val="none" w:sz="0" w:space="0" w:color="auto"/>
        <w:right w:val="none" w:sz="0" w:space="0" w:color="auto"/>
      </w:divBdr>
    </w:div>
    <w:div w:id="174882318">
      <w:bodyDiv w:val="1"/>
      <w:marLeft w:val="0"/>
      <w:marRight w:val="0"/>
      <w:marTop w:val="0"/>
      <w:marBottom w:val="0"/>
      <w:divBdr>
        <w:top w:val="none" w:sz="0" w:space="0" w:color="auto"/>
        <w:left w:val="none" w:sz="0" w:space="0" w:color="auto"/>
        <w:bottom w:val="none" w:sz="0" w:space="0" w:color="auto"/>
        <w:right w:val="none" w:sz="0" w:space="0" w:color="auto"/>
      </w:divBdr>
      <w:divsChild>
        <w:div w:id="1659383571">
          <w:marLeft w:val="0"/>
          <w:marRight w:val="0"/>
          <w:marTop w:val="0"/>
          <w:marBottom w:val="0"/>
          <w:divBdr>
            <w:top w:val="none" w:sz="0" w:space="0" w:color="auto"/>
            <w:left w:val="none" w:sz="0" w:space="0" w:color="auto"/>
            <w:bottom w:val="none" w:sz="0" w:space="0" w:color="auto"/>
            <w:right w:val="none" w:sz="0" w:space="0" w:color="auto"/>
          </w:divBdr>
        </w:div>
      </w:divsChild>
    </w:div>
    <w:div w:id="198008732">
      <w:bodyDiv w:val="1"/>
      <w:marLeft w:val="0"/>
      <w:marRight w:val="0"/>
      <w:marTop w:val="0"/>
      <w:marBottom w:val="0"/>
      <w:divBdr>
        <w:top w:val="none" w:sz="0" w:space="0" w:color="auto"/>
        <w:left w:val="none" w:sz="0" w:space="0" w:color="auto"/>
        <w:bottom w:val="none" w:sz="0" w:space="0" w:color="auto"/>
        <w:right w:val="none" w:sz="0" w:space="0" w:color="auto"/>
      </w:divBdr>
    </w:div>
    <w:div w:id="446706568">
      <w:bodyDiv w:val="1"/>
      <w:marLeft w:val="0"/>
      <w:marRight w:val="0"/>
      <w:marTop w:val="0"/>
      <w:marBottom w:val="0"/>
      <w:divBdr>
        <w:top w:val="none" w:sz="0" w:space="0" w:color="auto"/>
        <w:left w:val="none" w:sz="0" w:space="0" w:color="auto"/>
        <w:bottom w:val="none" w:sz="0" w:space="0" w:color="auto"/>
        <w:right w:val="none" w:sz="0" w:space="0" w:color="auto"/>
      </w:divBdr>
    </w:div>
    <w:div w:id="532963368">
      <w:bodyDiv w:val="1"/>
      <w:marLeft w:val="0"/>
      <w:marRight w:val="0"/>
      <w:marTop w:val="0"/>
      <w:marBottom w:val="0"/>
      <w:divBdr>
        <w:top w:val="none" w:sz="0" w:space="0" w:color="auto"/>
        <w:left w:val="none" w:sz="0" w:space="0" w:color="auto"/>
        <w:bottom w:val="none" w:sz="0" w:space="0" w:color="auto"/>
        <w:right w:val="none" w:sz="0" w:space="0" w:color="auto"/>
      </w:divBdr>
    </w:div>
    <w:div w:id="579875465">
      <w:bodyDiv w:val="1"/>
      <w:marLeft w:val="0"/>
      <w:marRight w:val="0"/>
      <w:marTop w:val="0"/>
      <w:marBottom w:val="0"/>
      <w:divBdr>
        <w:top w:val="none" w:sz="0" w:space="0" w:color="auto"/>
        <w:left w:val="none" w:sz="0" w:space="0" w:color="auto"/>
        <w:bottom w:val="none" w:sz="0" w:space="0" w:color="auto"/>
        <w:right w:val="none" w:sz="0" w:space="0" w:color="auto"/>
      </w:divBdr>
    </w:div>
    <w:div w:id="810901684">
      <w:bodyDiv w:val="1"/>
      <w:marLeft w:val="0"/>
      <w:marRight w:val="0"/>
      <w:marTop w:val="0"/>
      <w:marBottom w:val="0"/>
      <w:divBdr>
        <w:top w:val="none" w:sz="0" w:space="0" w:color="auto"/>
        <w:left w:val="none" w:sz="0" w:space="0" w:color="auto"/>
        <w:bottom w:val="none" w:sz="0" w:space="0" w:color="auto"/>
        <w:right w:val="none" w:sz="0" w:space="0" w:color="auto"/>
      </w:divBdr>
    </w:div>
    <w:div w:id="833105308">
      <w:bodyDiv w:val="1"/>
      <w:marLeft w:val="0"/>
      <w:marRight w:val="0"/>
      <w:marTop w:val="0"/>
      <w:marBottom w:val="0"/>
      <w:divBdr>
        <w:top w:val="none" w:sz="0" w:space="0" w:color="auto"/>
        <w:left w:val="none" w:sz="0" w:space="0" w:color="auto"/>
        <w:bottom w:val="none" w:sz="0" w:space="0" w:color="auto"/>
        <w:right w:val="none" w:sz="0" w:space="0" w:color="auto"/>
      </w:divBdr>
    </w:div>
    <w:div w:id="850293339">
      <w:bodyDiv w:val="1"/>
      <w:marLeft w:val="0"/>
      <w:marRight w:val="0"/>
      <w:marTop w:val="0"/>
      <w:marBottom w:val="0"/>
      <w:divBdr>
        <w:top w:val="none" w:sz="0" w:space="0" w:color="auto"/>
        <w:left w:val="none" w:sz="0" w:space="0" w:color="auto"/>
        <w:bottom w:val="none" w:sz="0" w:space="0" w:color="auto"/>
        <w:right w:val="none" w:sz="0" w:space="0" w:color="auto"/>
      </w:divBdr>
    </w:div>
    <w:div w:id="870607147">
      <w:bodyDiv w:val="1"/>
      <w:marLeft w:val="0"/>
      <w:marRight w:val="0"/>
      <w:marTop w:val="0"/>
      <w:marBottom w:val="0"/>
      <w:divBdr>
        <w:top w:val="none" w:sz="0" w:space="0" w:color="auto"/>
        <w:left w:val="none" w:sz="0" w:space="0" w:color="auto"/>
        <w:bottom w:val="none" w:sz="0" w:space="0" w:color="auto"/>
        <w:right w:val="none" w:sz="0" w:space="0" w:color="auto"/>
      </w:divBdr>
    </w:div>
    <w:div w:id="885874511">
      <w:bodyDiv w:val="1"/>
      <w:marLeft w:val="0"/>
      <w:marRight w:val="0"/>
      <w:marTop w:val="0"/>
      <w:marBottom w:val="0"/>
      <w:divBdr>
        <w:top w:val="none" w:sz="0" w:space="0" w:color="auto"/>
        <w:left w:val="none" w:sz="0" w:space="0" w:color="auto"/>
        <w:bottom w:val="none" w:sz="0" w:space="0" w:color="auto"/>
        <w:right w:val="none" w:sz="0" w:space="0" w:color="auto"/>
      </w:divBdr>
    </w:div>
    <w:div w:id="998004098">
      <w:bodyDiv w:val="1"/>
      <w:marLeft w:val="0"/>
      <w:marRight w:val="0"/>
      <w:marTop w:val="0"/>
      <w:marBottom w:val="0"/>
      <w:divBdr>
        <w:top w:val="none" w:sz="0" w:space="0" w:color="auto"/>
        <w:left w:val="none" w:sz="0" w:space="0" w:color="auto"/>
        <w:bottom w:val="none" w:sz="0" w:space="0" w:color="auto"/>
        <w:right w:val="none" w:sz="0" w:space="0" w:color="auto"/>
      </w:divBdr>
    </w:div>
    <w:div w:id="1025444768">
      <w:bodyDiv w:val="1"/>
      <w:marLeft w:val="0"/>
      <w:marRight w:val="0"/>
      <w:marTop w:val="0"/>
      <w:marBottom w:val="0"/>
      <w:divBdr>
        <w:top w:val="none" w:sz="0" w:space="0" w:color="auto"/>
        <w:left w:val="none" w:sz="0" w:space="0" w:color="auto"/>
        <w:bottom w:val="none" w:sz="0" w:space="0" w:color="auto"/>
        <w:right w:val="none" w:sz="0" w:space="0" w:color="auto"/>
      </w:divBdr>
    </w:div>
    <w:div w:id="1027756082">
      <w:bodyDiv w:val="1"/>
      <w:marLeft w:val="0"/>
      <w:marRight w:val="0"/>
      <w:marTop w:val="0"/>
      <w:marBottom w:val="0"/>
      <w:divBdr>
        <w:top w:val="none" w:sz="0" w:space="0" w:color="auto"/>
        <w:left w:val="none" w:sz="0" w:space="0" w:color="auto"/>
        <w:bottom w:val="none" w:sz="0" w:space="0" w:color="auto"/>
        <w:right w:val="none" w:sz="0" w:space="0" w:color="auto"/>
      </w:divBdr>
    </w:div>
    <w:div w:id="1034888608">
      <w:bodyDiv w:val="1"/>
      <w:marLeft w:val="0"/>
      <w:marRight w:val="0"/>
      <w:marTop w:val="0"/>
      <w:marBottom w:val="0"/>
      <w:divBdr>
        <w:top w:val="none" w:sz="0" w:space="0" w:color="auto"/>
        <w:left w:val="none" w:sz="0" w:space="0" w:color="auto"/>
        <w:bottom w:val="none" w:sz="0" w:space="0" w:color="auto"/>
        <w:right w:val="none" w:sz="0" w:space="0" w:color="auto"/>
      </w:divBdr>
    </w:div>
    <w:div w:id="1082991499">
      <w:bodyDiv w:val="1"/>
      <w:marLeft w:val="0"/>
      <w:marRight w:val="0"/>
      <w:marTop w:val="0"/>
      <w:marBottom w:val="0"/>
      <w:divBdr>
        <w:top w:val="none" w:sz="0" w:space="0" w:color="auto"/>
        <w:left w:val="none" w:sz="0" w:space="0" w:color="auto"/>
        <w:bottom w:val="none" w:sz="0" w:space="0" w:color="auto"/>
        <w:right w:val="none" w:sz="0" w:space="0" w:color="auto"/>
      </w:divBdr>
    </w:div>
    <w:div w:id="1155293602">
      <w:bodyDiv w:val="1"/>
      <w:marLeft w:val="0"/>
      <w:marRight w:val="0"/>
      <w:marTop w:val="0"/>
      <w:marBottom w:val="0"/>
      <w:divBdr>
        <w:top w:val="none" w:sz="0" w:space="0" w:color="auto"/>
        <w:left w:val="none" w:sz="0" w:space="0" w:color="auto"/>
        <w:bottom w:val="none" w:sz="0" w:space="0" w:color="auto"/>
        <w:right w:val="none" w:sz="0" w:space="0" w:color="auto"/>
      </w:divBdr>
    </w:div>
    <w:div w:id="1156724760">
      <w:bodyDiv w:val="1"/>
      <w:marLeft w:val="0"/>
      <w:marRight w:val="0"/>
      <w:marTop w:val="0"/>
      <w:marBottom w:val="0"/>
      <w:divBdr>
        <w:top w:val="none" w:sz="0" w:space="0" w:color="auto"/>
        <w:left w:val="none" w:sz="0" w:space="0" w:color="auto"/>
        <w:bottom w:val="none" w:sz="0" w:space="0" w:color="auto"/>
        <w:right w:val="none" w:sz="0" w:space="0" w:color="auto"/>
      </w:divBdr>
    </w:div>
    <w:div w:id="1157378452">
      <w:bodyDiv w:val="1"/>
      <w:marLeft w:val="0"/>
      <w:marRight w:val="0"/>
      <w:marTop w:val="0"/>
      <w:marBottom w:val="0"/>
      <w:divBdr>
        <w:top w:val="none" w:sz="0" w:space="0" w:color="auto"/>
        <w:left w:val="none" w:sz="0" w:space="0" w:color="auto"/>
        <w:bottom w:val="none" w:sz="0" w:space="0" w:color="auto"/>
        <w:right w:val="none" w:sz="0" w:space="0" w:color="auto"/>
      </w:divBdr>
    </w:div>
    <w:div w:id="1225675191">
      <w:bodyDiv w:val="1"/>
      <w:marLeft w:val="0"/>
      <w:marRight w:val="0"/>
      <w:marTop w:val="0"/>
      <w:marBottom w:val="0"/>
      <w:divBdr>
        <w:top w:val="none" w:sz="0" w:space="0" w:color="auto"/>
        <w:left w:val="none" w:sz="0" w:space="0" w:color="auto"/>
        <w:bottom w:val="none" w:sz="0" w:space="0" w:color="auto"/>
        <w:right w:val="none" w:sz="0" w:space="0" w:color="auto"/>
      </w:divBdr>
    </w:div>
    <w:div w:id="1241603192">
      <w:bodyDiv w:val="1"/>
      <w:marLeft w:val="0"/>
      <w:marRight w:val="0"/>
      <w:marTop w:val="0"/>
      <w:marBottom w:val="0"/>
      <w:divBdr>
        <w:top w:val="none" w:sz="0" w:space="0" w:color="auto"/>
        <w:left w:val="none" w:sz="0" w:space="0" w:color="auto"/>
        <w:bottom w:val="none" w:sz="0" w:space="0" w:color="auto"/>
        <w:right w:val="none" w:sz="0" w:space="0" w:color="auto"/>
      </w:divBdr>
    </w:div>
    <w:div w:id="1249652756">
      <w:bodyDiv w:val="1"/>
      <w:marLeft w:val="0"/>
      <w:marRight w:val="0"/>
      <w:marTop w:val="0"/>
      <w:marBottom w:val="0"/>
      <w:divBdr>
        <w:top w:val="none" w:sz="0" w:space="0" w:color="auto"/>
        <w:left w:val="none" w:sz="0" w:space="0" w:color="auto"/>
        <w:bottom w:val="none" w:sz="0" w:space="0" w:color="auto"/>
        <w:right w:val="none" w:sz="0" w:space="0" w:color="auto"/>
      </w:divBdr>
    </w:div>
    <w:div w:id="1280338018">
      <w:bodyDiv w:val="1"/>
      <w:marLeft w:val="0"/>
      <w:marRight w:val="0"/>
      <w:marTop w:val="0"/>
      <w:marBottom w:val="0"/>
      <w:divBdr>
        <w:top w:val="none" w:sz="0" w:space="0" w:color="auto"/>
        <w:left w:val="none" w:sz="0" w:space="0" w:color="auto"/>
        <w:bottom w:val="none" w:sz="0" w:space="0" w:color="auto"/>
        <w:right w:val="none" w:sz="0" w:space="0" w:color="auto"/>
      </w:divBdr>
    </w:div>
    <w:div w:id="1348021163">
      <w:bodyDiv w:val="1"/>
      <w:marLeft w:val="0"/>
      <w:marRight w:val="0"/>
      <w:marTop w:val="0"/>
      <w:marBottom w:val="0"/>
      <w:divBdr>
        <w:top w:val="none" w:sz="0" w:space="0" w:color="auto"/>
        <w:left w:val="none" w:sz="0" w:space="0" w:color="auto"/>
        <w:bottom w:val="none" w:sz="0" w:space="0" w:color="auto"/>
        <w:right w:val="none" w:sz="0" w:space="0" w:color="auto"/>
      </w:divBdr>
    </w:div>
    <w:div w:id="1387997230">
      <w:bodyDiv w:val="1"/>
      <w:marLeft w:val="0"/>
      <w:marRight w:val="0"/>
      <w:marTop w:val="0"/>
      <w:marBottom w:val="0"/>
      <w:divBdr>
        <w:top w:val="none" w:sz="0" w:space="0" w:color="auto"/>
        <w:left w:val="none" w:sz="0" w:space="0" w:color="auto"/>
        <w:bottom w:val="none" w:sz="0" w:space="0" w:color="auto"/>
        <w:right w:val="none" w:sz="0" w:space="0" w:color="auto"/>
      </w:divBdr>
    </w:div>
    <w:div w:id="1494223197">
      <w:bodyDiv w:val="1"/>
      <w:marLeft w:val="0"/>
      <w:marRight w:val="0"/>
      <w:marTop w:val="0"/>
      <w:marBottom w:val="0"/>
      <w:divBdr>
        <w:top w:val="none" w:sz="0" w:space="0" w:color="auto"/>
        <w:left w:val="none" w:sz="0" w:space="0" w:color="auto"/>
        <w:bottom w:val="none" w:sz="0" w:space="0" w:color="auto"/>
        <w:right w:val="none" w:sz="0" w:space="0" w:color="auto"/>
      </w:divBdr>
    </w:div>
    <w:div w:id="1510944110">
      <w:bodyDiv w:val="1"/>
      <w:marLeft w:val="0"/>
      <w:marRight w:val="0"/>
      <w:marTop w:val="0"/>
      <w:marBottom w:val="0"/>
      <w:divBdr>
        <w:top w:val="none" w:sz="0" w:space="0" w:color="auto"/>
        <w:left w:val="none" w:sz="0" w:space="0" w:color="auto"/>
        <w:bottom w:val="none" w:sz="0" w:space="0" w:color="auto"/>
        <w:right w:val="none" w:sz="0" w:space="0" w:color="auto"/>
      </w:divBdr>
    </w:div>
    <w:div w:id="1524636067">
      <w:bodyDiv w:val="1"/>
      <w:marLeft w:val="0"/>
      <w:marRight w:val="0"/>
      <w:marTop w:val="0"/>
      <w:marBottom w:val="0"/>
      <w:divBdr>
        <w:top w:val="none" w:sz="0" w:space="0" w:color="auto"/>
        <w:left w:val="none" w:sz="0" w:space="0" w:color="auto"/>
        <w:bottom w:val="none" w:sz="0" w:space="0" w:color="auto"/>
        <w:right w:val="none" w:sz="0" w:space="0" w:color="auto"/>
      </w:divBdr>
    </w:div>
    <w:div w:id="1586764372">
      <w:bodyDiv w:val="1"/>
      <w:marLeft w:val="0"/>
      <w:marRight w:val="0"/>
      <w:marTop w:val="0"/>
      <w:marBottom w:val="0"/>
      <w:divBdr>
        <w:top w:val="none" w:sz="0" w:space="0" w:color="auto"/>
        <w:left w:val="none" w:sz="0" w:space="0" w:color="auto"/>
        <w:bottom w:val="none" w:sz="0" w:space="0" w:color="auto"/>
        <w:right w:val="none" w:sz="0" w:space="0" w:color="auto"/>
      </w:divBdr>
    </w:div>
    <w:div w:id="1601833889">
      <w:bodyDiv w:val="1"/>
      <w:marLeft w:val="0"/>
      <w:marRight w:val="0"/>
      <w:marTop w:val="0"/>
      <w:marBottom w:val="0"/>
      <w:divBdr>
        <w:top w:val="none" w:sz="0" w:space="0" w:color="auto"/>
        <w:left w:val="none" w:sz="0" w:space="0" w:color="auto"/>
        <w:bottom w:val="none" w:sz="0" w:space="0" w:color="auto"/>
        <w:right w:val="none" w:sz="0" w:space="0" w:color="auto"/>
      </w:divBdr>
    </w:div>
    <w:div w:id="1636642320">
      <w:bodyDiv w:val="1"/>
      <w:marLeft w:val="0"/>
      <w:marRight w:val="0"/>
      <w:marTop w:val="0"/>
      <w:marBottom w:val="0"/>
      <w:divBdr>
        <w:top w:val="none" w:sz="0" w:space="0" w:color="auto"/>
        <w:left w:val="none" w:sz="0" w:space="0" w:color="auto"/>
        <w:bottom w:val="none" w:sz="0" w:space="0" w:color="auto"/>
        <w:right w:val="none" w:sz="0" w:space="0" w:color="auto"/>
      </w:divBdr>
    </w:div>
    <w:div w:id="1654792353">
      <w:bodyDiv w:val="1"/>
      <w:marLeft w:val="0"/>
      <w:marRight w:val="0"/>
      <w:marTop w:val="0"/>
      <w:marBottom w:val="0"/>
      <w:divBdr>
        <w:top w:val="none" w:sz="0" w:space="0" w:color="auto"/>
        <w:left w:val="none" w:sz="0" w:space="0" w:color="auto"/>
        <w:bottom w:val="none" w:sz="0" w:space="0" w:color="auto"/>
        <w:right w:val="none" w:sz="0" w:space="0" w:color="auto"/>
      </w:divBdr>
    </w:div>
    <w:div w:id="1686402383">
      <w:bodyDiv w:val="1"/>
      <w:marLeft w:val="0"/>
      <w:marRight w:val="0"/>
      <w:marTop w:val="0"/>
      <w:marBottom w:val="0"/>
      <w:divBdr>
        <w:top w:val="none" w:sz="0" w:space="0" w:color="auto"/>
        <w:left w:val="none" w:sz="0" w:space="0" w:color="auto"/>
        <w:bottom w:val="none" w:sz="0" w:space="0" w:color="auto"/>
        <w:right w:val="none" w:sz="0" w:space="0" w:color="auto"/>
      </w:divBdr>
    </w:div>
    <w:div w:id="1701978243">
      <w:bodyDiv w:val="1"/>
      <w:marLeft w:val="0"/>
      <w:marRight w:val="0"/>
      <w:marTop w:val="0"/>
      <w:marBottom w:val="0"/>
      <w:divBdr>
        <w:top w:val="none" w:sz="0" w:space="0" w:color="auto"/>
        <w:left w:val="none" w:sz="0" w:space="0" w:color="auto"/>
        <w:bottom w:val="none" w:sz="0" w:space="0" w:color="auto"/>
        <w:right w:val="none" w:sz="0" w:space="0" w:color="auto"/>
      </w:divBdr>
    </w:div>
    <w:div w:id="1706518267">
      <w:bodyDiv w:val="1"/>
      <w:marLeft w:val="0"/>
      <w:marRight w:val="0"/>
      <w:marTop w:val="0"/>
      <w:marBottom w:val="0"/>
      <w:divBdr>
        <w:top w:val="none" w:sz="0" w:space="0" w:color="auto"/>
        <w:left w:val="none" w:sz="0" w:space="0" w:color="auto"/>
        <w:bottom w:val="none" w:sz="0" w:space="0" w:color="auto"/>
        <w:right w:val="none" w:sz="0" w:space="0" w:color="auto"/>
      </w:divBdr>
    </w:div>
    <w:div w:id="1732533104">
      <w:bodyDiv w:val="1"/>
      <w:marLeft w:val="0"/>
      <w:marRight w:val="0"/>
      <w:marTop w:val="0"/>
      <w:marBottom w:val="0"/>
      <w:divBdr>
        <w:top w:val="none" w:sz="0" w:space="0" w:color="auto"/>
        <w:left w:val="none" w:sz="0" w:space="0" w:color="auto"/>
        <w:bottom w:val="none" w:sz="0" w:space="0" w:color="auto"/>
        <w:right w:val="none" w:sz="0" w:space="0" w:color="auto"/>
      </w:divBdr>
    </w:div>
    <w:div w:id="1754550903">
      <w:bodyDiv w:val="1"/>
      <w:marLeft w:val="0"/>
      <w:marRight w:val="0"/>
      <w:marTop w:val="0"/>
      <w:marBottom w:val="0"/>
      <w:divBdr>
        <w:top w:val="none" w:sz="0" w:space="0" w:color="auto"/>
        <w:left w:val="none" w:sz="0" w:space="0" w:color="auto"/>
        <w:bottom w:val="none" w:sz="0" w:space="0" w:color="auto"/>
        <w:right w:val="none" w:sz="0" w:space="0" w:color="auto"/>
      </w:divBdr>
    </w:div>
    <w:div w:id="1831754005">
      <w:bodyDiv w:val="1"/>
      <w:marLeft w:val="0"/>
      <w:marRight w:val="0"/>
      <w:marTop w:val="0"/>
      <w:marBottom w:val="0"/>
      <w:divBdr>
        <w:top w:val="none" w:sz="0" w:space="0" w:color="auto"/>
        <w:left w:val="none" w:sz="0" w:space="0" w:color="auto"/>
        <w:bottom w:val="none" w:sz="0" w:space="0" w:color="auto"/>
        <w:right w:val="none" w:sz="0" w:space="0" w:color="auto"/>
      </w:divBdr>
    </w:div>
    <w:div w:id="1841315077">
      <w:bodyDiv w:val="1"/>
      <w:marLeft w:val="0"/>
      <w:marRight w:val="0"/>
      <w:marTop w:val="0"/>
      <w:marBottom w:val="0"/>
      <w:divBdr>
        <w:top w:val="none" w:sz="0" w:space="0" w:color="auto"/>
        <w:left w:val="none" w:sz="0" w:space="0" w:color="auto"/>
        <w:bottom w:val="none" w:sz="0" w:space="0" w:color="auto"/>
        <w:right w:val="none" w:sz="0" w:space="0" w:color="auto"/>
      </w:divBdr>
    </w:div>
    <w:div w:id="1953975443">
      <w:bodyDiv w:val="1"/>
      <w:marLeft w:val="0"/>
      <w:marRight w:val="0"/>
      <w:marTop w:val="0"/>
      <w:marBottom w:val="0"/>
      <w:divBdr>
        <w:top w:val="none" w:sz="0" w:space="0" w:color="auto"/>
        <w:left w:val="none" w:sz="0" w:space="0" w:color="auto"/>
        <w:bottom w:val="none" w:sz="0" w:space="0" w:color="auto"/>
        <w:right w:val="none" w:sz="0" w:space="0" w:color="auto"/>
      </w:divBdr>
    </w:div>
    <w:div w:id="1964531514">
      <w:bodyDiv w:val="1"/>
      <w:marLeft w:val="0"/>
      <w:marRight w:val="0"/>
      <w:marTop w:val="0"/>
      <w:marBottom w:val="0"/>
      <w:divBdr>
        <w:top w:val="none" w:sz="0" w:space="0" w:color="auto"/>
        <w:left w:val="none" w:sz="0" w:space="0" w:color="auto"/>
        <w:bottom w:val="none" w:sz="0" w:space="0" w:color="auto"/>
        <w:right w:val="none" w:sz="0" w:space="0" w:color="auto"/>
      </w:divBdr>
    </w:div>
    <w:div w:id="2045476201">
      <w:bodyDiv w:val="1"/>
      <w:marLeft w:val="0"/>
      <w:marRight w:val="0"/>
      <w:marTop w:val="0"/>
      <w:marBottom w:val="0"/>
      <w:divBdr>
        <w:top w:val="none" w:sz="0" w:space="0" w:color="auto"/>
        <w:left w:val="none" w:sz="0" w:space="0" w:color="auto"/>
        <w:bottom w:val="none" w:sz="0" w:space="0" w:color="auto"/>
        <w:right w:val="none" w:sz="0" w:space="0" w:color="auto"/>
      </w:divBdr>
    </w:div>
    <w:div w:id="2083873206">
      <w:bodyDiv w:val="1"/>
      <w:marLeft w:val="0"/>
      <w:marRight w:val="0"/>
      <w:marTop w:val="0"/>
      <w:marBottom w:val="0"/>
      <w:divBdr>
        <w:top w:val="none" w:sz="0" w:space="0" w:color="auto"/>
        <w:left w:val="none" w:sz="0" w:space="0" w:color="auto"/>
        <w:bottom w:val="none" w:sz="0" w:space="0" w:color="auto"/>
        <w:right w:val="none" w:sz="0" w:space="0" w:color="auto"/>
      </w:divBdr>
    </w:div>
    <w:div w:id="21193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klopf@erstegroup.com" TargetMode="External"/><Relationship Id="rId18" Type="http://schemas.openxmlformats.org/officeDocument/2006/relationships/hyperlink" Target="mailto:peter.klopf@erstegroup.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rtin.sonn-wende@erstegroup.com" TargetMode="External"/><Relationship Id="rId17" Type="http://schemas.openxmlformats.org/officeDocument/2006/relationships/hyperlink" Target="mailto:martin.sonn-wende@erstegroup.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ristian.hromatka@erstegroup.comchrisi" TargetMode="External"/><Relationship Id="rId20" Type="http://schemas.openxmlformats.org/officeDocument/2006/relationships/hyperlink" Target="mailto:please%20send%20an%20email%20to%20presse@erstebank.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hromatka@erstegroup.comchris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lease%20send%20an%20email%20to%20presse@erstebank.a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stegroup.com/en/news-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stegroup.com/en/news-medi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9662qa\Erste%20Group\AT%20Digital%20Content%20Newsroom%20-%20General\Guidelines&amp;Templates\CD%20neu%202022\TEMPLATE_Holding_Press%20Release-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9EF6D673F6C444A56AD1A69ED879D5" ma:contentTypeVersion="21" ma:contentTypeDescription="Ein neues Dokument erstellen." ma:contentTypeScope="" ma:versionID="8d3dea990a2dd81579ff7d39a8f3eb06">
  <xsd:schema xmlns:xsd="http://www.w3.org/2001/XMLSchema" xmlns:xs="http://www.w3.org/2001/XMLSchema" xmlns:p="http://schemas.microsoft.com/office/2006/metadata/properties" xmlns:ns1="http://schemas.microsoft.com/sharepoint/v3" xmlns:ns2="4fbe574a-ea71-4a7a-8b6c-7f8379c27a3b" xmlns:ns3="c2323869-9312-41a6-b73b-7b8186d7ec70" xmlns:ns4="http://schemas.microsoft.com/sharepoint/v4" targetNamespace="http://schemas.microsoft.com/office/2006/metadata/properties" ma:root="true" ma:fieldsID="cae4ace1631813417392418420f855c3" ns1:_="" ns2:_="" ns3:_="" ns4:_="">
    <xsd:import namespace="http://schemas.microsoft.com/sharepoint/v3"/>
    <xsd:import namespace="4fbe574a-ea71-4a7a-8b6c-7f8379c27a3b"/>
    <xsd:import namespace="c2323869-9312-41a6-b73b-7b8186d7ec7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IconOverlay"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Eigenschaften der einheitlichen Compliancerichtlinie" ma:hidden="true" ma:internalName="_ip_UnifiedCompliancePolicyProperties">
      <xsd:simpleType>
        <xsd:restriction base="dms:Note"/>
      </xsd:simpleType>
    </xsd:element>
    <xsd:element name="_ip_UnifiedCompliancePolicyUIAction" ma:index="23"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574a-ea71-4a7a-8b6c-7f8379c2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8e7e5b6c-b918-456f-bde5-0dbd0052dc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323869-9312-41a6-b73b-7b8186d7ec7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d8366b5-4854-423f-9ece-b76b9890fd11}" ma:internalName="TaxCatchAll" ma:showField="CatchAllData" ma:web="c2323869-9312-41a6-b73b-7b8186d7ec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_ip_UnifiedCompliancePolicyProperties xmlns="http://schemas.microsoft.com/sharepoint/v3" xsi:nil="true"/>
    <TaxCatchAll xmlns="c2323869-9312-41a6-b73b-7b8186d7ec70" xsi:nil="true"/>
    <lcf76f155ced4ddcb4097134ff3c332f xmlns="4fbe574a-ea71-4a7a-8b6c-7f8379c27a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6FC3-A927-46F8-8C8B-56729C1F7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e574a-ea71-4a7a-8b6c-7f8379c27a3b"/>
    <ds:schemaRef ds:uri="c2323869-9312-41a6-b73b-7b8186d7ec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F4E33-DEAC-4DAA-9AD4-412F9ADAD9CC}">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c2323869-9312-41a6-b73b-7b8186d7ec70"/>
    <ds:schemaRef ds:uri="4fbe574a-ea71-4a7a-8b6c-7f8379c27a3b"/>
  </ds:schemaRefs>
</ds:datastoreItem>
</file>

<file path=customXml/itemProps3.xml><?xml version="1.0" encoding="utf-8"?>
<ds:datastoreItem xmlns:ds="http://schemas.openxmlformats.org/officeDocument/2006/customXml" ds:itemID="{AC2C5707-1DCB-4AAC-9DE9-802E974CD6A8}">
  <ds:schemaRefs>
    <ds:schemaRef ds:uri="http://schemas.microsoft.com/sharepoint/v3/contenttype/forms"/>
  </ds:schemaRefs>
</ds:datastoreItem>
</file>

<file path=customXml/itemProps4.xml><?xml version="1.0" encoding="utf-8"?>
<ds:datastoreItem xmlns:ds="http://schemas.openxmlformats.org/officeDocument/2006/customXml" ds:itemID="{DB57B6C5-9615-D344-958A-8002CE0E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TEMPLATE_Holding_Press Release-EN.dotx</Template>
  <TotalTime>26</TotalTime>
  <Pages>4</Pages>
  <Words>1514</Words>
  <Characters>8935</Characters>
  <Application>Microsoft Office Word</Application>
  <DocSecurity>0</DocSecurity>
  <Lines>74</Lines>
  <Paragraphs>20</Paragraphs>
  <ScaleCrop>false</ScaleCrop>
  <Company/>
  <LinksUpToDate>false</LinksUpToDate>
  <CharactersWithSpaces>10429</CharactersWithSpaces>
  <SharedDoc>false</SharedDoc>
  <HLinks>
    <vt:vector size="30" baseType="variant">
      <vt:variant>
        <vt:i4>7077891</vt:i4>
      </vt:variant>
      <vt:variant>
        <vt:i4>12</vt:i4>
      </vt:variant>
      <vt:variant>
        <vt:i4>0</vt:i4>
      </vt:variant>
      <vt:variant>
        <vt:i4>5</vt:i4>
      </vt:variant>
      <vt:variant>
        <vt:lpwstr>mailto:please%20send%20an%20email%20to%20presse@erstebank.at</vt:lpwstr>
      </vt:variant>
      <vt:variant>
        <vt:lpwstr/>
      </vt:variant>
      <vt:variant>
        <vt:i4>786444</vt:i4>
      </vt:variant>
      <vt:variant>
        <vt:i4>9</vt:i4>
      </vt:variant>
      <vt:variant>
        <vt:i4>0</vt:i4>
      </vt:variant>
      <vt:variant>
        <vt:i4>5</vt:i4>
      </vt:variant>
      <vt:variant>
        <vt:lpwstr>https://www.erstegroup.com/en/news-media</vt:lpwstr>
      </vt:variant>
      <vt:variant>
        <vt:lpwstr/>
      </vt:variant>
      <vt:variant>
        <vt:i4>4390949</vt:i4>
      </vt:variant>
      <vt:variant>
        <vt:i4>6</vt:i4>
      </vt:variant>
      <vt:variant>
        <vt:i4>0</vt:i4>
      </vt:variant>
      <vt:variant>
        <vt:i4>5</vt:i4>
      </vt:variant>
      <vt:variant>
        <vt:lpwstr>mailto:peter.klopf@erstegroup.com</vt:lpwstr>
      </vt:variant>
      <vt:variant>
        <vt:lpwstr/>
      </vt:variant>
      <vt:variant>
        <vt:i4>7471197</vt:i4>
      </vt:variant>
      <vt:variant>
        <vt:i4>3</vt:i4>
      </vt:variant>
      <vt:variant>
        <vt:i4>0</vt:i4>
      </vt:variant>
      <vt:variant>
        <vt:i4>5</vt:i4>
      </vt:variant>
      <vt:variant>
        <vt:lpwstr>mailto:martin.sonn-wende@erstegroup.com</vt:lpwstr>
      </vt:variant>
      <vt:variant>
        <vt:lpwstr/>
      </vt:variant>
      <vt:variant>
        <vt:i4>5373997</vt:i4>
      </vt:variant>
      <vt:variant>
        <vt:i4>0</vt:i4>
      </vt:variant>
      <vt:variant>
        <vt:i4>0</vt:i4>
      </vt:variant>
      <vt:variant>
        <vt:i4>5</vt:i4>
      </vt:variant>
      <vt:variant>
        <vt:lpwstr>mailto:christian.hromatka@erstegroup.comchrisi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Klopf Peter</dc:creator>
  <cp:keywords/>
  <dc:description/>
  <cp:lastModifiedBy>Bouc František</cp:lastModifiedBy>
  <cp:revision>1</cp:revision>
  <cp:lastPrinted>2023-04-26T11:24:00Z</cp:lastPrinted>
  <dcterms:created xsi:type="dcterms:W3CDTF">2023-04-27T14:18:00Z</dcterms:created>
  <dcterms:modified xsi:type="dcterms:W3CDTF">2023-04-27T16:57:00Z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0x010100409EF6D673F6C444A56AD1A69ED879D5</vt:lpwstr>
  </property>
  <property fmtid="{D5CDD505-2E9C-101B-9397-08002B2CF9AE}" pid="3" name="MSIP_Label_38939b85-7e40-4a1d-91e1-0e84c3b219d7_Enabled">
    <vt:lpwstr>true</vt:lpwstr>
  </property>
  <property fmtid="{D5CDD505-2E9C-101B-9397-08002B2CF9AE}" pid="4" name="MSIP_Label_38939b85-7e40-4a1d-91e1-0e84c3b219d7_SetDate">
    <vt:lpwstr>2021-11-25T09:42:50Z</vt:lpwstr>
  </property>
  <property fmtid="{D5CDD505-2E9C-101B-9397-08002B2CF9AE}" pid="5" name="MSIP_Label_38939b85-7e40-4a1d-91e1-0e84c3b219d7_Method">
    <vt:lpwstr>Standard</vt:lpwstr>
  </property>
  <property fmtid="{D5CDD505-2E9C-101B-9397-08002B2CF9AE}" pid="6" name="MSIP_Label_38939b85-7e40-4a1d-91e1-0e84c3b219d7_Name">
    <vt:lpwstr>38939b85-7e40-4a1d-91e1-0e84c3b219d7</vt:lpwstr>
  </property>
  <property fmtid="{D5CDD505-2E9C-101B-9397-08002B2CF9AE}" pid="7" name="MSIP_Label_38939b85-7e40-4a1d-91e1-0e84c3b219d7_SiteId">
    <vt:lpwstr>3ad0376a-54d3-49a6-9e20-52de0a92fc89</vt:lpwstr>
  </property>
  <property fmtid="{D5CDD505-2E9C-101B-9397-08002B2CF9AE}" pid="8" name="MSIP_Label_38939b85-7e40-4a1d-91e1-0e84c3b219d7_ActionId">
    <vt:lpwstr>4ea7e129-8015-4c13-8b39-d95537ec838d</vt:lpwstr>
  </property>
  <property fmtid="{D5CDD505-2E9C-101B-9397-08002B2CF9AE}" pid="9" name="MSIP_Label_38939b85-7e40-4a1d-91e1-0e84c3b219d7_ContentBits">
    <vt:lpwstr>0</vt:lpwstr>
  </property>
  <property fmtid="{D5CDD505-2E9C-101B-9397-08002B2CF9AE}" pid="10" name="MediaServiceImageTags">
    <vt:lpwstr/>
  </property>
</Properties>
</file>