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FD6E" w14:textId="77777777" w:rsidR="00982BF6" w:rsidRPr="0008221F" w:rsidRDefault="00982BF6" w:rsidP="00982BF6">
      <w:pPr>
        <w:pStyle w:val="Nadpis2"/>
        <w:rPr>
          <w:rStyle w:val="Siln"/>
          <w:rFonts w:ascii="Inter" w:hAnsi="Inter"/>
          <w:b/>
          <w:bCs/>
          <w:noProof w:val="0"/>
          <w:color w:val="auto"/>
          <w:lang w:val="cs-CZ"/>
        </w:rPr>
      </w:pPr>
      <w:r w:rsidRPr="0008221F">
        <w:rPr>
          <w:rFonts w:ascii="Inter" w:hAnsi="Inter"/>
          <w:noProof w:val="0"/>
          <w:color w:val="auto"/>
          <w:lang w:val="cs-CZ"/>
        </w:rPr>
        <w:t xml:space="preserve">Erste Group dosáhla solidních výsledků i v prvním čtvrtletí  </w:t>
      </w:r>
    </w:p>
    <w:p w14:paraId="66EF2D57" w14:textId="77777777" w:rsidR="00982BF6" w:rsidRPr="0008221F" w:rsidRDefault="00982BF6" w:rsidP="00982BF6">
      <w:pPr>
        <w:rPr>
          <w:rFonts w:ascii="Inter" w:hAnsi="Inter"/>
          <w:noProof w:val="0"/>
          <w:lang w:val="cs-CZ"/>
        </w:rPr>
      </w:pPr>
    </w:p>
    <w:p w14:paraId="00AB4E48" w14:textId="77777777" w:rsidR="00982BF6" w:rsidRPr="0008221F" w:rsidRDefault="00982BF6" w:rsidP="00982BF6">
      <w:pPr>
        <w:pStyle w:val="Odstavecseseznamem"/>
        <w:shd w:val="clear" w:color="auto" w:fill="FFFFFF"/>
        <w:rPr>
          <w:rFonts w:ascii="Inter" w:hAnsi="Inter"/>
          <w:noProof w:val="0"/>
          <w:lang w:val="cs-CZ"/>
        </w:rPr>
      </w:pPr>
      <w:r w:rsidRPr="0008221F">
        <w:rPr>
          <w:rFonts w:ascii="Inter" w:hAnsi="Inter"/>
          <w:noProof w:val="0"/>
          <w:lang w:val="cs-CZ"/>
        </w:rPr>
        <w:t>Vývoj objemu úvěrů (+0,1 %) i klientských vkladů (+1,1 %) odráží útlum v makroekonomickém prostředí v průběhu čtvrtletí</w:t>
      </w:r>
    </w:p>
    <w:p w14:paraId="46E6D44E" w14:textId="77777777" w:rsidR="00982BF6" w:rsidRPr="0008221F" w:rsidRDefault="00982BF6" w:rsidP="00982BF6">
      <w:pPr>
        <w:pStyle w:val="Odstavecseseznamem"/>
        <w:shd w:val="clear" w:color="auto" w:fill="FFFFFF"/>
        <w:rPr>
          <w:rFonts w:ascii="Inter" w:hAnsi="Inter"/>
          <w:noProof w:val="0"/>
          <w:lang w:val="cs-CZ"/>
        </w:rPr>
      </w:pPr>
      <w:r w:rsidRPr="0008221F">
        <w:rPr>
          <w:rFonts w:ascii="Inter" w:hAnsi="Inter"/>
          <w:noProof w:val="0"/>
          <w:lang w:val="cs-CZ"/>
        </w:rPr>
        <w:t>Silná kapitálová základna: ukazatel CET1 (pro forma) na 15,5 %</w:t>
      </w:r>
    </w:p>
    <w:p w14:paraId="206B9E5D" w14:textId="77777777" w:rsidR="00982BF6" w:rsidRPr="0008221F" w:rsidRDefault="00982BF6" w:rsidP="00982BF6">
      <w:pPr>
        <w:pStyle w:val="Odstavecseseznamem"/>
        <w:shd w:val="clear" w:color="auto" w:fill="FFFFFF"/>
        <w:rPr>
          <w:rFonts w:ascii="Inter" w:hAnsi="Inter"/>
          <w:noProof w:val="0"/>
          <w:lang w:val="cs-CZ"/>
        </w:rPr>
      </w:pPr>
      <w:r w:rsidRPr="0008221F">
        <w:rPr>
          <w:rFonts w:ascii="Inter" w:hAnsi="Inter"/>
          <w:noProof w:val="0"/>
          <w:lang w:val="cs-CZ"/>
        </w:rPr>
        <w:t xml:space="preserve">Podíl rizikových úvěrů zůstává i nadále na nízké úrovni a dosahuje 2,3 % </w:t>
      </w:r>
    </w:p>
    <w:p w14:paraId="5BA7158C" w14:textId="77777777" w:rsidR="00982BF6" w:rsidRPr="0008221F" w:rsidRDefault="00982BF6" w:rsidP="00982BF6">
      <w:pPr>
        <w:pStyle w:val="Odstavecseseznamem"/>
        <w:shd w:val="clear" w:color="auto" w:fill="FFFFFF"/>
        <w:rPr>
          <w:rFonts w:ascii="Inter" w:hAnsi="Inter"/>
          <w:noProof w:val="0"/>
          <w:lang w:val="cs-CZ"/>
        </w:rPr>
      </w:pPr>
      <w:r w:rsidRPr="0008221F">
        <w:rPr>
          <w:rFonts w:ascii="Inter" w:hAnsi="Inter"/>
          <w:noProof w:val="0"/>
          <w:lang w:val="cs-CZ"/>
        </w:rPr>
        <w:t>Počet akciových spořicích plánů meziročně narostl o 24 %</w:t>
      </w:r>
    </w:p>
    <w:p w14:paraId="33F28BCE" w14:textId="77777777" w:rsidR="00982BF6" w:rsidRPr="0008221F" w:rsidRDefault="00982BF6" w:rsidP="00982BF6">
      <w:pPr>
        <w:rPr>
          <w:rFonts w:ascii="Inter" w:hAnsi="Inter"/>
          <w:noProof w:val="0"/>
          <w:lang w:val="cs-CZ"/>
        </w:rPr>
      </w:pPr>
    </w:p>
    <w:p w14:paraId="7AEA1F8B" w14:textId="0DE4918F" w:rsidR="00982BF6" w:rsidRPr="0008221F" w:rsidRDefault="00982BF6" w:rsidP="00982BF6">
      <w:pPr>
        <w:spacing w:line="280" w:lineRule="exact"/>
        <w:rPr>
          <w:rFonts w:ascii="Inter" w:hAnsi="Inter"/>
          <w:b/>
          <w:noProof w:val="0"/>
          <w:lang w:val="cs-CZ"/>
        </w:rPr>
      </w:pPr>
      <w:r w:rsidRPr="0008221F">
        <w:rPr>
          <w:rFonts w:ascii="Inter" w:hAnsi="Inter"/>
          <w:b/>
          <w:noProof w:val="0"/>
          <w:lang w:val="cs-CZ"/>
        </w:rPr>
        <w:t xml:space="preserve">Erste Group Bank AG dosáhla v prvním čtvrtletí roku 2024 provozního výsledku ve výši 1,51 miliard eur </w:t>
      </w:r>
      <w:r w:rsidR="001C0501">
        <w:rPr>
          <w:rFonts w:ascii="Inter" w:hAnsi="Inter"/>
          <w:b/>
          <w:noProof w:val="0"/>
          <w:lang w:val="cs-CZ"/>
        </w:rPr>
        <w:t>(</w:t>
      </w:r>
      <w:r w:rsidRPr="0008221F">
        <w:rPr>
          <w:rFonts w:ascii="Inter" w:hAnsi="Inter"/>
          <w:b/>
          <w:noProof w:val="0"/>
          <w:lang w:val="cs-CZ"/>
        </w:rPr>
        <w:t xml:space="preserve">Q1 2023: 1,26 mld. </w:t>
      </w:r>
      <w:r w:rsidR="007D3028">
        <w:rPr>
          <w:rFonts w:ascii="Inter" w:hAnsi="Inter"/>
          <w:b/>
          <w:noProof w:val="0"/>
          <w:lang w:val="cs-CZ"/>
        </w:rPr>
        <w:t>e</w:t>
      </w:r>
      <w:r w:rsidRPr="0008221F">
        <w:rPr>
          <w:rFonts w:ascii="Inter" w:hAnsi="Inter"/>
          <w:b/>
          <w:noProof w:val="0"/>
          <w:lang w:val="cs-CZ"/>
        </w:rPr>
        <w:t xml:space="preserve">ur). Objem úvěrů dosáhl 208,1 miliard eur a v porovnání s koncem roku 2023 se tedy nezměnil, zatímco zákaznické vklady zaznamenaly mírný nárůst na 235,3 miliard eur (+1,1 %). Na rozdíl od stejného období roku 2023 byly v prvním čtvrtletí roku 2024 zaúčtovány rizikové náklady, které však s objemem 95 milionů eur zůstaly z dlouhodobého hlediska na mírné úrovni. </w:t>
      </w:r>
      <w:r w:rsidRPr="0008221F">
        <w:rPr>
          <w:rFonts w:ascii="Inter" w:hAnsi="Inter"/>
          <w:b/>
          <w:bCs/>
          <w:noProof w:val="0"/>
          <w:lang w:val="cs-CZ"/>
        </w:rPr>
        <w:t>Podíl rizikových úvěrů</w:t>
      </w:r>
      <w:r w:rsidRPr="0008221F">
        <w:rPr>
          <w:rFonts w:ascii="Inter" w:hAnsi="Inter"/>
          <w:b/>
          <w:noProof w:val="0"/>
          <w:lang w:val="cs-CZ"/>
        </w:rPr>
        <w:t xml:space="preserve"> zůstal oproti předchozímu čtvrtletí nezměněn, když činil 2,3 %. Poměr nákladů k výnosům se zlepšil na 46,0 % (Q1 2023: 49,7 %). Počet akciových spořicích plánů narostl za první tři měsíce roku 2024 na 1,24 milionů, což představuje 24% meziroční nárůst. </w:t>
      </w:r>
      <w:r w:rsidRPr="0008221F">
        <w:rPr>
          <w:rFonts w:ascii="Inter" w:hAnsi="Inter" w:hint="eastAsia"/>
          <w:b/>
          <w:noProof w:val="0"/>
          <w:lang w:val="cs-CZ"/>
        </w:rPr>
        <w:t>Č</w:t>
      </w:r>
      <w:r w:rsidRPr="0008221F">
        <w:rPr>
          <w:rFonts w:ascii="Inter" w:hAnsi="Inter"/>
          <w:b/>
          <w:noProof w:val="0"/>
          <w:lang w:val="cs-CZ"/>
        </w:rPr>
        <w:t xml:space="preserve">istý zisk za první čtvrtletí dosáhl 783 milionů euro (Q1 2023: 594 mil. </w:t>
      </w:r>
      <w:r w:rsidR="007D3028">
        <w:rPr>
          <w:rFonts w:ascii="Inter" w:hAnsi="Inter"/>
          <w:b/>
          <w:noProof w:val="0"/>
          <w:lang w:val="cs-CZ"/>
        </w:rPr>
        <w:t>e</w:t>
      </w:r>
      <w:r w:rsidRPr="0008221F">
        <w:rPr>
          <w:rFonts w:ascii="Inter" w:hAnsi="Inter"/>
          <w:b/>
          <w:noProof w:val="0"/>
          <w:lang w:val="cs-CZ"/>
        </w:rPr>
        <w:t xml:space="preserve">ur). </w:t>
      </w:r>
    </w:p>
    <w:p w14:paraId="02C9232B" w14:textId="77777777" w:rsidR="00982BF6" w:rsidRPr="0008221F" w:rsidRDefault="00982BF6" w:rsidP="00982BF6">
      <w:pPr>
        <w:spacing w:line="280" w:lineRule="exact"/>
        <w:rPr>
          <w:rFonts w:ascii="Inter" w:hAnsi="Inter"/>
          <w:bCs/>
          <w:noProof w:val="0"/>
          <w:lang w:val="cs-CZ"/>
        </w:rPr>
      </w:pPr>
    </w:p>
    <w:p w14:paraId="7956CBE9" w14:textId="17BD899E" w:rsidR="00982BF6" w:rsidRPr="0008221F" w:rsidRDefault="00982BF6" w:rsidP="00982BF6">
      <w:pPr>
        <w:spacing w:line="280" w:lineRule="exact"/>
        <w:rPr>
          <w:rFonts w:ascii="Inter" w:hAnsi="Inter"/>
          <w:bCs/>
          <w:noProof w:val="0"/>
          <w:lang w:val="cs-CZ"/>
        </w:rPr>
      </w:pPr>
      <w:r w:rsidRPr="0008221F">
        <w:rPr>
          <w:rFonts w:ascii="Inter" w:hAnsi="Inter"/>
          <w:bCs/>
          <w:noProof w:val="0"/>
          <w:lang w:val="cs-CZ"/>
        </w:rPr>
        <w:t>„První čtvrtletí bylo pro naši bankovní skupinu příznivé. Náklady na rizika jsou v porovnání s dlouhodobým průměrem na mírné úrovni. Elementá</w:t>
      </w:r>
      <w:r w:rsidR="006F283E">
        <w:rPr>
          <w:rFonts w:ascii="Inter" w:hAnsi="Inter"/>
          <w:bCs/>
          <w:noProof w:val="0"/>
          <w:lang w:val="cs-CZ"/>
        </w:rPr>
        <w:t>r</w:t>
      </w:r>
      <w:r w:rsidRPr="0008221F">
        <w:rPr>
          <w:rFonts w:ascii="Inter" w:hAnsi="Inter"/>
          <w:bCs/>
          <w:noProof w:val="0"/>
          <w:lang w:val="cs-CZ"/>
        </w:rPr>
        <w:t>ní stabilitu našeho obchodního modelu dokazuje i náš solidní kapitálový poměr. Vzhledem k tomu, že jsme po mnoho let využívali svých dobrých obchodních výsledků k posílení naší kapitálové základny, jsme schopni podporovat lidi v našem regionu a jejich růst a finanční plány,“ říká generální ředitel Erste Group Willi Cernko.</w:t>
      </w:r>
    </w:p>
    <w:p w14:paraId="11D998B2" w14:textId="77777777" w:rsidR="00982BF6" w:rsidRPr="0008221F" w:rsidRDefault="00982BF6" w:rsidP="00982BF6">
      <w:pPr>
        <w:spacing w:line="280" w:lineRule="exact"/>
        <w:rPr>
          <w:rFonts w:ascii="Inter" w:hAnsi="Inter"/>
          <w:bCs/>
          <w:noProof w:val="0"/>
          <w:lang w:val="cs-CZ"/>
        </w:rPr>
      </w:pPr>
    </w:p>
    <w:p w14:paraId="63C39032" w14:textId="0E660331" w:rsidR="00982BF6" w:rsidRPr="0008221F" w:rsidRDefault="00982BF6" w:rsidP="00982BF6">
      <w:pPr>
        <w:spacing w:line="280" w:lineRule="exact"/>
        <w:rPr>
          <w:rFonts w:ascii="Inter" w:hAnsi="Inter"/>
          <w:bCs/>
          <w:noProof w:val="0"/>
          <w:lang w:val="cs-CZ"/>
        </w:rPr>
      </w:pPr>
      <w:r w:rsidRPr="0008221F">
        <w:rPr>
          <w:rFonts w:ascii="Inter" w:hAnsi="Inter"/>
          <w:bCs/>
          <w:noProof w:val="0"/>
          <w:lang w:val="cs-CZ"/>
        </w:rPr>
        <w:t xml:space="preserve">„Solidní vývoj čistých úrokových výnosů a výnosů z provizí i rizikové náklady, které zůstávají na mírné úrovni, </w:t>
      </w:r>
      <w:r w:rsidR="00F71E89">
        <w:rPr>
          <w:rFonts w:ascii="Inter" w:hAnsi="Inter"/>
          <w:bCs/>
          <w:noProof w:val="0"/>
          <w:lang w:val="cs-CZ"/>
        </w:rPr>
        <w:t xml:space="preserve">jsou právě těmi </w:t>
      </w:r>
      <w:r w:rsidRPr="0008221F">
        <w:rPr>
          <w:rFonts w:ascii="Inter" w:hAnsi="Inter"/>
          <w:bCs/>
          <w:noProof w:val="0"/>
          <w:lang w:val="cs-CZ"/>
        </w:rPr>
        <w:t xml:space="preserve">faktory, </w:t>
      </w:r>
      <w:r w:rsidR="00F71E89">
        <w:rPr>
          <w:rFonts w:ascii="Inter" w:hAnsi="Inter"/>
          <w:bCs/>
          <w:noProof w:val="0"/>
          <w:lang w:val="cs-CZ"/>
        </w:rPr>
        <w:t>jež</w:t>
      </w:r>
      <w:r w:rsidRPr="0008221F">
        <w:rPr>
          <w:rFonts w:ascii="Inter" w:hAnsi="Inter"/>
          <w:bCs/>
          <w:noProof w:val="0"/>
          <w:lang w:val="cs-CZ"/>
        </w:rPr>
        <w:t xml:space="preserve"> nám pomohly vykázat v prvním čtvrtletí výsledky, které se opírají o dobré výsledy z loňského roku. Díky </w:t>
      </w:r>
      <w:r w:rsidR="00F71E89">
        <w:rPr>
          <w:rFonts w:ascii="Inter" w:hAnsi="Inter"/>
          <w:bCs/>
          <w:noProof w:val="0"/>
          <w:lang w:val="cs-CZ"/>
        </w:rPr>
        <w:t>nim</w:t>
      </w:r>
      <w:r w:rsidRPr="0008221F">
        <w:rPr>
          <w:rFonts w:ascii="Inter" w:hAnsi="Inter"/>
          <w:bCs/>
          <w:noProof w:val="0"/>
          <w:lang w:val="cs-CZ"/>
        </w:rPr>
        <w:t xml:space="preserve"> jsme přesvědčeni, že budeme schopni změnit prostředí úrokových sazeb a prognózovaný hospodářský růst v našem regionu,“ uvedl finanční ředitel skupiny Erste Group Stefan Dörfler.</w:t>
      </w:r>
    </w:p>
    <w:p w14:paraId="607FBC75" w14:textId="77777777" w:rsidR="00982BF6" w:rsidRPr="0008221F" w:rsidRDefault="00982BF6" w:rsidP="00982BF6">
      <w:pPr>
        <w:rPr>
          <w:rFonts w:ascii="Inter" w:hAnsi="Inter"/>
          <w:noProof w:val="0"/>
          <w:color w:val="FFFFFF" w:themeColor="background1"/>
          <w:lang w:val="cs-CZ"/>
        </w:rPr>
      </w:pPr>
    </w:p>
    <w:p w14:paraId="1F6DBCBB" w14:textId="77777777" w:rsidR="00982BF6" w:rsidRPr="0008221F" w:rsidRDefault="00982BF6" w:rsidP="00982BF6">
      <w:pPr>
        <w:spacing w:line="240" w:lineRule="auto"/>
        <w:rPr>
          <w:rFonts w:ascii="Inter" w:hAnsi="Inter"/>
          <w:noProof w:val="0"/>
          <w:color w:val="FFFFFF" w:themeColor="background1"/>
          <w:lang w:val="cs-CZ"/>
        </w:rPr>
      </w:pPr>
      <w:r w:rsidRPr="0008221F">
        <w:rPr>
          <w:rFonts w:ascii="Inter" w:hAnsi="Inter"/>
          <w:noProof w:val="0"/>
          <w:color w:val="FFFFFF" w:themeColor="background1"/>
          <w:lang w:val="cs-CZ"/>
        </w:rPr>
        <w:br w:type="page"/>
      </w:r>
    </w:p>
    <w:p w14:paraId="4FEE1ECF" w14:textId="77777777" w:rsidR="00982BF6" w:rsidRPr="0008221F" w:rsidRDefault="00982BF6" w:rsidP="00982BF6">
      <w:pPr>
        <w:rPr>
          <w:rFonts w:ascii="Inter" w:hAnsi="Inter"/>
          <w:noProof w:val="0"/>
          <w:color w:val="FFFFFF" w:themeColor="background1"/>
          <w:lang w:val="cs-CZ"/>
        </w:rPr>
      </w:pPr>
    </w:p>
    <w:p w14:paraId="7D20D2F9" w14:textId="77777777" w:rsidR="00982BF6" w:rsidRPr="0008221F" w:rsidRDefault="00982BF6" w:rsidP="00982BF6">
      <w:pPr>
        <w:pStyle w:val="Bezmezer"/>
        <w:spacing w:line="280" w:lineRule="exact"/>
        <w:rPr>
          <w:rFonts w:ascii="Inter" w:hAnsi="Inter"/>
          <w:color w:val="0070C0"/>
          <w:sz w:val="16"/>
          <w:szCs w:val="16"/>
          <w:lang w:val="cs-CZ"/>
        </w:rPr>
      </w:pPr>
      <w:r w:rsidRPr="0008221F">
        <w:rPr>
          <w:rFonts w:ascii="Inter" w:hAnsi="Inter"/>
          <w:color w:val="0070C0"/>
          <w:sz w:val="16"/>
          <w:szCs w:val="16"/>
          <w:lang w:val="cs-CZ"/>
        </w:rPr>
        <w:t>Finanční výsledky za období od ledna do března 2024 jsou porovnávány s výsledky za období od ledna do března roku 2023, rozvahová pozice ke 31. prosinci 2024 je porovnávána s pozicí ke 31. prosinci 2023.</w:t>
      </w:r>
    </w:p>
    <w:p w14:paraId="6F4A8A3F" w14:textId="77777777" w:rsidR="00982BF6" w:rsidRPr="0008221F" w:rsidRDefault="00982BF6" w:rsidP="00982BF6">
      <w:pPr>
        <w:rPr>
          <w:rFonts w:ascii="Inter" w:hAnsi="Inter"/>
          <w:noProof w:val="0"/>
          <w:lang w:val="cs-CZ"/>
        </w:rPr>
      </w:pPr>
    </w:p>
    <w:p w14:paraId="19A69364" w14:textId="77777777" w:rsidR="00982BF6" w:rsidRPr="0008221F" w:rsidRDefault="00982BF6" w:rsidP="00982BF6">
      <w:pPr>
        <w:pStyle w:val="Nadpis4"/>
        <w:rPr>
          <w:rFonts w:ascii="Inter" w:hAnsi="Inter"/>
          <w:noProof w:val="0"/>
          <w:color w:val="auto"/>
          <w:lang w:val="cs-CZ"/>
        </w:rPr>
      </w:pPr>
      <w:r w:rsidRPr="0008221F">
        <w:rPr>
          <w:rFonts w:ascii="Inter" w:hAnsi="Inter"/>
          <w:noProof w:val="0"/>
          <w:color w:val="auto"/>
          <w:lang w:val="cs-CZ"/>
        </w:rPr>
        <w:t xml:space="preserve">Výnosy rostou díky vyšším úrokovým sazbám a většímu objemu úvěrů </w:t>
      </w:r>
    </w:p>
    <w:p w14:paraId="26712A96" w14:textId="26501801" w:rsidR="00982BF6" w:rsidRPr="0008221F" w:rsidRDefault="00982BF6" w:rsidP="00982BF6">
      <w:pPr>
        <w:pStyle w:val="Bezmezer"/>
        <w:spacing w:line="280" w:lineRule="exact"/>
        <w:rPr>
          <w:rFonts w:ascii="Inter" w:hAnsi="Inter"/>
          <w:sz w:val="20"/>
          <w:szCs w:val="20"/>
          <w:lang w:val="cs-CZ"/>
        </w:rPr>
      </w:pPr>
      <w:r w:rsidRPr="0008221F">
        <w:rPr>
          <w:rFonts w:ascii="Inter" w:hAnsi="Inter" w:cs="Arial"/>
          <w:b/>
          <w:bCs/>
          <w:sz w:val="20"/>
          <w:szCs w:val="20"/>
          <w:lang w:val="cs-CZ"/>
        </w:rPr>
        <w:t>Čistý úrokový výnos</w:t>
      </w:r>
      <w:r w:rsidRPr="0008221F">
        <w:rPr>
          <w:rFonts w:ascii="Inter" w:hAnsi="Inter" w:cs="Arial"/>
          <w:sz w:val="20"/>
          <w:szCs w:val="20"/>
          <w:lang w:val="cs-CZ"/>
        </w:rPr>
        <w:t xml:space="preserve"> vzrostl na 1,852 milionů eur (+4,7 %;</w:t>
      </w:r>
      <w:r w:rsidR="006940A5">
        <w:rPr>
          <w:rFonts w:ascii="Inter" w:hAnsi="Inter" w:cs="Arial"/>
          <w:sz w:val="20"/>
          <w:szCs w:val="20"/>
          <w:lang w:val="cs-CZ"/>
        </w:rPr>
        <w:t xml:space="preserve"> </w:t>
      </w:r>
      <w:r w:rsidRPr="0008221F">
        <w:rPr>
          <w:rFonts w:ascii="Inter" w:hAnsi="Inter" w:cs="Arial"/>
          <w:sz w:val="20"/>
          <w:szCs w:val="20"/>
          <w:lang w:val="cs-CZ"/>
        </w:rPr>
        <w:t xml:space="preserve">1,769 milionů eur), nejsilněji v Rakousku, a to v důsledku vyšších úrokových sazeb na trhu a většího objemu úvěrů. </w:t>
      </w:r>
      <w:r w:rsidRPr="0008221F">
        <w:rPr>
          <w:rFonts w:ascii="Inter" w:hAnsi="Inter" w:cs="Arial"/>
          <w:b/>
          <w:bCs/>
          <w:sz w:val="20"/>
          <w:szCs w:val="20"/>
          <w:lang w:val="cs-CZ"/>
        </w:rPr>
        <w:t>Čistý výnos z poplatků a provizí</w:t>
      </w:r>
      <w:r w:rsidRPr="0008221F">
        <w:rPr>
          <w:rFonts w:ascii="Inter" w:hAnsi="Inter" w:cs="Arial"/>
          <w:sz w:val="20"/>
          <w:szCs w:val="20"/>
          <w:lang w:val="cs-CZ"/>
        </w:rPr>
        <w:t xml:space="preserve"> vzrostl na 712 milionů eur (+10,8 %; 643 milionů eur). Nárůst byl zaznamenán na všech hlavních trzích, přičemž nejvýraznější byl v oblasti správy aktiv a platebních služeb. </w:t>
      </w:r>
      <w:r w:rsidRPr="0008221F">
        <w:rPr>
          <w:rFonts w:ascii="Inter" w:hAnsi="Inter" w:cs="Arial"/>
          <w:b/>
          <w:bCs/>
          <w:sz w:val="20"/>
          <w:szCs w:val="20"/>
          <w:lang w:val="cs-CZ"/>
        </w:rPr>
        <w:t xml:space="preserve">Čistý zisk z obchodních operací </w:t>
      </w:r>
      <w:r w:rsidRPr="0008221F">
        <w:rPr>
          <w:rFonts w:ascii="Inter" w:hAnsi="Inter" w:cs="Arial"/>
          <w:sz w:val="20"/>
          <w:szCs w:val="20"/>
          <w:lang w:val="cs-CZ"/>
        </w:rPr>
        <w:t>se snížil na 106</w:t>
      </w:r>
      <w:r w:rsidR="003A3147">
        <w:rPr>
          <w:rFonts w:ascii="Inter" w:hAnsi="Inter" w:cs="Arial"/>
          <w:sz w:val="20"/>
          <w:szCs w:val="20"/>
          <w:lang w:val="cs-CZ"/>
        </w:rPr>
        <w:t> </w:t>
      </w:r>
      <w:r w:rsidRPr="0008221F">
        <w:rPr>
          <w:rFonts w:ascii="Inter" w:hAnsi="Inter" w:cs="Arial"/>
          <w:sz w:val="20"/>
          <w:szCs w:val="20"/>
          <w:lang w:val="cs-CZ"/>
        </w:rPr>
        <w:t xml:space="preserve">milionů eur (117 milionů eur); </w:t>
      </w:r>
      <w:r w:rsidRPr="0008221F">
        <w:rPr>
          <w:rFonts w:ascii="Inter" w:hAnsi="Inter"/>
          <w:sz w:val="20"/>
          <w:szCs w:val="20"/>
          <w:lang w:val="cs-CZ"/>
        </w:rPr>
        <w:t xml:space="preserve">položka </w:t>
      </w:r>
      <w:r w:rsidRPr="0008221F">
        <w:rPr>
          <w:rFonts w:ascii="Inter" w:hAnsi="Inter"/>
          <w:b/>
          <w:sz w:val="20"/>
          <w:szCs w:val="20"/>
          <w:lang w:val="cs-CZ"/>
        </w:rPr>
        <w:t>čistý zisk/ztráta z finančních nástrojů vykazovaných v reálné hodnotě do zisku nebo ztráty</w:t>
      </w:r>
      <w:r w:rsidRPr="0008221F">
        <w:rPr>
          <w:rFonts w:ascii="Inter" w:hAnsi="Inter" w:cs="Arial"/>
          <w:sz w:val="20"/>
          <w:szCs w:val="20"/>
          <w:lang w:val="cs-CZ"/>
        </w:rPr>
        <w:t xml:space="preserve"> stoupla na 33 milionů eur (81 milionů eur). </w:t>
      </w:r>
      <w:r w:rsidRPr="0008221F">
        <w:rPr>
          <w:rFonts w:ascii="Inter" w:hAnsi="Inter"/>
          <w:sz w:val="20"/>
          <w:szCs w:val="20"/>
          <w:lang w:val="cs-CZ"/>
        </w:rPr>
        <w:t xml:space="preserve">Vývoj těchto dvou položek byl především výsledkem vlivu oceňování. </w:t>
      </w:r>
      <w:r w:rsidRPr="0008221F">
        <w:rPr>
          <w:rFonts w:ascii="Inter" w:hAnsi="Inter"/>
          <w:b/>
          <w:bCs/>
          <w:sz w:val="20"/>
          <w:szCs w:val="20"/>
          <w:lang w:val="cs-CZ"/>
        </w:rPr>
        <w:t xml:space="preserve">Provozní výnosy </w:t>
      </w:r>
      <w:r w:rsidRPr="0008221F">
        <w:rPr>
          <w:rFonts w:ascii="Inter" w:hAnsi="Inter"/>
          <w:sz w:val="20"/>
          <w:szCs w:val="20"/>
          <w:lang w:val="cs-CZ"/>
        </w:rPr>
        <w:t>vzrostly na</w:t>
      </w:r>
      <w:r w:rsidRPr="0008221F">
        <w:rPr>
          <w:rFonts w:ascii="Inter" w:hAnsi="Inter" w:cs="Arial"/>
          <w:sz w:val="20"/>
          <w:szCs w:val="20"/>
          <w:lang w:val="cs-CZ"/>
        </w:rPr>
        <w:t xml:space="preserve"> 2,788 milionů eur (+11,6 %; 2,499 milionů eur)</w:t>
      </w:r>
      <w:r w:rsidRPr="0008221F">
        <w:rPr>
          <w:rFonts w:ascii="Inter" w:hAnsi="Inter"/>
          <w:sz w:val="20"/>
          <w:szCs w:val="20"/>
          <w:lang w:val="cs-CZ"/>
        </w:rPr>
        <w:t>.</w:t>
      </w:r>
    </w:p>
    <w:p w14:paraId="5E7B8C5D" w14:textId="77777777" w:rsidR="00982BF6" w:rsidRPr="0008221F" w:rsidRDefault="00982BF6" w:rsidP="00982BF6">
      <w:pPr>
        <w:pStyle w:val="Bezmezer"/>
        <w:spacing w:line="280" w:lineRule="exact"/>
        <w:rPr>
          <w:rFonts w:ascii="Inter" w:hAnsi="Inter"/>
          <w:sz w:val="20"/>
          <w:szCs w:val="20"/>
          <w:lang w:val="cs-CZ"/>
        </w:rPr>
      </w:pPr>
    </w:p>
    <w:p w14:paraId="44C4BDC0" w14:textId="77777777" w:rsidR="00982BF6" w:rsidRPr="0008221F" w:rsidRDefault="00982BF6" w:rsidP="00982BF6">
      <w:pPr>
        <w:pStyle w:val="Nadpis4"/>
        <w:rPr>
          <w:rFonts w:ascii="Inter" w:hAnsi="Inter"/>
          <w:noProof w:val="0"/>
          <w:color w:val="auto"/>
          <w:lang w:val="cs-CZ"/>
        </w:rPr>
      </w:pPr>
      <w:r w:rsidRPr="0008221F">
        <w:rPr>
          <w:rFonts w:ascii="Inter" w:hAnsi="Inter"/>
          <w:noProof w:val="0"/>
          <w:color w:val="auto"/>
          <w:lang w:val="cs-CZ"/>
        </w:rPr>
        <w:t xml:space="preserve">Provozní výsledek vzrostl o 19,8 %, poměr nákladů k výnosům se zlepšil na 46,0 % </w:t>
      </w:r>
    </w:p>
    <w:p w14:paraId="4AB05327" w14:textId="2F0DF009" w:rsidR="00982BF6" w:rsidRPr="0008221F" w:rsidRDefault="00982BF6" w:rsidP="00982BF6">
      <w:pPr>
        <w:pStyle w:val="Bezmezer"/>
        <w:spacing w:line="280" w:lineRule="exact"/>
        <w:rPr>
          <w:rFonts w:ascii="Inter" w:hAnsi="Inter"/>
          <w:sz w:val="20"/>
          <w:szCs w:val="20"/>
          <w:lang w:val="cs-CZ"/>
        </w:rPr>
      </w:pPr>
      <w:r w:rsidRPr="0008221F">
        <w:rPr>
          <w:rFonts w:ascii="Inter" w:hAnsi="Inter"/>
          <w:b/>
          <w:sz w:val="20"/>
          <w:szCs w:val="20"/>
          <w:lang w:val="cs-CZ"/>
        </w:rPr>
        <w:t>Všeobecné administrativní náklady</w:t>
      </w:r>
      <w:r w:rsidRPr="0008221F">
        <w:rPr>
          <w:rFonts w:ascii="Inter" w:hAnsi="Inter"/>
          <w:bCs/>
          <w:sz w:val="20"/>
          <w:szCs w:val="20"/>
          <w:lang w:val="cs-CZ"/>
        </w:rPr>
        <w:t xml:space="preserve"> </w:t>
      </w:r>
      <w:r w:rsidRPr="0008221F">
        <w:rPr>
          <w:rFonts w:ascii="Inter" w:hAnsi="Inter"/>
          <w:sz w:val="20"/>
          <w:szCs w:val="20"/>
          <w:lang w:val="cs-CZ"/>
        </w:rPr>
        <w:t>vzrostly na</w:t>
      </w:r>
      <w:r w:rsidRPr="0008221F">
        <w:rPr>
          <w:rFonts w:ascii="Inter" w:hAnsi="Inter" w:cs="Arial"/>
          <w:sz w:val="20"/>
          <w:szCs w:val="20"/>
          <w:lang w:val="cs-CZ"/>
        </w:rPr>
        <w:t xml:space="preserve"> 1,283 milionů eur (+3,3 %; 1,242 milionů eur). </w:t>
      </w:r>
      <w:r w:rsidRPr="0008221F">
        <w:rPr>
          <w:rFonts w:ascii="Inter" w:hAnsi="Inter"/>
          <w:sz w:val="20"/>
          <w:szCs w:val="20"/>
          <w:lang w:val="cs-CZ"/>
        </w:rPr>
        <w:t>Personální náklady vzrostly na</w:t>
      </w:r>
      <w:r w:rsidRPr="0008221F">
        <w:rPr>
          <w:rFonts w:ascii="Inter" w:hAnsi="Inter" w:cs="Arial"/>
          <w:sz w:val="20"/>
          <w:szCs w:val="20"/>
          <w:lang w:val="cs-CZ"/>
        </w:rPr>
        <w:t xml:space="preserve"> 746 milionů eur (+7,0 %; 698 milionů eur), a to v důsledku navýšení mezd. Ostatní administrativní náklady poklesly na 402 milionů eur (-1,6 %; 409 milionů eur), a to díky tomu, že </w:t>
      </w:r>
      <w:r w:rsidRPr="0008221F">
        <w:rPr>
          <w:rFonts w:ascii="Inter" w:hAnsi="Inter"/>
          <w:sz w:val="20"/>
          <w:szCs w:val="20"/>
          <w:lang w:val="cs-CZ"/>
        </w:rPr>
        <w:t>p</w:t>
      </w:r>
      <w:r w:rsidRPr="0008221F">
        <w:rPr>
          <w:rFonts w:ascii="Inter" w:hAnsi="Inter" w:cs="Arial"/>
          <w:sz w:val="20"/>
          <w:szCs w:val="20"/>
          <w:lang w:val="cs-CZ"/>
        </w:rPr>
        <w:t xml:space="preserve">říspěvky </w:t>
      </w:r>
      <w:r w:rsidRPr="0008221F">
        <w:rPr>
          <w:rFonts w:ascii="Inter" w:hAnsi="Inter"/>
          <w:sz w:val="20"/>
          <w:szCs w:val="20"/>
          <w:lang w:val="cs-CZ"/>
        </w:rPr>
        <w:t xml:space="preserve">do </w:t>
      </w:r>
      <w:r w:rsidRPr="0008221F">
        <w:rPr>
          <w:rFonts w:ascii="Inter" w:hAnsi="Inter"/>
          <w:bCs/>
          <w:sz w:val="20"/>
          <w:szCs w:val="20"/>
          <w:lang w:val="cs-CZ"/>
        </w:rPr>
        <w:t>systémů pojištění vkladů</w:t>
      </w:r>
      <w:r w:rsidRPr="0008221F">
        <w:rPr>
          <w:rFonts w:ascii="Inter" w:hAnsi="Inter" w:cs="Arial"/>
          <w:sz w:val="20"/>
          <w:szCs w:val="20"/>
          <w:lang w:val="cs-CZ"/>
        </w:rPr>
        <w:t xml:space="preserve">, které byly z velké části zaúčtovány na celý rok dopředu již na počátku roku 2024, poklesly na 76 milionů eur (113 milionů eur), nejvýrazněji v Rakousku; náklady na IT činily 143 milionů EUR. Odpisy dosáhly 134 milionů eur (-1,3 %; 136 milionů eur). Celkově se </w:t>
      </w:r>
      <w:r w:rsidRPr="0008221F">
        <w:rPr>
          <w:rFonts w:ascii="Inter" w:hAnsi="Inter"/>
          <w:b/>
          <w:sz w:val="20"/>
          <w:szCs w:val="20"/>
          <w:lang w:val="cs-CZ"/>
        </w:rPr>
        <w:t>provozní výsledek</w:t>
      </w:r>
      <w:r w:rsidRPr="0008221F">
        <w:rPr>
          <w:rFonts w:ascii="Inter" w:hAnsi="Inter"/>
          <w:sz w:val="20"/>
          <w:szCs w:val="20"/>
          <w:lang w:val="cs-CZ"/>
        </w:rPr>
        <w:t xml:space="preserve"> výrazně zvýšil, a to na </w:t>
      </w:r>
      <w:r w:rsidRPr="0008221F">
        <w:rPr>
          <w:rFonts w:ascii="Inter" w:hAnsi="Inter" w:cs="Arial"/>
          <w:sz w:val="20"/>
          <w:szCs w:val="20"/>
          <w:lang w:val="cs-CZ"/>
        </w:rPr>
        <w:t>1,505 milionů eur (+19,8 %; 1,257 milionů eur)</w:t>
      </w:r>
      <w:r w:rsidR="003A3147">
        <w:rPr>
          <w:rFonts w:ascii="Inter" w:hAnsi="Inter" w:cs="Arial"/>
          <w:sz w:val="20"/>
          <w:szCs w:val="20"/>
          <w:lang w:val="cs-CZ"/>
        </w:rPr>
        <w:t xml:space="preserve"> </w:t>
      </w:r>
      <w:r w:rsidRPr="0008221F">
        <w:rPr>
          <w:rFonts w:ascii="Inter" w:hAnsi="Inter" w:cs="Arial"/>
          <w:sz w:val="20"/>
          <w:szCs w:val="20"/>
          <w:lang w:val="cs-CZ"/>
        </w:rPr>
        <w:t>a p</w:t>
      </w:r>
      <w:r w:rsidRPr="0008221F">
        <w:rPr>
          <w:rFonts w:ascii="Inter" w:hAnsi="Inter"/>
          <w:sz w:val="20"/>
          <w:szCs w:val="20"/>
          <w:lang w:val="cs-CZ"/>
        </w:rPr>
        <w:t xml:space="preserve">oměr </w:t>
      </w:r>
      <w:r w:rsidRPr="0008221F">
        <w:rPr>
          <w:rFonts w:ascii="Inter" w:hAnsi="Inter"/>
          <w:b/>
          <w:sz w:val="20"/>
          <w:szCs w:val="20"/>
          <w:lang w:val="cs-CZ"/>
        </w:rPr>
        <w:t>nákladů k výnosům</w:t>
      </w:r>
      <w:r w:rsidRPr="0008221F">
        <w:rPr>
          <w:rFonts w:ascii="Inter" w:hAnsi="Inter"/>
          <w:sz w:val="20"/>
          <w:szCs w:val="20"/>
          <w:lang w:val="cs-CZ"/>
        </w:rPr>
        <w:t xml:space="preserve"> se zlepšil na</w:t>
      </w:r>
      <w:r w:rsidRPr="0008221F">
        <w:rPr>
          <w:rFonts w:ascii="Inter" w:hAnsi="Inter" w:cs="Arial"/>
          <w:sz w:val="20"/>
          <w:szCs w:val="20"/>
          <w:lang w:val="cs-CZ"/>
        </w:rPr>
        <w:t xml:space="preserve"> 46,0 % (49,7 %)</w:t>
      </w:r>
      <w:r w:rsidRPr="0008221F">
        <w:rPr>
          <w:rFonts w:ascii="Inter" w:hAnsi="Inter"/>
          <w:sz w:val="20"/>
          <w:szCs w:val="20"/>
          <w:lang w:val="cs-CZ"/>
        </w:rPr>
        <w:t>.</w:t>
      </w:r>
    </w:p>
    <w:p w14:paraId="6972E84A" w14:textId="77777777" w:rsidR="00982BF6" w:rsidRPr="0008221F" w:rsidRDefault="00982BF6" w:rsidP="00982BF6">
      <w:pPr>
        <w:pStyle w:val="Bezmezer"/>
        <w:spacing w:line="280" w:lineRule="exact"/>
        <w:rPr>
          <w:rFonts w:ascii="Inter" w:hAnsi="Inter"/>
          <w:sz w:val="20"/>
          <w:szCs w:val="20"/>
          <w:lang w:val="cs-CZ"/>
        </w:rPr>
      </w:pPr>
    </w:p>
    <w:p w14:paraId="78465903" w14:textId="77777777" w:rsidR="00982BF6" w:rsidRPr="0008221F" w:rsidRDefault="00982BF6" w:rsidP="00982BF6">
      <w:pPr>
        <w:pStyle w:val="Nadpis4"/>
        <w:rPr>
          <w:rFonts w:ascii="Inter" w:hAnsi="Inter"/>
          <w:noProof w:val="0"/>
          <w:color w:val="auto"/>
          <w:lang w:val="cs-CZ"/>
        </w:rPr>
      </w:pPr>
      <w:r w:rsidRPr="0008221F">
        <w:rPr>
          <w:rFonts w:ascii="Inter" w:hAnsi="Inter"/>
          <w:noProof w:val="0"/>
          <w:color w:val="auto"/>
          <w:lang w:val="cs-CZ"/>
        </w:rPr>
        <w:t xml:space="preserve">Poměr rizikových úvěrů zůstává na úrovni 2,3 % </w:t>
      </w:r>
    </w:p>
    <w:p w14:paraId="3DD1CB24" w14:textId="46B78D30" w:rsidR="00982BF6" w:rsidRPr="0008221F" w:rsidRDefault="00982BF6" w:rsidP="00982BF6">
      <w:pPr>
        <w:spacing w:line="280" w:lineRule="exact"/>
        <w:rPr>
          <w:rFonts w:ascii="Inter" w:hAnsi="Inter"/>
          <w:noProof w:val="0"/>
          <w:lang w:val="cs-CZ"/>
        </w:rPr>
      </w:pPr>
      <w:r w:rsidRPr="0008221F">
        <w:rPr>
          <w:rFonts w:ascii="Inter" w:hAnsi="Inter"/>
          <w:b/>
          <w:bCs/>
          <w:noProof w:val="0"/>
          <w:lang w:val="cs-CZ"/>
        </w:rPr>
        <w:t>Ztráta ze znehodnocení finančních nástroj</w:t>
      </w:r>
      <w:r w:rsidR="007725B9">
        <w:rPr>
          <w:rFonts w:ascii="Inter" w:hAnsi="Inter"/>
          <w:b/>
          <w:bCs/>
          <w:noProof w:val="0"/>
          <w:lang w:val="cs-CZ"/>
        </w:rPr>
        <w:t>ů</w:t>
      </w:r>
      <w:r w:rsidRPr="0008221F">
        <w:rPr>
          <w:rFonts w:ascii="Inter" w:hAnsi="Inter"/>
          <w:b/>
          <w:bCs/>
          <w:noProof w:val="0"/>
          <w:lang w:val="cs-CZ"/>
        </w:rPr>
        <w:t xml:space="preserve"> </w:t>
      </w:r>
      <w:r w:rsidRPr="0008221F">
        <w:rPr>
          <w:rFonts w:ascii="Inter" w:hAnsi="Inter"/>
          <w:noProof w:val="0"/>
          <w:lang w:val="cs-CZ"/>
        </w:rPr>
        <w:t xml:space="preserve">dosáhla 95 milionů eur neboli 18 bazických bodů průměrných hrubých klientských úvěrů (21 milionů eur neboli 4 bazické body). Alokace na rezervy na úvěry a zálohy a na závazky a poskytnuté záruky byla zaúčtována na všech klíčových trzích s výjimkou Chorvatska a Maďarska. Pozitivní příspěvek byl zaznamenán v souvislosti s vymáháním již odepsaných úvěrů, především v Rakousku. </w:t>
      </w:r>
      <w:r w:rsidRPr="0008221F">
        <w:rPr>
          <w:rFonts w:ascii="Inter" w:hAnsi="Inter"/>
          <w:b/>
          <w:bCs/>
          <w:noProof w:val="0"/>
          <w:lang w:val="cs-CZ"/>
        </w:rPr>
        <w:t xml:space="preserve">Podíl rizikových úvěrů </w:t>
      </w:r>
      <w:r w:rsidRPr="0008221F">
        <w:rPr>
          <w:rFonts w:ascii="Inter" w:hAnsi="Inter"/>
          <w:noProof w:val="0"/>
          <w:lang w:val="cs-CZ"/>
        </w:rPr>
        <w:t xml:space="preserve">na základě hrubých zákaznických úvěrů zůstal stabilní a činil 2,3 % (2,3 %). </w:t>
      </w:r>
      <w:r w:rsidRPr="0008221F">
        <w:rPr>
          <w:rFonts w:ascii="Inter" w:hAnsi="Inter"/>
          <w:b/>
          <w:bCs/>
          <w:noProof w:val="0"/>
          <w:lang w:val="cs-CZ"/>
        </w:rPr>
        <w:t>Podíl krytí rizikových úvěrů</w:t>
      </w:r>
      <w:r w:rsidRPr="0008221F">
        <w:rPr>
          <w:rFonts w:ascii="Inter" w:hAnsi="Inter"/>
          <w:noProof w:val="0"/>
          <w:lang w:val="cs-CZ"/>
        </w:rPr>
        <w:t xml:space="preserve"> (bez zajištění) mírně poklesl, na 83,7 % (85,1 %). </w:t>
      </w:r>
    </w:p>
    <w:p w14:paraId="346AF214" w14:textId="77777777" w:rsidR="00982BF6" w:rsidRPr="0008221F" w:rsidRDefault="00982BF6" w:rsidP="00982BF6">
      <w:pPr>
        <w:pStyle w:val="Bezmezer"/>
        <w:spacing w:line="280" w:lineRule="exact"/>
        <w:rPr>
          <w:rFonts w:ascii="Inter" w:hAnsi="Inter"/>
          <w:lang w:val="cs-CZ"/>
        </w:rPr>
      </w:pPr>
    </w:p>
    <w:p w14:paraId="05D5C67B" w14:textId="1154F064" w:rsidR="00982BF6" w:rsidRPr="0008221F" w:rsidRDefault="00982BF6" w:rsidP="00982BF6">
      <w:pPr>
        <w:pStyle w:val="Nadpis4"/>
        <w:rPr>
          <w:rFonts w:ascii="Inter" w:hAnsi="Inter"/>
          <w:noProof w:val="0"/>
          <w:color w:val="auto"/>
          <w:lang w:val="cs-CZ"/>
        </w:rPr>
      </w:pPr>
      <w:r w:rsidRPr="0008221F">
        <w:rPr>
          <w:rFonts w:ascii="Inter" w:hAnsi="Inter"/>
          <w:noProof w:val="0"/>
          <w:color w:val="auto"/>
          <w:lang w:val="cs-CZ"/>
        </w:rPr>
        <w:t>Zlepšení ostatního provozní</w:t>
      </w:r>
      <w:r w:rsidR="009B5ED5">
        <w:rPr>
          <w:rFonts w:ascii="Inter" w:hAnsi="Inter"/>
          <w:noProof w:val="0"/>
          <w:color w:val="auto"/>
          <w:lang w:val="cs-CZ"/>
        </w:rPr>
        <w:t>ho</w:t>
      </w:r>
      <w:r w:rsidRPr="0008221F">
        <w:rPr>
          <w:rFonts w:ascii="Inter" w:hAnsi="Inter"/>
          <w:noProof w:val="0"/>
          <w:color w:val="auto"/>
          <w:lang w:val="cs-CZ"/>
        </w:rPr>
        <w:t xml:space="preserve"> výsledku pomáhá vylepšit i čistý zisk </w:t>
      </w:r>
    </w:p>
    <w:p w14:paraId="752C0EA8" w14:textId="3722FEE2" w:rsidR="00982BF6" w:rsidRPr="0008221F" w:rsidRDefault="00982BF6" w:rsidP="00982BF6">
      <w:pPr>
        <w:spacing w:line="280" w:lineRule="exact"/>
        <w:rPr>
          <w:rFonts w:ascii="Inter" w:hAnsi="Inter"/>
          <w:noProof w:val="0"/>
          <w:lang w:val="cs-CZ"/>
        </w:rPr>
      </w:pPr>
      <w:r w:rsidRPr="0008221F">
        <w:rPr>
          <w:rFonts w:ascii="Inter" w:hAnsi="Inter"/>
          <w:b/>
          <w:bCs/>
          <w:noProof w:val="0"/>
          <w:lang w:val="cs-CZ"/>
        </w:rPr>
        <w:t>Ostatní provozní výsledek</w:t>
      </w:r>
      <w:r w:rsidRPr="0008221F">
        <w:rPr>
          <w:rFonts w:ascii="Inter" w:hAnsi="Inter"/>
          <w:noProof w:val="0"/>
          <w:lang w:val="cs-CZ"/>
        </w:rPr>
        <w:t xml:space="preserve"> dosáhl výše 123 milionů eur (274 milionů eur). Výdaje na každoroční příspěvky do rezolučních fondů, které již byly součástí této položky za celý rok 2024, významně poklesly, a to na 27 milionů eur (138 milionů eur), vzhledem k tomu, že v eurozóně nebudou v roce 2024 vybírány žádné pravidelné každoroční příspěvky. Bankovní daně, které se v současné době platí na čtyřech klíčových trzích, činily 86 milionů eur (99 milionů eur) a jsou zahrnuty do ostatního provozního výsledku. Z toho bylo 67 milionů eur (89 milionů eur) naúčtováno v Maďarsku. V Rakousku bankovní daň činila 10 milionů eur (10 milionů eur)</w:t>
      </w:r>
      <w:r w:rsidR="009B5ED5">
        <w:rPr>
          <w:rFonts w:ascii="Inter" w:hAnsi="Inter"/>
          <w:noProof w:val="0"/>
          <w:lang w:val="cs-CZ"/>
        </w:rPr>
        <w:t xml:space="preserve"> a </w:t>
      </w:r>
      <w:r w:rsidRPr="0008221F">
        <w:rPr>
          <w:rFonts w:ascii="Inter" w:hAnsi="Inter"/>
          <w:noProof w:val="0"/>
          <w:lang w:val="cs-CZ"/>
        </w:rPr>
        <w:t>v Rumunsku 9 milionů eur (byla nově zavedena). Bankovní daň na Slovensku ve výši 21 milionů eur je zaúčtována přímo do položky daň z příjmu.</w:t>
      </w:r>
    </w:p>
    <w:p w14:paraId="363B4927" w14:textId="77777777" w:rsidR="00982BF6" w:rsidRPr="0008221F" w:rsidRDefault="00982BF6" w:rsidP="00982BF6">
      <w:pPr>
        <w:rPr>
          <w:rFonts w:ascii="Inter" w:hAnsi="Inter"/>
          <w:b/>
          <w:bCs/>
          <w:noProof w:val="0"/>
          <w:lang w:val="cs-CZ"/>
        </w:rPr>
      </w:pPr>
    </w:p>
    <w:p w14:paraId="1B723C68" w14:textId="77777777" w:rsidR="00982BF6" w:rsidRPr="0008221F" w:rsidRDefault="00982BF6" w:rsidP="00982BF6">
      <w:pPr>
        <w:spacing w:line="280" w:lineRule="exact"/>
        <w:rPr>
          <w:rFonts w:ascii="Inter" w:hAnsi="Inter"/>
          <w:noProof w:val="0"/>
          <w:lang w:val="cs-CZ"/>
        </w:rPr>
      </w:pPr>
      <w:r w:rsidRPr="0008221F">
        <w:rPr>
          <w:rFonts w:ascii="Inter" w:hAnsi="Inter"/>
          <w:noProof w:val="0"/>
          <w:lang w:val="cs-CZ"/>
        </w:rPr>
        <w:t xml:space="preserve">Daň z příjmu činila 257 milionů eur (186 milionů eur). Zvýšení plateb minoritním akcionářům na 244 milionů eur (224 milionů eur) bylo důsledkem lepších výsledků spořitelen – zejména díky vyšším úrokovým příjmům a neplacení příspěvků do rezolučního fondu. Díky dobrému provoznímu výsledku a lepšímu ostatnímu </w:t>
      </w:r>
      <w:r w:rsidRPr="0008221F">
        <w:rPr>
          <w:rFonts w:ascii="Inter" w:hAnsi="Inter"/>
          <w:noProof w:val="0"/>
          <w:lang w:val="cs-CZ"/>
        </w:rPr>
        <w:lastRenderedPageBreak/>
        <w:t xml:space="preserve">provoznímu výsledku vzrostl </w:t>
      </w:r>
      <w:r w:rsidRPr="0008221F">
        <w:rPr>
          <w:rFonts w:ascii="Inter" w:hAnsi="Inter"/>
          <w:b/>
          <w:bCs/>
          <w:noProof w:val="0"/>
          <w:lang w:val="cs-CZ"/>
        </w:rPr>
        <w:t>čistý zisk náležející vlastníkům mateřské společnosti</w:t>
      </w:r>
      <w:r w:rsidRPr="0008221F">
        <w:rPr>
          <w:rFonts w:ascii="Inter" w:hAnsi="Inter"/>
          <w:noProof w:val="0"/>
          <w:lang w:val="cs-CZ"/>
        </w:rPr>
        <w:t xml:space="preserve"> na 783 milionů eur (594 milionů eur). </w:t>
      </w:r>
    </w:p>
    <w:p w14:paraId="08841017" w14:textId="77777777" w:rsidR="00982BF6" w:rsidRPr="0008221F" w:rsidRDefault="00982BF6" w:rsidP="00982BF6">
      <w:pPr>
        <w:pStyle w:val="Bezmezer"/>
        <w:spacing w:line="280" w:lineRule="exact"/>
        <w:rPr>
          <w:rFonts w:ascii="Inter" w:hAnsi="Inter"/>
          <w:lang w:val="cs-CZ"/>
        </w:rPr>
      </w:pPr>
    </w:p>
    <w:p w14:paraId="4D69FF92" w14:textId="77777777" w:rsidR="00982BF6" w:rsidRPr="0008221F" w:rsidRDefault="00982BF6" w:rsidP="00982BF6">
      <w:pPr>
        <w:pStyle w:val="Nadpis4"/>
        <w:rPr>
          <w:rFonts w:ascii="Inter" w:hAnsi="Inter"/>
          <w:noProof w:val="0"/>
          <w:color w:val="auto"/>
          <w:lang w:val="cs-CZ"/>
        </w:rPr>
      </w:pPr>
      <w:r w:rsidRPr="0008221F">
        <w:rPr>
          <w:rFonts w:ascii="Inter" w:hAnsi="Inter"/>
          <w:noProof w:val="0"/>
          <w:color w:val="auto"/>
          <w:lang w:val="cs-CZ"/>
        </w:rPr>
        <w:t xml:space="preserve">Objem úvěrů zůstává v podstatě beze změn, zatímco objem vkladů narostl o 1,1 % </w:t>
      </w:r>
    </w:p>
    <w:p w14:paraId="767E6D3C" w14:textId="7A999DFA" w:rsidR="00982BF6" w:rsidRPr="0008221F" w:rsidRDefault="00982BF6" w:rsidP="00982BF6">
      <w:pPr>
        <w:spacing w:line="280" w:lineRule="exact"/>
        <w:rPr>
          <w:rFonts w:ascii="Inter" w:hAnsi="Inter"/>
          <w:noProof w:val="0"/>
          <w:lang w:val="cs-CZ"/>
        </w:rPr>
      </w:pPr>
      <w:r w:rsidRPr="0008221F">
        <w:rPr>
          <w:rStyle w:val="FettimText"/>
          <w:rFonts w:ascii="Inter" w:hAnsi="Inter"/>
          <w:noProof w:val="0"/>
          <w:lang w:val="cs-CZ"/>
        </w:rPr>
        <w:t xml:space="preserve">Celkový vlastní kapitál </w:t>
      </w:r>
      <w:r w:rsidRPr="0008221F">
        <w:rPr>
          <w:rFonts w:ascii="Inter" w:hAnsi="Inter"/>
          <w:noProof w:val="0"/>
          <w:lang w:val="cs-CZ"/>
        </w:rPr>
        <w:t xml:space="preserve">bez nástrojů AT1 vzrostl na 26,9 miliard eur (26,1 miliard eur). Po regulatorních odpočtech a filtracích v souladu s nařízením o kapitálových požadavcích (CRR) dosáhl </w:t>
      </w:r>
      <w:r w:rsidRPr="0008221F">
        <w:rPr>
          <w:rStyle w:val="FettimText"/>
          <w:rFonts w:ascii="Inter" w:hAnsi="Inter"/>
          <w:bCs/>
          <w:noProof w:val="0"/>
          <w:lang w:val="cs-CZ"/>
        </w:rPr>
        <w:t>kmenový kapitál tier 1</w:t>
      </w:r>
      <w:r w:rsidRPr="0008221F">
        <w:rPr>
          <w:rStyle w:val="FettimText"/>
          <w:rFonts w:ascii="Inter" w:hAnsi="Inter"/>
          <w:b w:val="0"/>
          <w:noProof w:val="0"/>
          <w:lang w:val="cs-CZ"/>
        </w:rPr>
        <w:t xml:space="preserve"> </w:t>
      </w:r>
      <w:r w:rsidRPr="0008221F">
        <w:rPr>
          <w:rFonts w:ascii="Inter" w:hAnsi="Inter"/>
          <w:noProof w:val="0"/>
          <w:lang w:val="cs-CZ"/>
        </w:rPr>
        <w:t xml:space="preserve">(CET1, konečný) úrovně 22,7 miliard eur (22,9 miliard eur), celkové </w:t>
      </w:r>
      <w:r w:rsidRPr="0008221F">
        <w:rPr>
          <w:rFonts w:ascii="Inter" w:hAnsi="Inter"/>
          <w:b/>
          <w:bCs/>
          <w:noProof w:val="0"/>
          <w:lang w:val="cs-CZ"/>
        </w:rPr>
        <w:t xml:space="preserve">vlastní prostředky </w:t>
      </w:r>
      <w:r w:rsidRPr="0008221F">
        <w:rPr>
          <w:rFonts w:ascii="Inter" w:hAnsi="Inter"/>
          <w:noProof w:val="0"/>
          <w:lang w:val="cs-CZ"/>
        </w:rPr>
        <w:t>(konečné) dosáhly výše 28,7 miliard eur (29,1 miliard eur). Do výše uvedených údajů není zahrnut průběžný zisk za první čtvrtletí roku a rizikové náklady jsou odečteny. Celkové riziko (</w:t>
      </w:r>
      <w:r w:rsidRPr="0008221F">
        <w:rPr>
          <w:rStyle w:val="FettimText"/>
          <w:rFonts w:ascii="Inter" w:hAnsi="Inter"/>
          <w:noProof w:val="0"/>
          <w:lang w:val="cs-CZ"/>
        </w:rPr>
        <w:t xml:space="preserve">rizikově vážená aktiva, </w:t>
      </w:r>
      <w:r w:rsidRPr="0008221F">
        <w:rPr>
          <w:rFonts w:ascii="Inter" w:hAnsi="Inter"/>
          <w:noProof w:val="0"/>
          <w:lang w:val="cs-CZ"/>
        </w:rPr>
        <w:t>zahrnující úvěrové, tržní a operační riziko</w:t>
      </w:r>
      <w:r w:rsidR="009B5ED5">
        <w:rPr>
          <w:rFonts w:ascii="Inter" w:hAnsi="Inter"/>
          <w:noProof w:val="0"/>
          <w:lang w:val="cs-CZ"/>
        </w:rPr>
        <w:t>,</w:t>
      </w:r>
      <w:r w:rsidRPr="0008221F">
        <w:rPr>
          <w:rFonts w:ascii="Inter" w:hAnsi="Inter"/>
          <w:noProof w:val="0"/>
          <w:lang w:val="cs-CZ"/>
        </w:rPr>
        <w:t xml:space="preserve"> CRR, konečné) vzrostlo na 14</w:t>
      </w:r>
      <w:r w:rsidR="00644A81">
        <w:rPr>
          <w:rFonts w:ascii="Inter" w:hAnsi="Inter"/>
          <w:noProof w:val="0"/>
          <w:lang w:val="cs-CZ"/>
        </w:rPr>
        <w:t>9</w:t>
      </w:r>
      <w:r w:rsidRPr="0008221F">
        <w:rPr>
          <w:rFonts w:ascii="Inter" w:hAnsi="Inter"/>
          <w:noProof w:val="0"/>
          <w:lang w:val="cs-CZ"/>
        </w:rPr>
        <w:t>,</w:t>
      </w:r>
      <w:r w:rsidR="00644A81">
        <w:rPr>
          <w:rFonts w:ascii="Inter" w:hAnsi="Inter"/>
          <w:noProof w:val="0"/>
          <w:lang w:val="cs-CZ"/>
        </w:rPr>
        <w:t>9</w:t>
      </w:r>
      <w:r w:rsidRPr="0008221F">
        <w:rPr>
          <w:rFonts w:ascii="Inter" w:hAnsi="Inter"/>
          <w:noProof w:val="0"/>
          <w:lang w:val="cs-CZ"/>
        </w:rPr>
        <w:t xml:space="preserve"> miliard eur (14</w:t>
      </w:r>
      <w:r w:rsidR="00644A81">
        <w:rPr>
          <w:rFonts w:ascii="Inter" w:hAnsi="Inter"/>
          <w:noProof w:val="0"/>
          <w:lang w:val="cs-CZ"/>
        </w:rPr>
        <w:t>6,5</w:t>
      </w:r>
      <w:r w:rsidRPr="0008221F">
        <w:rPr>
          <w:rFonts w:ascii="Inter" w:hAnsi="Inter"/>
          <w:noProof w:val="0"/>
          <w:lang w:val="cs-CZ"/>
        </w:rPr>
        <w:t xml:space="preserve"> miliard eur). </w:t>
      </w:r>
      <w:r w:rsidRPr="0008221F">
        <w:rPr>
          <w:rStyle w:val="FettimText"/>
          <w:rFonts w:ascii="Inter" w:hAnsi="Inter"/>
          <w:noProof w:val="0"/>
          <w:lang w:val="cs-CZ"/>
        </w:rPr>
        <w:t xml:space="preserve">Ukazatel kmenového kapitálu tier 1 </w:t>
      </w:r>
      <w:r w:rsidRPr="0008221F">
        <w:rPr>
          <w:rFonts w:ascii="Inter" w:hAnsi="Inter"/>
          <w:noProof w:val="0"/>
          <w:lang w:val="cs-CZ"/>
        </w:rPr>
        <w:t xml:space="preserve">(CET1, konečný) činil 15,2 % (15,7 %), </w:t>
      </w:r>
      <w:r w:rsidRPr="0008221F">
        <w:rPr>
          <w:rStyle w:val="FettimText"/>
          <w:rFonts w:ascii="Inter" w:hAnsi="Inter"/>
          <w:noProof w:val="0"/>
          <w:lang w:val="cs-CZ"/>
        </w:rPr>
        <w:t>ukazatel celkového kapitálu</w:t>
      </w:r>
      <w:r w:rsidRPr="0008221F">
        <w:rPr>
          <w:rFonts w:ascii="Inter" w:hAnsi="Inter"/>
          <w:noProof w:val="0"/>
          <w:lang w:val="cs-CZ"/>
        </w:rPr>
        <w:t xml:space="preserve"> 19,2 % (19,9 %).</w:t>
      </w:r>
    </w:p>
    <w:p w14:paraId="6B3197E5" w14:textId="77777777" w:rsidR="00982BF6" w:rsidRPr="0008221F" w:rsidRDefault="00982BF6" w:rsidP="00982BF6">
      <w:pPr>
        <w:spacing w:before="80" w:line="240" w:lineRule="atLeast"/>
        <w:rPr>
          <w:rFonts w:ascii="Inter" w:hAnsi="Inter"/>
          <w:noProof w:val="0"/>
          <w:lang w:val="cs-CZ"/>
        </w:rPr>
      </w:pPr>
    </w:p>
    <w:p w14:paraId="689D2B31" w14:textId="399CC01A" w:rsidR="00982BF6" w:rsidRPr="0008221F" w:rsidRDefault="00982BF6" w:rsidP="00982BF6">
      <w:pPr>
        <w:pStyle w:val="Bezmezer"/>
        <w:spacing w:line="280" w:lineRule="exact"/>
        <w:rPr>
          <w:rFonts w:ascii="Inter" w:hAnsi="Inter"/>
          <w:sz w:val="20"/>
          <w:szCs w:val="20"/>
          <w:lang w:val="cs-CZ"/>
        </w:rPr>
      </w:pPr>
      <w:r w:rsidRPr="0008221F">
        <w:rPr>
          <w:rFonts w:ascii="Inter" w:hAnsi="Inter" w:cs="Arial"/>
          <w:b/>
          <w:sz w:val="20"/>
          <w:szCs w:val="20"/>
          <w:lang w:val="cs-CZ"/>
        </w:rPr>
        <w:t xml:space="preserve">Aktiva celkem </w:t>
      </w:r>
      <w:r w:rsidRPr="0008221F">
        <w:rPr>
          <w:rFonts w:ascii="Inter" w:hAnsi="Inter" w:cs="Arial"/>
          <w:bCs/>
          <w:sz w:val="20"/>
          <w:szCs w:val="20"/>
          <w:lang w:val="cs-CZ"/>
        </w:rPr>
        <w:t xml:space="preserve">stoupla na </w:t>
      </w:r>
      <w:r w:rsidRPr="0008221F">
        <w:rPr>
          <w:rFonts w:ascii="Inter" w:hAnsi="Inter"/>
          <w:sz w:val="20"/>
          <w:szCs w:val="20"/>
          <w:lang w:val="cs-CZ"/>
        </w:rPr>
        <w:t>342,7</w:t>
      </w:r>
      <w:r w:rsidRPr="0008221F">
        <w:rPr>
          <w:rFonts w:ascii="Inter" w:hAnsi="Inter" w:cs="Arial"/>
          <w:bCs/>
          <w:sz w:val="20"/>
          <w:szCs w:val="20"/>
          <w:lang w:val="cs-CZ"/>
        </w:rPr>
        <w:t xml:space="preserve"> miliard EUR</w:t>
      </w:r>
      <w:r w:rsidRPr="0008221F">
        <w:rPr>
          <w:rFonts w:ascii="Inter" w:hAnsi="Inter" w:cs="Arial"/>
          <w:b/>
          <w:sz w:val="20"/>
          <w:szCs w:val="20"/>
          <w:lang w:val="cs-CZ"/>
        </w:rPr>
        <w:t xml:space="preserve"> </w:t>
      </w:r>
      <w:r w:rsidRPr="0008221F">
        <w:rPr>
          <w:rFonts w:ascii="Inter" w:hAnsi="Inter" w:cs="Arial"/>
          <w:sz w:val="20"/>
          <w:szCs w:val="20"/>
          <w:lang w:val="cs-CZ"/>
        </w:rPr>
        <w:t>(+1,6 %; 337,2 miliardy EUR)</w:t>
      </w:r>
      <w:r w:rsidRPr="0008221F">
        <w:rPr>
          <w:rFonts w:ascii="Inter" w:hAnsi="Inter" w:cs="Arial"/>
          <w:bCs/>
          <w:sz w:val="20"/>
          <w:szCs w:val="20"/>
          <w:lang w:val="cs-CZ"/>
        </w:rPr>
        <w:t xml:space="preserve">. Na straně aktiv se </w:t>
      </w:r>
      <w:r w:rsidR="00FD482A">
        <w:rPr>
          <w:rFonts w:ascii="Inter" w:hAnsi="Inter" w:cs="Arial"/>
          <w:bCs/>
          <w:sz w:val="20"/>
          <w:szCs w:val="20"/>
          <w:lang w:val="cs-CZ"/>
        </w:rPr>
        <w:t>sníž</w:t>
      </w:r>
      <w:r w:rsidRPr="0008221F">
        <w:rPr>
          <w:rFonts w:ascii="Inter" w:hAnsi="Inter" w:cs="Arial"/>
          <w:bCs/>
          <w:sz w:val="20"/>
          <w:szCs w:val="20"/>
          <w:lang w:val="cs-CZ"/>
        </w:rPr>
        <w:t>ila pokladní hotovost</w:t>
      </w:r>
      <w:r w:rsidR="00FD482A">
        <w:rPr>
          <w:rFonts w:ascii="Inter" w:hAnsi="Inter" w:cs="Arial"/>
          <w:bCs/>
          <w:sz w:val="20"/>
          <w:szCs w:val="20"/>
          <w:lang w:val="cs-CZ"/>
        </w:rPr>
        <w:t xml:space="preserve"> </w:t>
      </w:r>
      <w:r w:rsidR="00FD482A" w:rsidRPr="0008221F">
        <w:rPr>
          <w:rFonts w:ascii="Inter" w:hAnsi="Inter" w:cs="Arial"/>
          <w:bCs/>
          <w:sz w:val="20"/>
          <w:szCs w:val="20"/>
          <w:lang w:val="cs-CZ"/>
        </w:rPr>
        <w:t>a hotovost u centrálních bank</w:t>
      </w:r>
      <w:r w:rsidR="00FD482A">
        <w:rPr>
          <w:rFonts w:ascii="Inter" w:hAnsi="Inter" w:cs="Arial"/>
          <w:bCs/>
          <w:sz w:val="20"/>
          <w:szCs w:val="20"/>
          <w:lang w:val="cs-CZ"/>
        </w:rPr>
        <w:t xml:space="preserve">, a to na </w:t>
      </w:r>
      <w:r w:rsidRPr="0008221F">
        <w:rPr>
          <w:rFonts w:ascii="Inter" w:hAnsi="Inter" w:cs="Arial"/>
          <w:bCs/>
          <w:sz w:val="20"/>
          <w:szCs w:val="20"/>
          <w:lang w:val="cs-CZ"/>
        </w:rPr>
        <w:t xml:space="preserve">29,4 miliardy EUR (36,7 miliard EUR); úvěry a jiné pohledávky za bankami vzrostly zejména v Rakousku a České republice – na 30,9 miliard EUR (21,4 miliard EUR). </w:t>
      </w:r>
      <w:r w:rsidRPr="0008221F">
        <w:rPr>
          <w:rFonts w:ascii="Inter" w:hAnsi="Inter" w:cs="Arial"/>
          <w:b/>
          <w:sz w:val="20"/>
          <w:szCs w:val="20"/>
          <w:lang w:val="cs-CZ"/>
        </w:rPr>
        <w:t>Úvěry a jiné pohledávky</w:t>
      </w:r>
      <w:r w:rsidRPr="0008221F">
        <w:rPr>
          <w:rFonts w:ascii="Inter" w:hAnsi="Inter" w:cs="Arial"/>
          <w:bCs/>
          <w:sz w:val="20"/>
          <w:szCs w:val="20"/>
          <w:lang w:val="cs-CZ"/>
        </w:rPr>
        <w:t xml:space="preserve"> </w:t>
      </w:r>
      <w:r w:rsidRPr="0008221F">
        <w:rPr>
          <w:rFonts w:ascii="Inter" w:hAnsi="Inter" w:cs="Arial"/>
          <w:b/>
          <w:sz w:val="20"/>
          <w:szCs w:val="20"/>
          <w:lang w:val="cs-CZ"/>
        </w:rPr>
        <w:t xml:space="preserve">za klienty </w:t>
      </w:r>
      <w:r w:rsidRPr="0008221F">
        <w:rPr>
          <w:rFonts w:ascii="Inter" w:hAnsi="Inter" w:cs="Arial"/>
          <w:bCs/>
          <w:sz w:val="20"/>
          <w:szCs w:val="20"/>
          <w:lang w:val="cs-CZ"/>
        </w:rPr>
        <w:t>zůstaly v po</w:t>
      </w:r>
      <w:r w:rsidR="00FD482A">
        <w:rPr>
          <w:rFonts w:ascii="Inter" w:hAnsi="Inter" w:cs="Arial"/>
          <w:bCs/>
          <w:sz w:val="20"/>
          <w:szCs w:val="20"/>
          <w:lang w:val="cs-CZ"/>
        </w:rPr>
        <w:t>r</w:t>
      </w:r>
      <w:r w:rsidRPr="0008221F">
        <w:rPr>
          <w:rFonts w:ascii="Inter" w:hAnsi="Inter" w:cs="Arial"/>
          <w:bCs/>
          <w:sz w:val="20"/>
          <w:szCs w:val="20"/>
          <w:lang w:val="cs-CZ"/>
        </w:rPr>
        <w:t>o</w:t>
      </w:r>
      <w:r w:rsidR="00FD482A">
        <w:rPr>
          <w:rFonts w:ascii="Inter" w:hAnsi="Inter" w:cs="Arial"/>
          <w:bCs/>
          <w:sz w:val="20"/>
          <w:szCs w:val="20"/>
          <w:lang w:val="cs-CZ"/>
        </w:rPr>
        <w:t>v</w:t>
      </w:r>
      <w:r w:rsidRPr="0008221F">
        <w:rPr>
          <w:rFonts w:ascii="Inter" w:hAnsi="Inter" w:cs="Arial"/>
          <w:bCs/>
          <w:sz w:val="20"/>
          <w:szCs w:val="20"/>
          <w:lang w:val="cs-CZ"/>
        </w:rPr>
        <w:t xml:space="preserve">nání s koncem roku 2023 v podstatě beze změn a činily 208,1 miliardy EUR </w:t>
      </w:r>
      <w:r w:rsidRPr="0008221F">
        <w:rPr>
          <w:rFonts w:ascii="Inter" w:hAnsi="Inter" w:cs="Arial"/>
          <w:sz w:val="20"/>
          <w:szCs w:val="20"/>
          <w:lang w:val="cs-CZ"/>
        </w:rPr>
        <w:t xml:space="preserve">(+0,1 %; 207,8 miliardy EUR). </w:t>
      </w:r>
      <w:r w:rsidRPr="0008221F">
        <w:rPr>
          <w:rFonts w:ascii="Inter" w:hAnsi="Inter" w:cs="Arial"/>
          <w:bCs/>
          <w:sz w:val="20"/>
          <w:szCs w:val="20"/>
          <w:lang w:val="cs-CZ"/>
        </w:rPr>
        <w:t xml:space="preserve">Na pasivní straně poklesly vklady bank, a to na 19,7 miliard EUR (22,9 miliard EUR). </w:t>
      </w:r>
      <w:r w:rsidRPr="0008221F">
        <w:rPr>
          <w:rFonts w:ascii="Inter" w:hAnsi="Inter" w:cs="Arial"/>
          <w:b/>
          <w:sz w:val="20"/>
          <w:szCs w:val="20"/>
          <w:lang w:val="cs-CZ"/>
        </w:rPr>
        <w:t xml:space="preserve">Vklady klientů </w:t>
      </w:r>
      <w:r w:rsidRPr="0008221F">
        <w:rPr>
          <w:rFonts w:ascii="Inter" w:hAnsi="Inter" w:cs="Arial"/>
          <w:bCs/>
          <w:sz w:val="20"/>
          <w:szCs w:val="20"/>
          <w:lang w:val="cs-CZ"/>
        </w:rPr>
        <w:t>rostly nejvýrazněji v České republice a v Rumunsku – na 235,3 miliard (</w:t>
      </w:r>
      <w:r w:rsidRPr="0008221F">
        <w:rPr>
          <w:rFonts w:ascii="Inter" w:hAnsi="Inter" w:cs="Arial"/>
          <w:sz w:val="20"/>
          <w:szCs w:val="20"/>
          <w:lang w:val="cs-CZ"/>
        </w:rPr>
        <w:t>+1,1</w:t>
      </w:r>
      <w:r w:rsidR="00FD482A">
        <w:rPr>
          <w:rFonts w:ascii="Inter" w:hAnsi="Inter" w:cs="Arial"/>
          <w:sz w:val="20"/>
          <w:szCs w:val="20"/>
          <w:lang w:val="cs-CZ"/>
        </w:rPr>
        <w:t> </w:t>
      </w:r>
      <w:r w:rsidRPr="0008221F">
        <w:rPr>
          <w:rFonts w:ascii="Inter" w:hAnsi="Inter" w:cs="Arial"/>
          <w:sz w:val="20"/>
          <w:szCs w:val="20"/>
          <w:lang w:val="cs-CZ"/>
        </w:rPr>
        <w:t>%, 232,8</w:t>
      </w:r>
      <w:r w:rsidRPr="0008221F">
        <w:rPr>
          <w:rFonts w:ascii="Inter" w:hAnsi="Inter" w:cs="Arial"/>
          <w:bCs/>
          <w:sz w:val="20"/>
          <w:szCs w:val="20"/>
          <w:lang w:val="cs-CZ"/>
        </w:rPr>
        <w:t xml:space="preserve"> miliard EUR). </w:t>
      </w:r>
      <w:r w:rsidRPr="0008221F">
        <w:rPr>
          <w:rFonts w:ascii="Inter" w:hAnsi="Inter" w:cs="Arial"/>
          <w:b/>
          <w:sz w:val="20"/>
          <w:szCs w:val="20"/>
          <w:lang w:val="cs-CZ"/>
        </w:rPr>
        <w:t>Poměr úvěrů ke vkladům</w:t>
      </w:r>
      <w:r w:rsidRPr="0008221F">
        <w:rPr>
          <w:rFonts w:ascii="Inter" w:hAnsi="Inter" w:cs="Arial"/>
          <w:bCs/>
          <w:sz w:val="20"/>
          <w:szCs w:val="20"/>
          <w:lang w:val="cs-CZ"/>
        </w:rPr>
        <w:t xml:space="preserve"> činil 88,4 % </w:t>
      </w:r>
      <w:r w:rsidRPr="0008221F">
        <w:rPr>
          <w:rFonts w:ascii="Inter" w:hAnsi="Inter"/>
          <w:sz w:val="20"/>
          <w:szCs w:val="20"/>
          <w:lang w:val="cs-CZ"/>
        </w:rPr>
        <w:t>(89,3 %)</w:t>
      </w:r>
    </w:p>
    <w:p w14:paraId="708EF281" w14:textId="77777777" w:rsidR="00982BF6" w:rsidRPr="0008221F" w:rsidRDefault="00982BF6" w:rsidP="00982BF6">
      <w:pPr>
        <w:pStyle w:val="Bezmezer"/>
        <w:spacing w:line="280" w:lineRule="exact"/>
        <w:rPr>
          <w:rFonts w:ascii="Inter" w:hAnsi="Inter"/>
          <w:lang w:val="cs-CZ"/>
        </w:rPr>
      </w:pPr>
    </w:p>
    <w:p w14:paraId="36FA3ACC" w14:textId="77777777" w:rsidR="00982BF6" w:rsidRPr="0008221F" w:rsidRDefault="00982BF6" w:rsidP="00982BF6">
      <w:pPr>
        <w:pStyle w:val="Nadpis4"/>
        <w:rPr>
          <w:rFonts w:ascii="Inter" w:hAnsi="Inter"/>
          <w:noProof w:val="0"/>
          <w:color w:val="auto"/>
          <w:lang w:val="cs-CZ"/>
        </w:rPr>
      </w:pPr>
      <w:r w:rsidRPr="0008221F">
        <w:rPr>
          <w:rFonts w:ascii="Inter" w:hAnsi="Inter"/>
          <w:noProof w:val="0"/>
          <w:color w:val="auto"/>
          <w:lang w:val="cs-CZ"/>
        </w:rPr>
        <w:t>Výhled na rok 2024</w:t>
      </w:r>
    </w:p>
    <w:p w14:paraId="38AE685F" w14:textId="77777777" w:rsidR="00982BF6" w:rsidRPr="0008221F" w:rsidRDefault="00982BF6" w:rsidP="00982BF6">
      <w:pPr>
        <w:spacing w:line="280" w:lineRule="exact"/>
        <w:rPr>
          <w:rFonts w:ascii="Inter" w:hAnsi="Inter"/>
          <w:noProof w:val="0"/>
          <w:lang w:val="cs-CZ"/>
        </w:rPr>
      </w:pPr>
      <w:r w:rsidRPr="0008221F">
        <w:rPr>
          <w:rFonts w:ascii="Inter" w:hAnsi="Inter"/>
          <w:noProof w:val="0"/>
          <w:lang w:val="cs-CZ"/>
        </w:rPr>
        <w:t xml:space="preserve">Ekonomové očekávají, že klíčové trhy Erste Group zaznamenají v roce 2024 </w:t>
      </w:r>
      <w:r w:rsidRPr="0008221F">
        <w:rPr>
          <w:rFonts w:ascii="Inter" w:hAnsi="Inter"/>
          <w:b/>
          <w:noProof w:val="0"/>
          <w:lang w:val="cs-CZ"/>
        </w:rPr>
        <w:t>vyšší růst HDP</w:t>
      </w:r>
      <w:r w:rsidRPr="0008221F">
        <w:rPr>
          <w:rFonts w:ascii="Inter" w:hAnsi="Inter"/>
          <w:noProof w:val="0"/>
          <w:lang w:val="cs-CZ"/>
        </w:rPr>
        <w:t xml:space="preserve">. Očekává se, že </w:t>
      </w:r>
      <w:r w:rsidRPr="0008221F">
        <w:rPr>
          <w:rFonts w:ascii="Inter" w:hAnsi="Inter"/>
          <w:b/>
          <w:bCs/>
          <w:noProof w:val="0"/>
          <w:lang w:val="cs-CZ"/>
        </w:rPr>
        <w:t>inflační tlaky</w:t>
      </w:r>
      <w:r w:rsidRPr="0008221F">
        <w:rPr>
          <w:rFonts w:ascii="Inter" w:hAnsi="Inter"/>
          <w:noProof w:val="0"/>
          <w:lang w:val="cs-CZ"/>
        </w:rPr>
        <w:t xml:space="preserve"> budou v roce 2024 </w:t>
      </w:r>
      <w:r w:rsidRPr="0008221F">
        <w:rPr>
          <w:rFonts w:ascii="Inter" w:hAnsi="Inter"/>
          <w:b/>
          <w:bCs/>
          <w:noProof w:val="0"/>
          <w:lang w:val="cs-CZ"/>
        </w:rPr>
        <w:t>pokračovat v sestupném trendu</w:t>
      </w:r>
      <w:r w:rsidRPr="0008221F">
        <w:rPr>
          <w:rFonts w:ascii="Inter" w:hAnsi="Inter"/>
          <w:noProof w:val="0"/>
          <w:lang w:val="cs-CZ"/>
        </w:rPr>
        <w:t xml:space="preserve">. </w:t>
      </w:r>
      <w:r w:rsidRPr="0008221F">
        <w:rPr>
          <w:rFonts w:ascii="Inter" w:hAnsi="Inter"/>
          <w:b/>
          <w:bCs/>
          <w:noProof w:val="0"/>
          <w:lang w:val="cs-CZ"/>
        </w:rPr>
        <w:t>Trhy práce budou i nadále silné</w:t>
      </w:r>
      <w:r w:rsidRPr="0008221F">
        <w:rPr>
          <w:rFonts w:ascii="Inter" w:hAnsi="Inter"/>
          <w:noProof w:val="0"/>
          <w:lang w:val="cs-CZ"/>
        </w:rPr>
        <w:t xml:space="preserve">, což by mělo podpořit hospodářské výsledky na všech trzích Erste Group. Podle prognóz by mělo saldo běžného účtu zůstat ve většině zemí na udržitelné úrovni a fiskální deficity by měly pokračovat v konsolidaci. </w:t>
      </w:r>
      <w:r w:rsidRPr="0008221F">
        <w:rPr>
          <w:rFonts w:ascii="Inter" w:hAnsi="Inter"/>
          <w:b/>
          <w:bCs/>
          <w:noProof w:val="0"/>
          <w:lang w:val="cs-CZ"/>
        </w:rPr>
        <w:t xml:space="preserve">Poměr veřejného dluhu k HDP </w:t>
      </w:r>
      <w:r w:rsidRPr="0008221F">
        <w:rPr>
          <w:rFonts w:ascii="Inter" w:hAnsi="Inter"/>
          <w:noProof w:val="0"/>
          <w:lang w:val="cs-CZ"/>
        </w:rPr>
        <w:t xml:space="preserve">by měl být na všech trzích Erste Group </w:t>
      </w:r>
      <w:r w:rsidRPr="0008221F">
        <w:rPr>
          <w:rFonts w:ascii="Inter" w:hAnsi="Inter"/>
          <w:b/>
          <w:bCs/>
          <w:noProof w:val="0"/>
          <w:lang w:val="cs-CZ"/>
        </w:rPr>
        <w:t xml:space="preserve">v podstatě stabilní </w:t>
      </w:r>
      <w:r w:rsidRPr="0008221F">
        <w:rPr>
          <w:rFonts w:ascii="Inter" w:hAnsi="Inter"/>
          <w:noProof w:val="0"/>
          <w:lang w:val="cs-CZ"/>
        </w:rPr>
        <w:t>a zůstat tak výrazně pod průměrem eurozóny.</w:t>
      </w:r>
    </w:p>
    <w:p w14:paraId="15E6CA33" w14:textId="77777777" w:rsidR="00982BF6" w:rsidRPr="0008221F" w:rsidRDefault="00982BF6" w:rsidP="00982BF6">
      <w:pPr>
        <w:pStyle w:val="Bezmezer"/>
        <w:spacing w:line="280" w:lineRule="exact"/>
        <w:rPr>
          <w:rFonts w:ascii="Inter" w:hAnsi="Inter"/>
          <w:lang w:val="cs-CZ"/>
        </w:rPr>
      </w:pPr>
    </w:p>
    <w:p w14:paraId="51E7B728" w14:textId="77777777" w:rsidR="00982BF6" w:rsidRPr="0008221F" w:rsidRDefault="00982BF6" w:rsidP="00982BF6">
      <w:pPr>
        <w:pStyle w:val="Bezmezer"/>
        <w:spacing w:line="280" w:lineRule="exact"/>
        <w:rPr>
          <w:rFonts w:ascii="Inter" w:hAnsi="Inter" w:cs="Arial"/>
          <w:sz w:val="20"/>
          <w:szCs w:val="20"/>
          <w:lang w:val="cs-CZ"/>
        </w:rPr>
      </w:pPr>
      <w:r w:rsidRPr="0008221F">
        <w:rPr>
          <w:rFonts w:ascii="Inter" w:hAnsi="Inter" w:cs="Arial"/>
          <w:sz w:val="20"/>
          <w:szCs w:val="20"/>
          <w:lang w:val="cs-CZ"/>
        </w:rPr>
        <w:t xml:space="preserve">V této situaci Erste Group očekává </w:t>
      </w:r>
      <w:r w:rsidRPr="0008221F">
        <w:rPr>
          <w:rFonts w:ascii="Inter" w:hAnsi="Inter" w:cs="Arial"/>
          <w:b/>
          <w:bCs/>
          <w:sz w:val="20"/>
          <w:szCs w:val="20"/>
          <w:lang w:val="cs-CZ"/>
        </w:rPr>
        <w:t>čistý růst úvěrů ve výši zhruba</w:t>
      </w:r>
      <w:r w:rsidRPr="0008221F">
        <w:rPr>
          <w:rFonts w:ascii="Inter" w:hAnsi="Inter" w:cs="Arial"/>
          <w:b/>
          <w:sz w:val="20"/>
          <w:szCs w:val="20"/>
          <w:lang w:val="cs-CZ"/>
        </w:rPr>
        <w:t xml:space="preserve"> 5 %.</w:t>
      </w:r>
      <w:r w:rsidRPr="0008221F">
        <w:rPr>
          <w:rFonts w:ascii="Inter" w:hAnsi="Inter" w:cs="Arial"/>
          <w:sz w:val="20"/>
          <w:szCs w:val="20"/>
          <w:lang w:val="cs-CZ"/>
        </w:rPr>
        <w:t xml:space="preserve"> Na základě makroekonomického výhledu nastíněného výše by v roce 2024 </w:t>
      </w:r>
      <w:r w:rsidRPr="0008221F">
        <w:rPr>
          <w:rFonts w:ascii="Inter" w:hAnsi="Inter" w:cs="Arial"/>
          <w:b/>
          <w:bCs/>
          <w:sz w:val="20"/>
          <w:szCs w:val="20"/>
          <w:lang w:val="cs-CZ"/>
        </w:rPr>
        <w:t xml:space="preserve">měly náklady na rizika zůstat na dosavadní nízké úrovni. </w:t>
      </w:r>
      <w:r w:rsidRPr="0008221F">
        <w:rPr>
          <w:rFonts w:ascii="Inter" w:hAnsi="Inter" w:cs="Arial"/>
          <w:sz w:val="20"/>
          <w:szCs w:val="20"/>
          <w:lang w:val="cs-CZ"/>
        </w:rPr>
        <w:t>Při současných nízkých úrovních rizikových nákladů je sice přesná prognóza obtížná, Erste Group je však přesvědčena, že v roce 2024 rizikové náklady nevzrostou nad 25 bazických bodů průměrných hrubých klientských úvěrů.</w:t>
      </w:r>
    </w:p>
    <w:p w14:paraId="416A4EF3" w14:textId="77777777" w:rsidR="00982BF6" w:rsidRPr="0008221F" w:rsidRDefault="00982BF6" w:rsidP="00982BF6">
      <w:pPr>
        <w:pStyle w:val="Bezmezer"/>
        <w:spacing w:line="280" w:lineRule="exact"/>
        <w:rPr>
          <w:rFonts w:ascii="Inter" w:hAnsi="Inter" w:cs="Arial"/>
          <w:sz w:val="20"/>
          <w:szCs w:val="20"/>
          <w:lang w:val="cs-CZ"/>
        </w:rPr>
      </w:pPr>
    </w:p>
    <w:p w14:paraId="5CA11B73" w14:textId="6A34E40D" w:rsidR="00FA69A9" w:rsidRPr="00FA69A9" w:rsidRDefault="00982BF6" w:rsidP="00982BF6">
      <w:r w:rsidRPr="0008221F">
        <w:rPr>
          <w:rFonts w:ascii="Inter" w:hAnsi="Inter"/>
          <w:lang w:val="cs-CZ"/>
        </w:rPr>
        <w:t xml:space="preserve">Cílem Erste Group v roce 2024 je dosáhnout </w:t>
      </w:r>
      <w:r w:rsidRPr="0008221F">
        <w:rPr>
          <w:rFonts w:ascii="Inter" w:hAnsi="Inter"/>
          <w:b/>
          <w:bCs/>
          <w:lang w:val="cs-CZ"/>
        </w:rPr>
        <w:t>návratnosti hmotného kapitálu (ROTE)</w:t>
      </w:r>
      <w:r w:rsidRPr="0008221F">
        <w:rPr>
          <w:rFonts w:ascii="Inter" w:hAnsi="Inter"/>
          <w:lang w:val="cs-CZ"/>
        </w:rPr>
        <w:t xml:space="preserve"> ve výši kolem 15 %. Očekává se, že ukazatel </w:t>
      </w:r>
      <w:r w:rsidRPr="0008221F">
        <w:rPr>
          <w:rFonts w:ascii="Inter" w:hAnsi="Inter"/>
          <w:b/>
          <w:bCs/>
          <w:lang w:val="cs-CZ"/>
        </w:rPr>
        <w:t>CET1</w:t>
      </w:r>
      <w:r w:rsidRPr="0008221F">
        <w:rPr>
          <w:rFonts w:ascii="Inter" w:hAnsi="Inter"/>
          <w:lang w:val="cs-CZ"/>
        </w:rPr>
        <w:t xml:space="preserve"> bude i nadále stabilní, což zajistí vyšší návratnost kapitálu a/nebo flexibilitu v oblasti fúzí a akvizic, a to přesto, že Erste Group plánuje uskutečnit v roce 2024 </w:t>
      </w:r>
      <w:r w:rsidRPr="0008221F">
        <w:rPr>
          <w:rFonts w:ascii="Inter" w:hAnsi="Inter"/>
          <w:b/>
          <w:bCs/>
          <w:lang w:val="cs-CZ"/>
        </w:rPr>
        <w:t>zpětný odkup akcií</w:t>
      </w:r>
      <w:r w:rsidRPr="0008221F">
        <w:rPr>
          <w:rFonts w:ascii="Inter" w:hAnsi="Inter"/>
          <w:lang w:val="cs-CZ"/>
        </w:rPr>
        <w:t xml:space="preserve"> ve výši 500 milionů eur</w:t>
      </w:r>
      <w:r w:rsidR="00FA69A9" w:rsidRPr="00FA69A9">
        <w:t>.</w:t>
      </w:r>
    </w:p>
    <w:p w14:paraId="2B5F2C4C" w14:textId="77777777" w:rsidR="00CC18B8" w:rsidRDefault="00CC18B8" w:rsidP="00BC5E2E">
      <w:pPr>
        <w:pStyle w:val="Bezmezer"/>
        <w:spacing w:line="280" w:lineRule="exact"/>
        <w:rPr>
          <w:rFonts w:ascii="Inter" w:hAnsi="Inter"/>
          <w:lang w:val="en-US"/>
        </w:rPr>
      </w:pPr>
    </w:p>
    <w:p w14:paraId="5847398B" w14:textId="77777777" w:rsidR="00BA0DBA" w:rsidRPr="00A85FA9" w:rsidRDefault="00BA0DBA" w:rsidP="00BC5E2E">
      <w:pPr>
        <w:pStyle w:val="Bezmezer"/>
        <w:spacing w:line="280" w:lineRule="exact"/>
        <w:rPr>
          <w:rFonts w:ascii="Inter" w:hAnsi="Inter"/>
          <w:lang w:val="en-US"/>
        </w:rPr>
      </w:pPr>
    </w:p>
    <w:p w14:paraId="7D332B5C" w14:textId="77777777" w:rsidR="00CC18B8" w:rsidRPr="00A85FA9" w:rsidRDefault="00711D5D" w:rsidP="009844F9">
      <w:pPr>
        <w:rPr>
          <w:rFonts w:ascii="Inter" w:hAnsi="Inter"/>
          <w:lang w:val="en-US"/>
        </w:rPr>
      </w:pPr>
      <w:r w:rsidRPr="00A85FA9">
        <w:rPr>
          <w:rFonts w:ascii="Inter" w:hAnsi="Inter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D30C78" wp14:editId="219224FF">
                <wp:simplePos x="0" y="0"/>
                <wp:positionH relativeFrom="column">
                  <wp:posOffset>-10795</wp:posOffset>
                </wp:positionH>
                <wp:positionV relativeFrom="paragraph">
                  <wp:posOffset>41275</wp:posOffset>
                </wp:positionV>
                <wp:extent cx="5744845" cy="1554480"/>
                <wp:effectExtent l="0" t="0" r="27305" b="28575"/>
                <wp:wrapTopAndBottom/>
                <wp:docPr id="7" name="Rechteck: abgerundete Ecken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1554480"/>
                        </a:xfrm>
                        <a:prstGeom prst="roundRect">
                          <a:avLst>
                            <a:gd name="adj" fmla="val 11495"/>
                          </a:avLst>
                        </a:prstGeom>
                        <a:noFill/>
                        <a:ln w="19050">
                          <a:solidFill>
                            <a:srgbClr val="2870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2593D" w14:textId="77777777" w:rsidR="00982BF6" w:rsidRPr="00830527" w:rsidRDefault="00982BF6" w:rsidP="00982BF6">
                            <w:pPr>
                              <w:ind w:left="-426"/>
                              <w:jc w:val="center"/>
                              <w:rPr>
                                <w:rFonts w:ascii="Inter" w:eastAsia="Arial" w:hAnsi="Inter"/>
                                <w:b/>
                                <w:bCs/>
                                <w:color w:val="2870ED"/>
                                <w:sz w:val="14"/>
                                <w:szCs w:val="14"/>
                                <w:lang w:val="cs-CZ"/>
                              </w:rPr>
                            </w:pPr>
                            <w:r>
                              <w:rPr>
                                <w:rFonts w:ascii="Inter" w:eastAsia="Arial" w:hAnsi="Inter"/>
                                <w:b/>
                                <w:bCs/>
                                <w:color w:val="2870ED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>Dotazy médií</w:t>
                            </w:r>
                            <w:r w:rsidRPr="00830527">
                              <w:rPr>
                                <w:rFonts w:ascii="Inter" w:eastAsia="Arial" w:hAnsi="Inter"/>
                                <w:b/>
                                <w:bCs/>
                                <w:color w:val="2870ED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>:</w:t>
                            </w:r>
                          </w:p>
                          <w:p w14:paraId="2B618420" w14:textId="13A63F85" w:rsidR="00711D5D" w:rsidRPr="00711D5D" w:rsidRDefault="00982BF6" w:rsidP="00982BF6">
                            <w:pPr>
                              <w:ind w:left="-426"/>
                              <w:jc w:val="center"/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0527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 xml:space="preserve">Erste Group | </w:t>
                            </w:r>
                            <w:r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>Tiskové oddělení</w:t>
                            </w:r>
                            <w:r w:rsidR="00711D5D" w:rsidRPr="00711D5D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en-US"/>
                              </w:rPr>
                              <w:t>, Am Belvedere 1, 1100 Wien</w:t>
                            </w:r>
                          </w:p>
                          <w:p w14:paraId="571686A8" w14:textId="77777777" w:rsidR="00711D5D" w:rsidRPr="00711D5D" w:rsidRDefault="00711D5D" w:rsidP="00711D5D">
                            <w:pPr>
                              <w:ind w:left="-426"/>
                              <w:jc w:val="center"/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11D5D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en-US"/>
                              </w:rPr>
                              <w:t xml:space="preserve">Christian Hromatka, 050100 - 13711, E-Mail: </w:t>
                            </w:r>
                            <w:hyperlink r:id="rId11" w:history="1">
                              <w:r w:rsidRPr="00711D5D">
                                <w:rPr>
                                  <w:rStyle w:val="Hypertextovodkaz"/>
                                  <w:rFonts w:ascii="Inter" w:hAnsi="Inter"/>
                                  <w:color w:val="2870ED"/>
                                  <w:lang w:val="en-US"/>
                                </w:rPr>
                                <w:t>christian.hromatka@erstegroup.com</w:t>
                              </w:r>
                            </w:hyperlink>
                            <w:r w:rsidRPr="00711D5D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1638BC5E" w14:textId="77777777" w:rsidR="00711D5D" w:rsidRPr="00711D5D" w:rsidRDefault="00711D5D" w:rsidP="00711D5D">
                            <w:pPr>
                              <w:autoSpaceDE w:val="0"/>
                              <w:autoSpaceDN w:val="0"/>
                              <w:adjustRightInd w:val="0"/>
                              <w:ind w:left="-426"/>
                              <w:jc w:val="center"/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11D5D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</w:rPr>
                              <w:t xml:space="preserve">Martin Sonn-Wende, 050100 - 11680, E-Mail: </w:t>
                            </w:r>
                            <w:hyperlink r:id="rId12" w:history="1">
                              <w:r w:rsidRPr="00711D5D">
                                <w:rPr>
                                  <w:rStyle w:val="Hypertextovodkaz"/>
                                  <w:rFonts w:ascii="Inter" w:hAnsi="Inter"/>
                                  <w:color w:val="2870ED"/>
                                </w:rPr>
                                <w:t>martin.sonn-wende@erstegroup.com</w:t>
                              </w:r>
                            </w:hyperlink>
                            <w:r w:rsidRPr="00711D5D">
                              <w:rPr>
                                <w:rFonts w:ascii="Inter" w:eastAsia="Arial" w:hAnsi="Inter"/>
                                <w:color w:val="2870ED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99F13C1" w14:textId="77777777" w:rsidR="00711D5D" w:rsidRPr="00711D5D" w:rsidRDefault="00711D5D" w:rsidP="00711D5D">
                            <w:pPr>
                              <w:autoSpaceDE w:val="0"/>
                              <w:autoSpaceDN w:val="0"/>
                              <w:adjustRightInd w:val="0"/>
                              <w:ind w:left="-426"/>
                              <w:jc w:val="center"/>
                              <w:rPr>
                                <w:rStyle w:val="Hypertextovodkaz"/>
                                <w:rFonts w:ascii="Inter" w:hAnsi="Inter"/>
                                <w:color w:val="000000" w:themeColor="text1"/>
                              </w:rPr>
                            </w:pPr>
                            <w:r w:rsidRPr="00711D5D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</w:rPr>
                              <w:t xml:space="preserve">Peter Klopf, 050100 - 11676, E-Mail: </w:t>
                            </w:r>
                            <w:hyperlink r:id="rId13" w:history="1">
                              <w:r w:rsidRPr="00711D5D">
                                <w:rPr>
                                  <w:rStyle w:val="Hypertextovodkaz"/>
                                  <w:rFonts w:ascii="Inter" w:hAnsi="Inter"/>
                                  <w:color w:val="2870ED"/>
                                </w:rPr>
                                <w:t>peter.klopf@erstegroup.com</w:t>
                              </w:r>
                            </w:hyperlink>
                          </w:p>
                          <w:p w14:paraId="6433503B" w14:textId="77777777" w:rsidR="00711D5D" w:rsidRPr="001D730C" w:rsidRDefault="00711D5D" w:rsidP="00711D5D">
                            <w:pPr>
                              <w:autoSpaceDE w:val="0"/>
                              <w:autoSpaceDN w:val="0"/>
                              <w:adjustRightInd w:val="0"/>
                              <w:ind w:left="-426"/>
                              <w:jc w:val="center"/>
                              <w:rPr>
                                <w:rFonts w:ascii="Inter" w:hAnsi="Inter"/>
                                <w:sz w:val="14"/>
                                <w:szCs w:val="14"/>
                              </w:rPr>
                            </w:pPr>
                            <w:r w:rsidRPr="00711D5D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</w:rPr>
                              <w:t xml:space="preserve">Marvin Aschinger, 050100 – 17689, E-Mail: </w:t>
                            </w:r>
                            <w:hyperlink r:id="rId14" w:history="1">
                              <w:r w:rsidRPr="00711D5D">
                                <w:rPr>
                                  <w:rStyle w:val="Hypertextovodkaz"/>
                                  <w:rFonts w:ascii="Inter" w:hAnsi="Inter"/>
                                  <w:color w:val="2870ED"/>
                                </w:rPr>
                                <w:t>marvin.aschinger@erstegroup.com</w:t>
                              </w:r>
                            </w:hyperlink>
                          </w:p>
                          <w:p w14:paraId="1F99D2A9" w14:textId="77777777" w:rsidR="007263E4" w:rsidRPr="007263E4" w:rsidRDefault="007263E4" w:rsidP="007263E4">
                            <w:pPr>
                              <w:autoSpaceDE w:val="0"/>
                              <w:autoSpaceDN w:val="0"/>
                              <w:adjustRightInd w:val="0"/>
                              <w:ind w:left="-426"/>
                              <w:jc w:val="center"/>
                              <w:rPr>
                                <w:rFonts w:ascii="Inter" w:hAnsi="Inter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263E4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en-US"/>
                              </w:rPr>
                              <w:t>Lev Rat</w:t>
                            </w:r>
                            <w:r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en-US"/>
                              </w:rPr>
                              <w:t>ner</w:t>
                            </w:r>
                            <w:r w:rsidRPr="007263E4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en-US"/>
                              </w:rPr>
                              <w:t>, 050100 – 176</w:t>
                            </w:r>
                            <w:r w:rsidR="00F56C8E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en-US"/>
                              </w:rPr>
                              <w:t>43</w:t>
                            </w:r>
                            <w:r w:rsidRPr="007263E4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en-US"/>
                              </w:rPr>
                              <w:t xml:space="preserve">, E-Mail: </w:t>
                            </w:r>
                            <w:hyperlink r:id="rId15" w:history="1">
                              <w:r w:rsidR="007711B0">
                                <w:rPr>
                                  <w:rStyle w:val="Hypertextovodkaz"/>
                                  <w:rFonts w:ascii="Inter" w:hAnsi="Inter"/>
                                  <w:color w:val="2870ED"/>
                                  <w:lang w:val="en-US"/>
                                </w:rPr>
                                <w:t>lev.ratner@erstegroup.com</w:t>
                              </w:r>
                            </w:hyperlink>
                          </w:p>
                          <w:p w14:paraId="6B334E18" w14:textId="77777777" w:rsidR="007263E4" w:rsidRPr="007263E4" w:rsidRDefault="007263E4" w:rsidP="00711D5D">
                            <w:pPr>
                              <w:autoSpaceDE w:val="0"/>
                              <w:autoSpaceDN w:val="0"/>
                              <w:adjustRightInd w:val="0"/>
                              <w:ind w:left="-426"/>
                              <w:jc w:val="center"/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en-US"/>
                              </w:rPr>
                            </w:pPr>
                          </w:p>
                          <w:p w14:paraId="0934DEC5" w14:textId="77777777" w:rsidR="00982BF6" w:rsidRPr="00830527" w:rsidRDefault="00982BF6" w:rsidP="00982BF6">
                            <w:pPr>
                              <w:autoSpaceDE w:val="0"/>
                              <w:autoSpaceDN w:val="0"/>
                              <w:adjustRightInd w:val="0"/>
                              <w:ind w:left="-426"/>
                              <w:jc w:val="center"/>
                              <w:rPr>
                                <w:rStyle w:val="Hypertextovodkaz"/>
                                <w:rFonts w:ascii="Inter" w:hAnsi="Inter"/>
                                <w:color w:val="2870ED"/>
                                <w:lang w:val="cs-CZ"/>
                              </w:rPr>
                            </w:pPr>
                            <w:r w:rsidRPr="00830527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 xml:space="preserve">Text </w:t>
                            </w:r>
                            <w:r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>je k dispozici také na</w:t>
                            </w:r>
                            <w:r w:rsidRPr="00830527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 xml:space="preserve">: </w:t>
                            </w:r>
                            <w:hyperlink r:id="rId16">
                              <w:r w:rsidRPr="00830527">
                                <w:rPr>
                                  <w:rStyle w:val="Hypertextovodkaz"/>
                                  <w:rFonts w:ascii="Inter" w:hAnsi="Inter"/>
                                  <w:color w:val="2870ED"/>
                                  <w:lang w:val="cs-CZ"/>
                                </w:rPr>
                                <w:t>https://www.erstegroup.com/en/news-media</w:t>
                              </w:r>
                            </w:hyperlink>
                          </w:p>
                          <w:p w14:paraId="25076116" w14:textId="4C52E509" w:rsidR="00711D5D" w:rsidRPr="00711D5D" w:rsidRDefault="00982BF6" w:rsidP="00982BF6">
                            <w:pPr>
                              <w:autoSpaceDE w:val="0"/>
                              <w:autoSpaceDN w:val="0"/>
                              <w:adjustRightInd w:val="0"/>
                              <w:ind w:left="-426"/>
                              <w:jc w:val="center"/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Style w:val="Hypertextovodkaz"/>
                                <w:rFonts w:ascii="Inter" w:hAnsi="Inter"/>
                                <w:color w:val="000000" w:themeColor="text1"/>
                                <w:u w:val="none"/>
                                <w:lang w:val="cs-CZ"/>
                              </w:rPr>
                              <w:t>Pokud si nepřejete dále dostávat informace pro média,</w:t>
                            </w:r>
                            <w:r w:rsidRPr="00830527">
                              <w:rPr>
                                <w:rStyle w:val="Hypertextovodkaz"/>
                                <w:rFonts w:ascii="Inter" w:hAnsi="Inter"/>
                                <w:color w:val="000000" w:themeColor="text1"/>
                                <w:u w:val="none"/>
                                <w:lang w:val="cs-CZ"/>
                              </w:rPr>
                              <w:t xml:space="preserve"> </w:t>
                            </w:r>
                            <w:hyperlink r:id="rId17" w:history="1">
                              <w:r w:rsidRPr="00A70F5C">
                                <w:rPr>
                                  <w:rStyle w:val="Hypertextovodkaz"/>
                                  <w:rFonts w:ascii="Inter" w:hAnsi="Inter"/>
                                  <w:lang w:val="cs-CZ"/>
                                </w:rPr>
                                <w:t>napište nám prosím e-mail na adresu presse@erstebank.at</w:t>
                              </w:r>
                            </w:hyperlink>
                            <w:r w:rsidR="00711D5D" w:rsidRPr="00113355">
                              <w:rPr>
                                <w:rStyle w:val="Hypertextovodkaz"/>
                                <w:rFonts w:ascii="Inter" w:hAnsi="Inter"/>
                                <w:color w:val="2870ED"/>
                                <w:u w:val="non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ED30C78" id="Rechteck: abgerundete Ecken 605" o:spid="_x0000_s1026" style="position:absolute;margin-left:-.85pt;margin-top:3.25pt;width:452.35pt;height:122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" filled="f" strokecolor="#2870ed" strokeweight="1.5pt">
                <v:stroke joinstyle="miter"/>
                <v:textbox style="mso-fit-shape-to-text:t" inset="5mm,,5mm">
                  <w:txbxContent>
                    <w:p w14:paraId="3082593D" w14:textId="77777777" w:rsidR="00982BF6" w:rsidRPr="00830527" w:rsidRDefault="00982BF6" w:rsidP="00982BF6">
                      <w:pPr>
                        <w:ind w:left="-426"/>
                        <w:jc w:val="center"/>
                        <w:rPr>
                          <w:rFonts w:ascii="Inter" w:eastAsia="Arial" w:hAnsi="Inter"/>
                          <w:b/>
                          <w:bCs/>
                          <w:color w:val="2870ED"/>
                          <w:sz w:val="14"/>
                          <w:szCs w:val="14"/>
                          <w:lang w:val="cs-CZ"/>
                        </w:rPr>
                      </w:pPr>
                      <w:r>
                        <w:rPr>
                          <w:rFonts w:ascii="Inter" w:eastAsia="Arial" w:hAnsi="Inter"/>
                          <w:b/>
                          <w:bCs/>
                          <w:color w:val="2870ED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>Dotazy médií</w:t>
                      </w:r>
                      <w:r w:rsidRPr="00830527">
                        <w:rPr>
                          <w:rFonts w:ascii="Inter" w:eastAsia="Arial" w:hAnsi="Inter"/>
                          <w:b/>
                          <w:bCs/>
                          <w:color w:val="2870ED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>:</w:t>
                      </w:r>
                    </w:p>
                    <w:p w14:paraId="2B618420" w14:textId="13A63F85" w:rsidR="00711D5D" w:rsidRPr="00711D5D" w:rsidRDefault="00982BF6" w:rsidP="00982BF6">
                      <w:pPr>
                        <w:ind w:left="-426"/>
                        <w:jc w:val="center"/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830527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 xml:space="preserve">Erste Group | </w:t>
                      </w:r>
                      <w:r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>Tiskové oddělení</w:t>
                      </w:r>
                      <w:r w:rsidR="00711D5D" w:rsidRPr="00711D5D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en-US"/>
                        </w:rPr>
                        <w:t>, Am Belvedere 1, 1100 Wien</w:t>
                      </w:r>
                    </w:p>
                    <w:p w14:paraId="571686A8" w14:textId="77777777" w:rsidR="00711D5D" w:rsidRPr="00711D5D" w:rsidRDefault="00711D5D" w:rsidP="00711D5D">
                      <w:pPr>
                        <w:ind w:left="-426"/>
                        <w:jc w:val="center"/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711D5D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en-US"/>
                        </w:rPr>
                        <w:t xml:space="preserve">Christian Hromatka, 050100 - 13711, E-Mail: </w:t>
                      </w:r>
                      <w:hyperlink r:id="rId18" w:history="1">
                        <w:r w:rsidRPr="00711D5D">
                          <w:rPr>
                            <w:rStyle w:val="Hypertextovodkaz"/>
                            <w:rFonts w:ascii="Inter" w:hAnsi="Inter"/>
                            <w:color w:val="2870ED"/>
                            <w:lang w:val="en-US"/>
                          </w:rPr>
                          <w:t>christian.hromatka@erstegroup.com</w:t>
                        </w:r>
                      </w:hyperlink>
                      <w:r w:rsidRPr="00711D5D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1638BC5E" w14:textId="77777777" w:rsidR="00711D5D" w:rsidRPr="00711D5D" w:rsidRDefault="00711D5D" w:rsidP="00711D5D">
                      <w:pPr>
                        <w:autoSpaceDE w:val="0"/>
                        <w:autoSpaceDN w:val="0"/>
                        <w:adjustRightInd w:val="0"/>
                        <w:ind w:left="-426"/>
                        <w:jc w:val="center"/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</w:rPr>
                      </w:pPr>
                      <w:r w:rsidRPr="00711D5D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</w:rPr>
                        <w:t xml:space="preserve">Martin Sonn-Wende, 050100 - 11680, E-Mail: </w:t>
                      </w:r>
                      <w:hyperlink r:id="rId19" w:history="1">
                        <w:r w:rsidRPr="00711D5D">
                          <w:rPr>
                            <w:rStyle w:val="Hypertextovodkaz"/>
                            <w:rFonts w:ascii="Inter" w:hAnsi="Inter"/>
                            <w:color w:val="2870ED"/>
                          </w:rPr>
                          <w:t>martin.sonn-wende@erstegroup.com</w:t>
                        </w:r>
                      </w:hyperlink>
                      <w:r w:rsidRPr="00711D5D">
                        <w:rPr>
                          <w:rFonts w:ascii="Inter" w:eastAsia="Arial" w:hAnsi="Inter"/>
                          <w:color w:val="2870ED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99F13C1" w14:textId="77777777" w:rsidR="00711D5D" w:rsidRPr="00711D5D" w:rsidRDefault="00711D5D" w:rsidP="00711D5D">
                      <w:pPr>
                        <w:autoSpaceDE w:val="0"/>
                        <w:autoSpaceDN w:val="0"/>
                        <w:adjustRightInd w:val="0"/>
                        <w:ind w:left="-426"/>
                        <w:jc w:val="center"/>
                        <w:rPr>
                          <w:rStyle w:val="Hypertextovodkaz"/>
                          <w:rFonts w:ascii="Inter" w:hAnsi="Inter"/>
                          <w:color w:val="000000" w:themeColor="text1"/>
                        </w:rPr>
                      </w:pPr>
                      <w:r w:rsidRPr="00711D5D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</w:rPr>
                        <w:t xml:space="preserve">Peter Klopf, 050100 - 11676, E-Mail: </w:t>
                      </w:r>
                      <w:hyperlink r:id="rId20" w:history="1">
                        <w:r w:rsidRPr="00711D5D">
                          <w:rPr>
                            <w:rStyle w:val="Hypertextovodkaz"/>
                            <w:rFonts w:ascii="Inter" w:hAnsi="Inter"/>
                            <w:color w:val="2870ED"/>
                          </w:rPr>
                          <w:t>peter.klopf@erstegroup.com</w:t>
                        </w:r>
                      </w:hyperlink>
                    </w:p>
                    <w:p w14:paraId="6433503B" w14:textId="77777777" w:rsidR="00711D5D" w:rsidRPr="001D730C" w:rsidRDefault="00711D5D" w:rsidP="00711D5D">
                      <w:pPr>
                        <w:autoSpaceDE w:val="0"/>
                        <w:autoSpaceDN w:val="0"/>
                        <w:adjustRightInd w:val="0"/>
                        <w:ind w:left="-426"/>
                        <w:jc w:val="center"/>
                        <w:rPr>
                          <w:rFonts w:ascii="Inter" w:hAnsi="Inter"/>
                          <w:sz w:val="14"/>
                          <w:szCs w:val="14"/>
                        </w:rPr>
                      </w:pPr>
                      <w:r w:rsidRPr="00711D5D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</w:rPr>
                        <w:t xml:space="preserve">Marvin Aschinger, 050100 – 17689, E-Mail: </w:t>
                      </w:r>
                      <w:hyperlink r:id="rId21" w:history="1">
                        <w:r w:rsidRPr="00711D5D">
                          <w:rPr>
                            <w:rStyle w:val="Hypertextovodkaz"/>
                            <w:rFonts w:ascii="Inter" w:hAnsi="Inter"/>
                            <w:color w:val="2870ED"/>
                          </w:rPr>
                          <w:t>marvin.aschinger@erstegroup.com</w:t>
                        </w:r>
                      </w:hyperlink>
                    </w:p>
                    <w:p w14:paraId="1F99D2A9" w14:textId="77777777" w:rsidR="007263E4" w:rsidRPr="007263E4" w:rsidRDefault="007263E4" w:rsidP="007263E4">
                      <w:pPr>
                        <w:autoSpaceDE w:val="0"/>
                        <w:autoSpaceDN w:val="0"/>
                        <w:adjustRightInd w:val="0"/>
                        <w:ind w:left="-426"/>
                        <w:jc w:val="center"/>
                        <w:rPr>
                          <w:rFonts w:ascii="Inter" w:hAnsi="Inter"/>
                          <w:sz w:val="14"/>
                          <w:szCs w:val="14"/>
                          <w:lang w:val="en-US"/>
                        </w:rPr>
                      </w:pPr>
                      <w:r w:rsidRPr="007263E4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en-US"/>
                        </w:rPr>
                        <w:t>Lev Rat</w:t>
                      </w:r>
                      <w:r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en-US"/>
                        </w:rPr>
                        <w:t>ner</w:t>
                      </w:r>
                      <w:r w:rsidRPr="007263E4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en-US"/>
                        </w:rPr>
                        <w:t>, 050100 – 176</w:t>
                      </w:r>
                      <w:r w:rsidR="00F56C8E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en-US"/>
                        </w:rPr>
                        <w:t>43</w:t>
                      </w:r>
                      <w:r w:rsidRPr="007263E4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en-US"/>
                        </w:rPr>
                        <w:t xml:space="preserve">, E-Mail: </w:t>
                      </w:r>
                      <w:hyperlink r:id="rId22" w:history="1">
                        <w:r w:rsidR="007711B0">
                          <w:rPr>
                            <w:rStyle w:val="Hypertextovodkaz"/>
                            <w:rFonts w:ascii="Inter" w:hAnsi="Inter"/>
                            <w:color w:val="2870ED"/>
                            <w:lang w:val="en-US"/>
                          </w:rPr>
                          <w:t>lev.ratner@erstegroup.com</w:t>
                        </w:r>
                      </w:hyperlink>
                    </w:p>
                    <w:p w14:paraId="6B334E18" w14:textId="77777777" w:rsidR="007263E4" w:rsidRPr="007263E4" w:rsidRDefault="007263E4" w:rsidP="00711D5D">
                      <w:pPr>
                        <w:autoSpaceDE w:val="0"/>
                        <w:autoSpaceDN w:val="0"/>
                        <w:adjustRightInd w:val="0"/>
                        <w:ind w:left="-426"/>
                        <w:jc w:val="center"/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en-US"/>
                        </w:rPr>
                      </w:pPr>
                    </w:p>
                    <w:p w14:paraId="0934DEC5" w14:textId="77777777" w:rsidR="00982BF6" w:rsidRPr="00830527" w:rsidRDefault="00982BF6" w:rsidP="00982BF6">
                      <w:pPr>
                        <w:autoSpaceDE w:val="0"/>
                        <w:autoSpaceDN w:val="0"/>
                        <w:adjustRightInd w:val="0"/>
                        <w:ind w:left="-426"/>
                        <w:jc w:val="center"/>
                        <w:rPr>
                          <w:rStyle w:val="Hypertextovodkaz"/>
                          <w:rFonts w:ascii="Inter" w:hAnsi="Inter"/>
                          <w:color w:val="2870ED"/>
                          <w:lang w:val="cs-CZ"/>
                        </w:rPr>
                      </w:pPr>
                      <w:r w:rsidRPr="00830527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 xml:space="preserve">Text </w:t>
                      </w:r>
                      <w:r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>je k dispozici také na</w:t>
                      </w:r>
                      <w:r w:rsidRPr="00830527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 xml:space="preserve">: </w:t>
                      </w:r>
                      <w:hyperlink r:id="rId23">
                        <w:r w:rsidRPr="00830527">
                          <w:rPr>
                            <w:rStyle w:val="Hypertextovodkaz"/>
                            <w:rFonts w:ascii="Inter" w:hAnsi="Inter"/>
                            <w:color w:val="2870ED"/>
                            <w:lang w:val="cs-CZ"/>
                          </w:rPr>
                          <w:t>https://www.erstegroup.com/en/news-media</w:t>
                        </w:r>
                      </w:hyperlink>
                    </w:p>
                    <w:p w14:paraId="25076116" w14:textId="4C52E509" w:rsidR="00711D5D" w:rsidRPr="00711D5D" w:rsidRDefault="00982BF6" w:rsidP="00982BF6">
                      <w:pPr>
                        <w:autoSpaceDE w:val="0"/>
                        <w:autoSpaceDN w:val="0"/>
                        <w:adjustRightInd w:val="0"/>
                        <w:ind w:left="-426"/>
                        <w:jc w:val="center"/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Style w:val="Hypertextovodkaz"/>
                          <w:rFonts w:ascii="Inter" w:hAnsi="Inter"/>
                          <w:color w:val="000000" w:themeColor="text1"/>
                          <w:u w:val="none"/>
                          <w:lang w:val="cs-CZ"/>
                        </w:rPr>
                        <w:t>Pokud si nepřejete dále dostávat informace pro média,</w:t>
                      </w:r>
                      <w:r w:rsidRPr="00830527">
                        <w:rPr>
                          <w:rStyle w:val="Hypertextovodkaz"/>
                          <w:rFonts w:ascii="Inter" w:hAnsi="Inter"/>
                          <w:color w:val="000000" w:themeColor="text1"/>
                          <w:u w:val="none"/>
                          <w:lang w:val="cs-CZ"/>
                        </w:rPr>
                        <w:t xml:space="preserve"> </w:t>
                      </w:r>
                      <w:hyperlink r:id="rId24" w:history="1">
                        <w:r w:rsidRPr="00A70F5C">
                          <w:rPr>
                            <w:rStyle w:val="Hypertextovodkaz"/>
                            <w:rFonts w:ascii="Inter" w:hAnsi="Inter"/>
                            <w:lang w:val="cs-CZ"/>
                          </w:rPr>
                          <w:t>napište nám prosím e-mail na adresu presse@erstebank.at</w:t>
                        </w:r>
                      </w:hyperlink>
                      <w:r w:rsidR="00711D5D" w:rsidRPr="00113355">
                        <w:rPr>
                          <w:rStyle w:val="Hypertextovodkaz"/>
                          <w:rFonts w:ascii="Inter" w:hAnsi="Inter"/>
                          <w:color w:val="2870ED"/>
                          <w:u w:val="none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sectPr w:rsidR="00CC18B8" w:rsidRPr="00A85FA9" w:rsidSect="00205223">
      <w:headerReference w:type="default" r:id="rId25"/>
      <w:headerReference w:type="first" r:id="rId26"/>
      <w:footerReference w:type="first" r:id="rId27"/>
      <w:pgSz w:w="11900" w:h="16840"/>
      <w:pgMar w:top="2268" w:right="1417" w:bottom="1276" w:left="1417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1B4E" w14:textId="77777777" w:rsidR="00205223" w:rsidRDefault="00205223" w:rsidP="009844F9">
      <w:r>
        <w:separator/>
      </w:r>
    </w:p>
  </w:endnote>
  <w:endnote w:type="continuationSeparator" w:id="0">
    <w:p w14:paraId="002C202A" w14:textId="77777777" w:rsidR="00205223" w:rsidRDefault="00205223" w:rsidP="009844F9">
      <w:r>
        <w:continuationSeparator/>
      </w:r>
    </w:p>
  </w:endnote>
  <w:endnote w:type="continuationNotice" w:id="1">
    <w:p w14:paraId="5B2D6B45" w14:textId="77777777" w:rsidR="00205223" w:rsidRDefault="002052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IX Two Text">
    <w:altName w:val="Calibri"/>
    <w:charset w:val="00"/>
    <w:family w:val="auto"/>
    <w:pitch w:val="variable"/>
    <w:sig w:usb0="A00002FF" w:usb1="0000001F" w:usb2="00000000" w:usb3="00000000" w:csb0="0000019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67D7" w14:textId="77777777" w:rsidR="0069608C" w:rsidRDefault="00553F90" w:rsidP="0069608C">
    <w:pPr>
      <w:ind w:left="-426"/>
      <w:jc w:val="center"/>
      <w:rPr>
        <w:rFonts w:eastAsia="Arial"/>
        <w:b/>
        <w:bCs/>
        <w:sz w:val="14"/>
        <w:szCs w:val="14"/>
      </w:rPr>
    </w:pPr>
    <w:r w:rsidRPr="00553F90">
      <w:rPr>
        <w:rFonts w:eastAsia="Arial"/>
        <w:sz w:val="14"/>
        <w:szCs w:val="14"/>
        <w:shd w:val="clear" w:color="auto" w:fill="aut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D83DBDD" wp14:editId="66967477">
              <wp:simplePos x="0" y="0"/>
              <wp:positionH relativeFrom="column">
                <wp:posOffset>-890905</wp:posOffset>
              </wp:positionH>
              <wp:positionV relativeFrom="paragraph">
                <wp:posOffset>362162</wp:posOffset>
              </wp:positionV>
              <wp:extent cx="7543800" cy="270933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70933"/>
                      </a:xfrm>
                      <a:prstGeom prst="rect">
                        <a:avLst/>
                      </a:prstGeom>
                      <a:solidFill>
                        <a:srgbClr val="0077B3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32C8EB7" id="Rechteck 4" o:spid="_x0000_s1026" style="position:absolute;margin-left:-70.15pt;margin-top:28.5pt;width:594pt;height:21.3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" fillcolor="#0077b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E917" w14:textId="77777777" w:rsidR="00205223" w:rsidRDefault="00205223" w:rsidP="009844F9">
      <w:r>
        <w:separator/>
      </w:r>
    </w:p>
  </w:footnote>
  <w:footnote w:type="continuationSeparator" w:id="0">
    <w:p w14:paraId="7DBD5E54" w14:textId="77777777" w:rsidR="00205223" w:rsidRDefault="00205223" w:rsidP="009844F9">
      <w:r>
        <w:continuationSeparator/>
      </w:r>
    </w:p>
  </w:footnote>
  <w:footnote w:type="continuationNotice" w:id="1">
    <w:p w14:paraId="68B5DD35" w14:textId="77777777" w:rsidR="00205223" w:rsidRDefault="002052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7DBD" w14:textId="77777777" w:rsidR="00897B52" w:rsidRPr="00E57665" w:rsidRDefault="002B44FF" w:rsidP="0005724A">
    <w:pPr>
      <w:pStyle w:val="Zhlav"/>
    </w:pPr>
    <w:r w:rsidRPr="0066165B">
      <w:rPr>
        <w:highlight w:val="blue"/>
      </w:rPr>
      <w:drawing>
        <wp:anchor distT="0" distB="0" distL="114300" distR="114300" simplePos="0" relativeHeight="251658243" behindDoc="0" locked="0" layoutInCell="1" allowOverlap="1" wp14:anchorId="2F785448" wp14:editId="36462586">
          <wp:simplePos x="0" y="0"/>
          <wp:positionH relativeFrom="column">
            <wp:posOffset>-747</wp:posOffset>
          </wp:positionH>
          <wp:positionV relativeFrom="paragraph">
            <wp:posOffset>123190</wp:posOffset>
          </wp:positionV>
          <wp:extent cx="987136" cy="469323"/>
          <wp:effectExtent l="0" t="0" r="3810" b="63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136" cy="469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165B">
      <w:rPr>
        <w:highlight w:val="blue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3C1A5794" wp14:editId="599E90B2">
              <wp:simplePos x="0" y="0"/>
              <wp:positionH relativeFrom="page">
                <wp:posOffset>427355</wp:posOffset>
              </wp:positionH>
              <wp:positionV relativeFrom="page">
                <wp:posOffset>260985</wp:posOffset>
              </wp:positionV>
              <wp:extent cx="6767830" cy="755650"/>
              <wp:effectExtent l="0" t="0" r="1270" b="6350"/>
              <wp:wrapNone/>
              <wp:docPr id="589" name="Rechteck: abgerundete Ecken 5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755650"/>
                      </a:xfrm>
                      <a:prstGeom prst="roundRect">
                        <a:avLst>
                          <a:gd name="adj" fmla="val 9377"/>
                        </a:avLst>
                      </a:prstGeom>
                      <a:solidFill>
                        <a:srgbClr val="2870ED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583C1E" w14:textId="72CD4C70" w:rsidR="001D07BC" w:rsidRPr="00F064B6" w:rsidRDefault="00D2183A" w:rsidP="00962EBC">
                          <w:pPr>
                            <w:pStyle w:val="Info"/>
                            <w:spacing w:before="120" w:line="276" w:lineRule="auto"/>
                            <w:jc w:val="right"/>
                            <w:rPr>
                              <w:rFonts w:ascii="Inter" w:hAnsi="Inter"/>
                              <w:color w:val="FFFFFF" w:themeColor="background1"/>
                              <w:sz w:val="18"/>
                              <w:szCs w:val="32"/>
                            </w:rPr>
                          </w:pPr>
                          <w:r>
                            <w:rPr>
                              <w:rFonts w:ascii="Inter" w:hAnsi="Inter"/>
                              <w:b/>
                              <w:bCs/>
                              <w:color w:val="FFFFFF" w:themeColor="background1"/>
                              <w:sz w:val="28"/>
                              <w:szCs w:val="52"/>
                            </w:rPr>
                            <w:t>Press release</w:t>
                          </w:r>
                          <w:r w:rsidR="001D07BC" w:rsidRPr="00F064B6">
                            <w:rPr>
                              <w:rFonts w:ascii="Inter" w:hAnsi="Inter"/>
                              <w:color w:val="FFFFFF" w:themeColor="background1"/>
                            </w:rPr>
                            <w:br/>
                          </w:r>
                          <w:r w:rsidR="00A85FA9" w:rsidRPr="00F064B6">
                            <w:rPr>
                              <w:rFonts w:ascii="Inter" w:hAnsi="Inter"/>
                              <w:color w:val="FFFFFF" w:themeColor="background1"/>
                              <w:sz w:val="18"/>
                              <w:szCs w:val="32"/>
                            </w:rPr>
                            <w:t xml:space="preserve">Vienna </w:t>
                          </w:r>
                          <w:r w:rsidR="00FB6F87" w:rsidRPr="00F064B6">
                            <w:rPr>
                              <w:rFonts w:ascii="Inter" w:hAnsi="Inter"/>
                              <w:color w:val="FFFFFF" w:themeColor="background1"/>
                              <w:sz w:val="18"/>
                              <w:szCs w:val="32"/>
                            </w:rPr>
                            <w:t>–</w:t>
                          </w:r>
                          <w:r w:rsidR="00A85FA9" w:rsidRPr="00F064B6">
                            <w:rPr>
                              <w:rFonts w:ascii="Inter" w:hAnsi="Inter"/>
                              <w:color w:val="FFFFFF" w:themeColor="background1"/>
                              <w:sz w:val="18"/>
                              <w:szCs w:val="32"/>
                            </w:rPr>
                            <w:t xml:space="preserve"> </w:t>
                          </w:r>
                          <w:r w:rsidR="00540185">
                            <w:rPr>
                              <w:rFonts w:ascii="Inter" w:hAnsi="Inter"/>
                              <w:color w:val="FFFFFF" w:themeColor="background1"/>
                              <w:sz w:val="18"/>
                              <w:szCs w:val="32"/>
                            </w:rPr>
                            <w:t>30</w:t>
                          </w:r>
                          <w:r w:rsidR="00540185" w:rsidRPr="00540185">
                            <w:rPr>
                              <w:rFonts w:ascii="Inter" w:hAnsi="Inter"/>
                              <w:color w:val="FFFFFF" w:themeColor="background1"/>
                              <w:sz w:val="18"/>
                              <w:szCs w:val="32"/>
                              <w:vertAlign w:val="superscript"/>
                            </w:rPr>
                            <w:t>th</w:t>
                          </w:r>
                          <w:r w:rsidR="00540185">
                            <w:rPr>
                              <w:rFonts w:ascii="Inter" w:hAnsi="Inter"/>
                              <w:color w:val="FFFFFF" w:themeColor="background1"/>
                              <w:sz w:val="18"/>
                              <w:szCs w:val="32"/>
                            </w:rPr>
                            <w:t xml:space="preserve"> April 2024</w:t>
                          </w:r>
                        </w:p>
                        <w:p w14:paraId="4A072FAD" w14:textId="77777777" w:rsidR="002B44FF" w:rsidRPr="00962EBC" w:rsidRDefault="002B44FF" w:rsidP="001D07B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3C1A5794" id="Rechteck: abgerundete Ecken 589" o:spid="_x0000_s1027" style="position:absolute;margin-left:33.65pt;margin-top:20.55pt;width:532.9pt;height:59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" fillcolor="#2870ed" stroked="f" strokeweight=".25pt">
              <v:stroke joinstyle="miter"/>
              <v:textbox>
                <w:txbxContent>
                  <w:p w14:paraId="6E583C1E" w14:textId="72CD4C70" w:rsidR="001D07BC" w:rsidRPr="00F064B6" w:rsidRDefault="00D2183A" w:rsidP="00962EBC">
                    <w:pPr>
                      <w:pStyle w:val="Info"/>
                      <w:spacing w:before="120" w:line="276" w:lineRule="auto"/>
                      <w:jc w:val="right"/>
                      <w:rPr>
                        <w:rFonts w:ascii="Inter" w:hAnsi="Inter"/>
                        <w:color w:val="FFFFFF" w:themeColor="background1"/>
                        <w:sz w:val="18"/>
                        <w:szCs w:val="32"/>
                      </w:rPr>
                    </w:pPr>
                    <w:r>
                      <w:rPr>
                        <w:rFonts w:ascii="Inter" w:hAnsi="Inter"/>
                        <w:b/>
                        <w:bCs/>
                        <w:color w:val="FFFFFF" w:themeColor="background1"/>
                        <w:sz w:val="28"/>
                        <w:szCs w:val="52"/>
                      </w:rPr>
                      <w:t>Press release</w:t>
                    </w:r>
                    <w:r w:rsidR="001D07BC" w:rsidRPr="00F064B6">
                      <w:rPr>
                        <w:rFonts w:ascii="Inter" w:hAnsi="Inter"/>
                        <w:color w:val="FFFFFF" w:themeColor="background1"/>
                      </w:rPr>
                      <w:br/>
                    </w:r>
                    <w:r w:rsidR="00A85FA9" w:rsidRPr="00F064B6">
                      <w:rPr>
                        <w:rFonts w:ascii="Inter" w:hAnsi="Inter"/>
                        <w:color w:val="FFFFFF" w:themeColor="background1"/>
                        <w:sz w:val="18"/>
                        <w:szCs w:val="32"/>
                      </w:rPr>
                      <w:t xml:space="preserve">Vienna </w:t>
                    </w:r>
                    <w:r w:rsidR="00FB6F87" w:rsidRPr="00F064B6">
                      <w:rPr>
                        <w:rFonts w:ascii="Inter" w:hAnsi="Inter"/>
                        <w:color w:val="FFFFFF" w:themeColor="background1"/>
                        <w:sz w:val="18"/>
                        <w:szCs w:val="32"/>
                      </w:rPr>
                      <w:t>–</w:t>
                    </w:r>
                    <w:r w:rsidR="00A85FA9" w:rsidRPr="00F064B6">
                      <w:rPr>
                        <w:rFonts w:ascii="Inter" w:hAnsi="Inter"/>
                        <w:color w:val="FFFFFF" w:themeColor="background1"/>
                        <w:sz w:val="18"/>
                        <w:szCs w:val="32"/>
                      </w:rPr>
                      <w:t xml:space="preserve"> </w:t>
                    </w:r>
                    <w:r w:rsidR="00540185">
                      <w:rPr>
                        <w:rFonts w:ascii="Inter" w:hAnsi="Inter"/>
                        <w:color w:val="FFFFFF" w:themeColor="background1"/>
                        <w:sz w:val="18"/>
                        <w:szCs w:val="32"/>
                      </w:rPr>
                      <w:t>30</w:t>
                    </w:r>
                    <w:r w:rsidR="00540185" w:rsidRPr="00540185">
                      <w:rPr>
                        <w:rFonts w:ascii="Inter" w:hAnsi="Inter"/>
                        <w:color w:val="FFFFFF" w:themeColor="background1"/>
                        <w:sz w:val="18"/>
                        <w:szCs w:val="32"/>
                        <w:vertAlign w:val="superscript"/>
                      </w:rPr>
                      <w:t>th</w:t>
                    </w:r>
                    <w:r w:rsidR="00540185">
                      <w:rPr>
                        <w:rFonts w:ascii="Inter" w:hAnsi="Inter"/>
                        <w:color w:val="FFFFFF" w:themeColor="background1"/>
                        <w:sz w:val="18"/>
                        <w:szCs w:val="32"/>
                      </w:rPr>
                      <w:t xml:space="preserve"> April 2024</w:t>
                    </w:r>
                  </w:p>
                  <w:p w14:paraId="4A072FAD" w14:textId="77777777" w:rsidR="002B44FF" w:rsidRPr="00962EBC" w:rsidRDefault="002B44FF" w:rsidP="001D07BC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F263" w14:textId="77777777" w:rsidR="009844F9" w:rsidRDefault="00E67431">
    <w:pPr>
      <w:pStyle w:val="Zhlav"/>
    </w:pPr>
    <w:r w:rsidRPr="00E67431">
      <w:drawing>
        <wp:anchor distT="0" distB="0" distL="114300" distR="114300" simplePos="0" relativeHeight="251658241" behindDoc="1" locked="0" layoutInCell="1" allowOverlap="1" wp14:anchorId="3321E4E4" wp14:editId="3656CBB5">
          <wp:simplePos x="0" y="0"/>
          <wp:positionH relativeFrom="column">
            <wp:posOffset>3363595</wp:posOffset>
          </wp:positionH>
          <wp:positionV relativeFrom="paragraph">
            <wp:posOffset>146897</wp:posOffset>
          </wp:positionV>
          <wp:extent cx="2904490" cy="520700"/>
          <wp:effectExtent l="0" t="0" r="3810" b="0"/>
          <wp:wrapTight wrapText="bothSides">
            <wp:wrapPolygon edited="0">
              <wp:start x="0" y="0"/>
              <wp:lineTo x="0" y="21073"/>
              <wp:lineTo x="21534" y="21073"/>
              <wp:lineTo x="21534" y="0"/>
              <wp:lineTo x="0" y="0"/>
            </wp:wrapPolygon>
          </wp:wrapTight>
          <wp:docPr id="22" name="Grafik 22" descr="P:\01980394\OE0394\OE_ORD\PRESSE\E. ADMINISTRATION\Logos\Erste Bank\a_NEUE LOGOs ab Okt 2017\EBSPK_office_external-mate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01980394\OE0394\OE_ORD\PRESSE\E. ADMINISTRATION\Logos\Erste Bank\a_NEUE LOGOs ab Okt 2017\EBSPK_office_external-mater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4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431">
      <mc:AlternateContent>
        <mc:Choice Requires="wps">
          <w:drawing>
            <wp:anchor distT="0" distB="0" distL="114300" distR="114300" simplePos="0" relativeHeight="251658240" behindDoc="1" locked="0" layoutInCell="1" allowOverlap="1" wp14:anchorId="3AD1A02B" wp14:editId="16FA5B0E">
              <wp:simplePos x="0" y="0"/>
              <wp:positionH relativeFrom="page">
                <wp:posOffset>19262</wp:posOffset>
              </wp:positionH>
              <wp:positionV relativeFrom="page">
                <wp:posOffset>3387</wp:posOffset>
              </wp:positionV>
              <wp:extent cx="7560310" cy="1218565"/>
              <wp:effectExtent l="0" t="0" r="0" b="63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218565"/>
                      </a:xfrm>
                      <a:prstGeom prst="rect">
                        <a:avLst/>
                      </a:prstGeom>
                      <a:solidFill>
                        <a:srgbClr val="BCE4FA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BE322D" w14:textId="77777777" w:rsidR="00E67431" w:rsidRDefault="00E67431" w:rsidP="00E67431">
                          <w:pPr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497C"/>
                              <w:sz w:val="28"/>
                              <w:szCs w:val="28"/>
                            </w:rPr>
                          </w:pPr>
                        </w:p>
                        <w:p w14:paraId="5097C2C9" w14:textId="77777777" w:rsidR="00E67431" w:rsidRDefault="00E67431" w:rsidP="00E67431">
                          <w:pPr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497C"/>
                              <w:sz w:val="28"/>
                              <w:szCs w:val="28"/>
                            </w:rPr>
                          </w:pPr>
                        </w:p>
                        <w:p w14:paraId="69187C13" w14:textId="77777777" w:rsidR="00E67431" w:rsidRDefault="00E67431" w:rsidP="003C10CD">
                          <w:pPr>
                            <w:pStyle w:val="Nadpis3"/>
                            <w:spacing w:after="40"/>
                            <w:ind w:left="567" w:right="556"/>
                            <w:rPr>
                              <w:shd w:val="clear" w:color="auto" w:fill="auto"/>
                            </w:rPr>
                          </w:pPr>
                          <w:r w:rsidRPr="00E67431">
                            <w:rPr>
                              <w:shd w:val="clear" w:color="auto" w:fill="auto"/>
                            </w:rPr>
                            <w:t>Presseaussendung</w:t>
                          </w:r>
                        </w:p>
                        <w:p w14:paraId="6B5CC3AF" w14:textId="03FBCAD7" w:rsidR="003C10CD" w:rsidRPr="003C10CD" w:rsidRDefault="003C10CD" w:rsidP="00711920">
                          <w:pPr>
                            <w:pStyle w:val="Datum"/>
                          </w:pPr>
                          <w:r w:rsidRPr="003C10CD">
                            <w:fldChar w:fldCharType="begin"/>
                          </w:r>
                          <w:r w:rsidRPr="003C10CD">
                            <w:instrText xml:space="preserve"> TIME \@ "d. MMMM yyyy" </w:instrText>
                          </w:r>
                          <w:r w:rsidRPr="003C10CD">
                            <w:fldChar w:fldCharType="separate"/>
                          </w:r>
                          <w:r w:rsidR="00012366">
                            <w:t>29. April 2024</w:t>
                          </w:r>
                          <w:r w:rsidRPr="003C10CD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D1A02B" id="Rechteck 2" o:spid="_x0000_s1028" style="position:absolute;margin-left:1.5pt;margin-top:.25pt;width:595.3pt;height:9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" fillcolor="#bce4fa" stroked="f">
              <v:textbox>
                <w:txbxContent>
                  <w:p w14:paraId="39BE322D" w14:textId="77777777" w:rsidR="00E67431" w:rsidRDefault="00E67431" w:rsidP="00E67431">
                    <w:pPr>
                      <w:rPr>
                        <w:rFonts w:ascii="Open Sans" w:eastAsia="Arial" w:hAnsi="Open Sans" w:cs="Open Sans"/>
                        <w:b/>
                        <w:bCs/>
                        <w:color w:val="00497C"/>
                        <w:sz w:val="28"/>
                        <w:szCs w:val="28"/>
                      </w:rPr>
                    </w:pPr>
                  </w:p>
                  <w:p w14:paraId="5097C2C9" w14:textId="77777777" w:rsidR="00E67431" w:rsidRDefault="00E67431" w:rsidP="00E67431">
                    <w:pPr>
                      <w:rPr>
                        <w:rFonts w:ascii="Open Sans" w:eastAsia="Arial" w:hAnsi="Open Sans" w:cs="Open Sans"/>
                        <w:b/>
                        <w:bCs/>
                        <w:color w:val="00497C"/>
                        <w:sz w:val="28"/>
                        <w:szCs w:val="28"/>
                      </w:rPr>
                    </w:pPr>
                  </w:p>
                  <w:p w14:paraId="69187C13" w14:textId="77777777" w:rsidR="00E67431" w:rsidRDefault="00E67431" w:rsidP="003C10CD">
                    <w:pPr>
                      <w:pStyle w:val="Nadpis3"/>
                      <w:spacing w:after="40"/>
                      <w:ind w:left="567" w:right="556"/>
                      <w:rPr>
                        <w:shd w:val="clear" w:color="auto" w:fill="auto"/>
                      </w:rPr>
                    </w:pPr>
                    <w:r w:rsidRPr="00E67431">
                      <w:rPr>
                        <w:shd w:val="clear" w:color="auto" w:fill="auto"/>
                      </w:rPr>
                      <w:t>Presseaussendung</w:t>
                    </w:r>
                  </w:p>
                  <w:p w14:paraId="6B5CC3AF" w14:textId="03FBCAD7" w:rsidR="003C10CD" w:rsidRPr="003C10CD" w:rsidRDefault="003C10CD" w:rsidP="00711920">
                    <w:pPr>
                      <w:pStyle w:val="Datum"/>
                    </w:pPr>
                    <w:r w:rsidRPr="003C10CD">
                      <w:fldChar w:fldCharType="begin"/>
                    </w:r>
                    <w:r w:rsidRPr="003C10CD">
                      <w:instrText xml:space="preserve"> TIME \@ "d. MMMM yyyy" </w:instrText>
                    </w:r>
                    <w:r w:rsidRPr="003C10CD">
                      <w:fldChar w:fldCharType="separate"/>
                    </w:r>
                    <w:r w:rsidR="00012366">
                      <w:t>29. April 2024</w:t>
                    </w:r>
                    <w:r w:rsidRPr="003C10CD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665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94D9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04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045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32D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A2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EC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CEC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6D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61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71B67"/>
    <w:multiLevelType w:val="hybridMultilevel"/>
    <w:tmpl w:val="6CC6400A"/>
    <w:lvl w:ilvl="0" w:tplc="85884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36232"/>
    <w:multiLevelType w:val="multilevel"/>
    <w:tmpl w:val="DFD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3643A"/>
    <w:multiLevelType w:val="hybridMultilevel"/>
    <w:tmpl w:val="80BA015E"/>
    <w:lvl w:ilvl="0" w:tplc="BABC3774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E34BE"/>
    <w:multiLevelType w:val="hybridMultilevel"/>
    <w:tmpl w:val="B1C45F4E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D3B6693"/>
    <w:multiLevelType w:val="hybridMultilevel"/>
    <w:tmpl w:val="139499B8"/>
    <w:lvl w:ilvl="0" w:tplc="19205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B587E"/>
    <w:multiLevelType w:val="multilevel"/>
    <w:tmpl w:val="57B6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C7D64"/>
    <w:multiLevelType w:val="multilevel"/>
    <w:tmpl w:val="538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A66AAA"/>
    <w:multiLevelType w:val="hybridMultilevel"/>
    <w:tmpl w:val="7274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85675">
    <w:abstractNumId w:val="10"/>
  </w:num>
  <w:num w:numId="2" w16cid:durableId="1860122392">
    <w:abstractNumId w:val="13"/>
  </w:num>
  <w:num w:numId="3" w16cid:durableId="1735354434">
    <w:abstractNumId w:val="0"/>
  </w:num>
  <w:num w:numId="4" w16cid:durableId="508643064">
    <w:abstractNumId w:val="1"/>
  </w:num>
  <w:num w:numId="5" w16cid:durableId="418527854">
    <w:abstractNumId w:val="2"/>
  </w:num>
  <w:num w:numId="6" w16cid:durableId="1965647766">
    <w:abstractNumId w:val="3"/>
  </w:num>
  <w:num w:numId="7" w16cid:durableId="1981376145">
    <w:abstractNumId w:val="8"/>
  </w:num>
  <w:num w:numId="8" w16cid:durableId="1782987482">
    <w:abstractNumId w:val="4"/>
  </w:num>
  <w:num w:numId="9" w16cid:durableId="853035032">
    <w:abstractNumId w:val="5"/>
  </w:num>
  <w:num w:numId="10" w16cid:durableId="1113014336">
    <w:abstractNumId w:val="6"/>
  </w:num>
  <w:num w:numId="11" w16cid:durableId="777916835">
    <w:abstractNumId w:val="7"/>
  </w:num>
  <w:num w:numId="12" w16cid:durableId="64883177">
    <w:abstractNumId w:val="9"/>
  </w:num>
  <w:num w:numId="13" w16cid:durableId="1041590433">
    <w:abstractNumId w:val="12"/>
  </w:num>
  <w:num w:numId="14" w16cid:durableId="677580120">
    <w:abstractNumId w:val="14"/>
  </w:num>
  <w:num w:numId="15" w16cid:durableId="238491641">
    <w:abstractNumId w:val="12"/>
    <w:lvlOverride w:ilvl="0">
      <w:startOverride w:val="1"/>
    </w:lvlOverride>
  </w:num>
  <w:num w:numId="16" w16cid:durableId="426997840">
    <w:abstractNumId w:val="12"/>
    <w:lvlOverride w:ilvl="0">
      <w:startOverride w:val="1"/>
    </w:lvlOverride>
  </w:num>
  <w:num w:numId="17" w16cid:durableId="1815221451">
    <w:abstractNumId w:val="12"/>
    <w:lvlOverride w:ilvl="0">
      <w:startOverride w:val="1"/>
    </w:lvlOverride>
  </w:num>
  <w:num w:numId="18" w16cid:durableId="1296914770">
    <w:abstractNumId w:val="16"/>
  </w:num>
  <w:num w:numId="19" w16cid:durableId="461581737">
    <w:abstractNumId w:val="11"/>
  </w:num>
  <w:num w:numId="20" w16cid:durableId="601033376">
    <w:abstractNumId w:val="15"/>
  </w:num>
  <w:num w:numId="21" w16cid:durableId="1003095755">
    <w:abstractNumId w:val="12"/>
  </w:num>
  <w:num w:numId="22" w16cid:durableId="7420681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9C"/>
    <w:rsid w:val="00011BA0"/>
    <w:rsid w:val="00012366"/>
    <w:rsid w:val="000346FD"/>
    <w:rsid w:val="0005724A"/>
    <w:rsid w:val="00067770"/>
    <w:rsid w:val="00080652"/>
    <w:rsid w:val="0008090D"/>
    <w:rsid w:val="00092DD8"/>
    <w:rsid w:val="000F23A3"/>
    <w:rsid w:val="00113355"/>
    <w:rsid w:val="00117195"/>
    <w:rsid w:val="00117FB4"/>
    <w:rsid w:val="00131718"/>
    <w:rsid w:val="00167E7A"/>
    <w:rsid w:val="00191778"/>
    <w:rsid w:val="0019748B"/>
    <w:rsid w:val="001C0501"/>
    <w:rsid w:val="001C5B42"/>
    <w:rsid w:val="001D07BC"/>
    <w:rsid w:val="001D0C65"/>
    <w:rsid w:val="001D730C"/>
    <w:rsid w:val="001E5EB6"/>
    <w:rsid w:val="00205223"/>
    <w:rsid w:val="00224C8A"/>
    <w:rsid w:val="002539DD"/>
    <w:rsid w:val="00260790"/>
    <w:rsid w:val="002661DB"/>
    <w:rsid w:val="002A0D59"/>
    <w:rsid w:val="002A220D"/>
    <w:rsid w:val="002A772F"/>
    <w:rsid w:val="002B44FF"/>
    <w:rsid w:val="002B7D0C"/>
    <w:rsid w:val="002D310A"/>
    <w:rsid w:val="002D5D4F"/>
    <w:rsid w:val="002F147D"/>
    <w:rsid w:val="002F1CBD"/>
    <w:rsid w:val="002F3D38"/>
    <w:rsid w:val="002F71C4"/>
    <w:rsid w:val="00302879"/>
    <w:rsid w:val="00312518"/>
    <w:rsid w:val="0033172B"/>
    <w:rsid w:val="00377EC3"/>
    <w:rsid w:val="00380EDD"/>
    <w:rsid w:val="0039590A"/>
    <w:rsid w:val="003A3147"/>
    <w:rsid w:val="003B3C0A"/>
    <w:rsid w:val="003C10CD"/>
    <w:rsid w:val="003C51D4"/>
    <w:rsid w:val="003E7F90"/>
    <w:rsid w:val="003F5C1F"/>
    <w:rsid w:val="00407BEB"/>
    <w:rsid w:val="00422422"/>
    <w:rsid w:val="0042678E"/>
    <w:rsid w:val="00431C8D"/>
    <w:rsid w:val="00454508"/>
    <w:rsid w:val="00455E1D"/>
    <w:rsid w:val="00484830"/>
    <w:rsid w:val="004C4471"/>
    <w:rsid w:val="004F1AB5"/>
    <w:rsid w:val="00506C14"/>
    <w:rsid w:val="00512320"/>
    <w:rsid w:val="00540185"/>
    <w:rsid w:val="005503D9"/>
    <w:rsid w:val="00550881"/>
    <w:rsid w:val="005530C3"/>
    <w:rsid w:val="00553F90"/>
    <w:rsid w:val="0056412E"/>
    <w:rsid w:val="00584B98"/>
    <w:rsid w:val="00585FEE"/>
    <w:rsid w:val="00597A2D"/>
    <w:rsid w:val="005A4A85"/>
    <w:rsid w:val="005C34A1"/>
    <w:rsid w:val="005C4237"/>
    <w:rsid w:val="005D155B"/>
    <w:rsid w:val="005D1C73"/>
    <w:rsid w:val="005D2D7A"/>
    <w:rsid w:val="005E1A12"/>
    <w:rsid w:val="005E5D30"/>
    <w:rsid w:val="00607AA1"/>
    <w:rsid w:val="00621503"/>
    <w:rsid w:val="00644A81"/>
    <w:rsid w:val="00644CC0"/>
    <w:rsid w:val="0064757E"/>
    <w:rsid w:val="0066165B"/>
    <w:rsid w:val="00664280"/>
    <w:rsid w:val="00676874"/>
    <w:rsid w:val="006940A5"/>
    <w:rsid w:val="0069608C"/>
    <w:rsid w:val="006A5FF1"/>
    <w:rsid w:val="006B35B3"/>
    <w:rsid w:val="006B4AF8"/>
    <w:rsid w:val="006C0F60"/>
    <w:rsid w:val="006C1C10"/>
    <w:rsid w:val="006E5BEE"/>
    <w:rsid w:val="006F283E"/>
    <w:rsid w:val="00711920"/>
    <w:rsid w:val="00711D5D"/>
    <w:rsid w:val="007263E4"/>
    <w:rsid w:val="00745D18"/>
    <w:rsid w:val="007571EA"/>
    <w:rsid w:val="00757CC0"/>
    <w:rsid w:val="00765247"/>
    <w:rsid w:val="007711B0"/>
    <w:rsid w:val="007725B9"/>
    <w:rsid w:val="007728C1"/>
    <w:rsid w:val="00774E0D"/>
    <w:rsid w:val="00781C80"/>
    <w:rsid w:val="00785CBB"/>
    <w:rsid w:val="0079699A"/>
    <w:rsid w:val="007A12A6"/>
    <w:rsid w:val="007B1041"/>
    <w:rsid w:val="007B3D66"/>
    <w:rsid w:val="007D3028"/>
    <w:rsid w:val="007E7419"/>
    <w:rsid w:val="00816265"/>
    <w:rsid w:val="008568D5"/>
    <w:rsid w:val="00884EEA"/>
    <w:rsid w:val="00897B52"/>
    <w:rsid w:val="008A4E98"/>
    <w:rsid w:val="008A539B"/>
    <w:rsid w:val="008F4334"/>
    <w:rsid w:val="009238C5"/>
    <w:rsid w:val="009247A0"/>
    <w:rsid w:val="00932959"/>
    <w:rsid w:val="00951C91"/>
    <w:rsid w:val="00962EBC"/>
    <w:rsid w:val="0096575C"/>
    <w:rsid w:val="00982BF6"/>
    <w:rsid w:val="009844F9"/>
    <w:rsid w:val="00985AAF"/>
    <w:rsid w:val="009B506D"/>
    <w:rsid w:val="009B5B7D"/>
    <w:rsid w:val="009B5ED5"/>
    <w:rsid w:val="009C7387"/>
    <w:rsid w:val="009C7D32"/>
    <w:rsid w:val="009E0111"/>
    <w:rsid w:val="009F31E7"/>
    <w:rsid w:val="00A00816"/>
    <w:rsid w:val="00A015D0"/>
    <w:rsid w:val="00A23F87"/>
    <w:rsid w:val="00A24B0B"/>
    <w:rsid w:val="00A25DAA"/>
    <w:rsid w:val="00A2683A"/>
    <w:rsid w:val="00A315E1"/>
    <w:rsid w:val="00A3785C"/>
    <w:rsid w:val="00A46F43"/>
    <w:rsid w:val="00A6002A"/>
    <w:rsid w:val="00A66E8E"/>
    <w:rsid w:val="00A85FA9"/>
    <w:rsid w:val="00AC3985"/>
    <w:rsid w:val="00AC720D"/>
    <w:rsid w:val="00AD6212"/>
    <w:rsid w:val="00AF1580"/>
    <w:rsid w:val="00B07C9C"/>
    <w:rsid w:val="00B15F52"/>
    <w:rsid w:val="00B16D68"/>
    <w:rsid w:val="00B30346"/>
    <w:rsid w:val="00B3068D"/>
    <w:rsid w:val="00B653FB"/>
    <w:rsid w:val="00B70F93"/>
    <w:rsid w:val="00BA0DBA"/>
    <w:rsid w:val="00BA2B75"/>
    <w:rsid w:val="00BC5E2E"/>
    <w:rsid w:val="00C508A6"/>
    <w:rsid w:val="00C549DB"/>
    <w:rsid w:val="00C71EFA"/>
    <w:rsid w:val="00C7374E"/>
    <w:rsid w:val="00C76836"/>
    <w:rsid w:val="00CC18B8"/>
    <w:rsid w:val="00CC3F85"/>
    <w:rsid w:val="00CD5F0A"/>
    <w:rsid w:val="00CF58BD"/>
    <w:rsid w:val="00CF67B6"/>
    <w:rsid w:val="00CF7AA4"/>
    <w:rsid w:val="00D046F5"/>
    <w:rsid w:val="00D2183A"/>
    <w:rsid w:val="00D3103F"/>
    <w:rsid w:val="00D337DC"/>
    <w:rsid w:val="00D53520"/>
    <w:rsid w:val="00D5643A"/>
    <w:rsid w:val="00D566D9"/>
    <w:rsid w:val="00D71087"/>
    <w:rsid w:val="00D77402"/>
    <w:rsid w:val="00D86268"/>
    <w:rsid w:val="00D975B2"/>
    <w:rsid w:val="00DC6F1B"/>
    <w:rsid w:val="00E271CE"/>
    <w:rsid w:val="00E34807"/>
    <w:rsid w:val="00E4592F"/>
    <w:rsid w:val="00E52DEA"/>
    <w:rsid w:val="00E5507D"/>
    <w:rsid w:val="00E57665"/>
    <w:rsid w:val="00E67431"/>
    <w:rsid w:val="00E70964"/>
    <w:rsid w:val="00E837D9"/>
    <w:rsid w:val="00EB1F6A"/>
    <w:rsid w:val="00ED59B1"/>
    <w:rsid w:val="00EF0191"/>
    <w:rsid w:val="00F047C7"/>
    <w:rsid w:val="00F064B6"/>
    <w:rsid w:val="00F56C8E"/>
    <w:rsid w:val="00F63492"/>
    <w:rsid w:val="00F65DD2"/>
    <w:rsid w:val="00F71E89"/>
    <w:rsid w:val="00F734F9"/>
    <w:rsid w:val="00F7399E"/>
    <w:rsid w:val="00F8401F"/>
    <w:rsid w:val="00FA69A9"/>
    <w:rsid w:val="00FB3B2E"/>
    <w:rsid w:val="00FB6686"/>
    <w:rsid w:val="00FB6F12"/>
    <w:rsid w:val="00FB6F87"/>
    <w:rsid w:val="00FC1F9B"/>
    <w:rsid w:val="00FD482A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0A445"/>
  <w15:chartTrackingRefBased/>
  <w15:docId w15:val="{C1DD9518-3CB8-4701-A67E-E34E309D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FA69A9"/>
    <w:pPr>
      <w:spacing w:line="288" w:lineRule="auto"/>
    </w:pPr>
    <w:rPr>
      <w:rFonts w:ascii="Arial" w:hAnsi="Arial" w:cs="Arial"/>
      <w:noProof/>
      <w:sz w:val="20"/>
      <w:szCs w:val="20"/>
      <w:shd w:val="clear" w:color="auto" w:fill="FFFFFF"/>
      <w:lang w:val="de-AT" w:eastAsia="de-DE"/>
    </w:rPr>
  </w:style>
  <w:style w:type="paragraph" w:styleId="Nadpis1">
    <w:name w:val="heading 1"/>
    <w:basedOn w:val="Nzev"/>
    <w:next w:val="Normln"/>
    <w:link w:val="Nadpis1Char"/>
    <w:uiPriority w:val="9"/>
    <w:qFormat/>
    <w:rsid w:val="002B7D0C"/>
    <w:pPr>
      <w:outlineLvl w:val="0"/>
    </w:pPr>
    <w:rPr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7D0C"/>
    <w:pPr>
      <w:keepNext/>
      <w:keepLines/>
      <w:spacing w:before="40" w:after="120"/>
      <w:outlineLvl w:val="1"/>
    </w:pPr>
    <w:rPr>
      <w:rFonts w:eastAsiaTheme="majorEastAsia" w:cstheme="majorBidi"/>
      <w:b/>
      <w:bCs/>
      <w:color w:val="00497B"/>
      <w:sz w:val="40"/>
      <w:szCs w:val="4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B7D0C"/>
    <w:pPr>
      <w:outlineLvl w:val="2"/>
    </w:pPr>
    <w:rPr>
      <w:sz w:val="32"/>
      <w:szCs w:val="32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B7D0C"/>
    <w:pPr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qFormat/>
    <w:rsid w:val="00553F90"/>
    <w:rPr>
      <w:rFonts w:eastAsia="Arial"/>
      <w:color w:val="00497C"/>
      <w:sz w:val="14"/>
      <w:szCs w:val="14"/>
      <w:u w:val="single"/>
      <w:shd w:val="clear" w:color="auto" w:fill="auto"/>
    </w:rPr>
  </w:style>
  <w:style w:type="paragraph" w:styleId="Zhlav">
    <w:name w:val="header"/>
    <w:basedOn w:val="Normln"/>
    <w:link w:val="ZhlavChar"/>
    <w:uiPriority w:val="99"/>
    <w:unhideWhenUsed/>
    <w:rsid w:val="00897B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B52"/>
    <w:rPr>
      <w:noProof/>
      <w:lang w:val="de-AT"/>
    </w:rPr>
  </w:style>
  <w:style w:type="paragraph" w:styleId="Zpat">
    <w:name w:val="footer"/>
    <w:basedOn w:val="Normln"/>
    <w:link w:val="ZpatChar"/>
    <w:uiPriority w:val="99"/>
    <w:unhideWhenUsed/>
    <w:rsid w:val="00897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B52"/>
    <w:rPr>
      <w:noProof/>
      <w:lang w:val="de-AT"/>
    </w:rPr>
  </w:style>
  <w:style w:type="paragraph" w:styleId="Nzev">
    <w:name w:val="Title"/>
    <w:basedOn w:val="Normln"/>
    <w:next w:val="Normln"/>
    <w:link w:val="NzevChar"/>
    <w:uiPriority w:val="10"/>
    <w:qFormat/>
    <w:rsid w:val="00224C8A"/>
    <w:pPr>
      <w:tabs>
        <w:tab w:val="left" w:pos="4067"/>
      </w:tabs>
    </w:pPr>
    <w:rPr>
      <w:b/>
      <w:bCs/>
      <w:color w:val="00497B"/>
      <w:sz w:val="50"/>
      <w:szCs w:val="50"/>
    </w:rPr>
  </w:style>
  <w:style w:type="character" w:customStyle="1" w:styleId="NzevChar">
    <w:name w:val="Název Char"/>
    <w:basedOn w:val="Standardnpsmoodstavce"/>
    <w:link w:val="Nzev"/>
    <w:uiPriority w:val="10"/>
    <w:rsid w:val="00224C8A"/>
    <w:rPr>
      <w:rFonts w:ascii="Arial" w:hAnsi="Arial" w:cs="Arial"/>
      <w:b/>
      <w:bCs/>
      <w:noProof/>
      <w:color w:val="00497B"/>
      <w:sz w:val="50"/>
      <w:szCs w:val="50"/>
      <w:lang w:val="de-AT"/>
    </w:rPr>
  </w:style>
  <w:style w:type="character" w:customStyle="1" w:styleId="Nadpis2Char">
    <w:name w:val="Nadpis 2 Char"/>
    <w:basedOn w:val="Standardnpsmoodstavce"/>
    <w:link w:val="Nadpis2"/>
    <w:uiPriority w:val="9"/>
    <w:rsid w:val="002B7D0C"/>
    <w:rPr>
      <w:rFonts w:ascii="Arial" w:eastAsiaTheme="majorEastAsia" w:hAnsi="Arial" w:cstheme="majorBidi"/>
      <w:b/>
      <w:bCs/>
      <w:noProof/>
      <w:color w:val="00497B"/>
      <w:sz w:val="40"/>
      <w:szCs w:val="40"/>
      <w:lang w:val="de-AT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2B7D0C"/>
    <w:rPr>
      <w:rFonts w:ascii="Arial" w:hAnsi="Arial" w:cs="Arial"/>
      <w:b/>
      <w:bCs/>
      <w:noProof/>
      <w:color w:val="00497B"/>
      <w:sz w:val="56"/>
      <w:szCs w:val="56"/>
      <w:lang w:val="de-AT" w:eastAsia="de-DE"/>
    </w:rPr>
  </w:style>
  <w:style w:type="character" w:customStyle="1" w:styleId="Nadpis3Char">
    <w:name w:val="Nadpis 3 Char"/>
    <w:basedOn w:val="Standardnpsmoodstavce"/>
    <w:link w:val="Nadpis3"/>
    <w:uiPriority w:val="9"/>
    <w:rsid w:val="002B7D0C"/>
    <w:rPr>
      <w:rFonts w:ascii="Arial" w:eastAsiaTheme="majorEastAsia" w:hAnsi="Arial" w:cstheme="majorBidi"/>
      <w:b/>
      <w:bCs/>
      <w:noProof/>
      <w:color w:val="00497B"/>
      <w:sz w:val="32"/>
      <w:szCs w:val="32"/>
      <w:lang w:val="de-AT" w:eastAsia="de-DE"/>
    </w:rPr>
  </w:style>
  <w:style w:type="paragraph" w:customStyle="1" w:styleId="berschrift3mitHintergrund">
    <w:name w:val="Überschrift 3 mit Hintergrund"/>
    <w:basedOn w:val="Nadpis3"/>
    <w:qFormat/>
    <w:rsid w:val="00E57665"/>
    <w:pPr>
      <w:shd w:val="clear" w:color="auto" w:fill="A3C0D7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E576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57665"/>
    <w:rPr>
      <w:rFonts w:ascii="Arial" w:hAnsi="Arial" w:cs="Arial"/>
      <w:i/>
      <w:iCs/>
      <w:noProof/>
      <w:color w:val="4472C4" w:themeColor="accent1"/>
      <w:sz w:val="20"/>
      <w:szCs w:val="20"/>
      <w:lang w:val="de-AT" w:eastAsia="de-DE"/>
    </w:rPr>
  </w:style>
  <w:style w:type="paragraph" w:styleId="Odstavecseseznamem">
    <w:name w:val="List Paragraph"/>
    <w:basedOn w:val="Normln"/>
    <w:uiPriority w:val="34"/>
    <w:qFormat/>
    <w:rsid w:val="00AC3985"/>
    <w:pPr>
      <w:numPr>
        <w:numId w:val="13"/>
      </w:numPr>
      <w:ind w:right="986"/>
      <w:contextualSpacing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2B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2B7D0C"/>
    <w:rPr>
      <w:rFonts w:ascii="Arial" w:eastAsiaTheme="majorEastAsia" w:hAnsi="Arial" w:cstheme="majorBidi"/>
      <w:b/>
      <w:bCs/>
      <w:noProof/>
      <w:color w:val="00497B"/>
      <w:lang w:val="de-AT" w:eastAsia="de-DE"/>
    </w:rPr>
  </w:style>
  <w:style w:type="character" w:styleId="Nevyeenzmnka">
    <w:name w:val="Unresolved Mention"/>
    <w:basedOn w:val="Standardnpsmoodstavce"/>
    <w:uiPriority w:val="99"/>
    <w:rsid w:val="005A4A85"/>
    <w:rPr>
      <w:color w:val="605E5C"/>
      <w:shd w:val="clear" w:color="auto" w:fill="E1DFDD"/>
    </w:rPr>
  </w:style>
  <w:style w:type="paragraph" w:customStyle="1" w:styleId="Aufzhlung">
    <w:name w:val="Aufzählung"/>
    <w:basedOn w:val="Normln"/>
    <w:uiPriority w:val="1"/>
    <w:qFormat/>
    <w:rsid w:val="00E67431"/>
    <w:pPr>
      <w:spacing w:line="320" w:lineRule="atLeast"/>
      <w:jc w:val="both"/>
    </w:pPr>
    <w:rPr>
      <w:rFonts w:ascii="Helvetica" w:eastAsia="Helvetica" w:hAnsi="Helvetica" w:cs="Helvetica"/>
      <w:noProof w:val="0"/>
      <w:sz w:val="24"/>
      <w:szCs w:val="24"/>
      <w:shd w:val="clear" w:color="auto" w:fill="auto"/>
      <w:lang w:eastAsia="de-AT" w:bidi="de-AT"/>
      <w14:ligatures w14:val="standardContextual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7431"/>
    <w:pPr>
      <w:spacing w:line="240" w:lineRule="auto"/>
    </w:pPr>
    <w:rPr>
      <w:rFonts w:eastAsia="Calibri" w:cs="Times New Roman"/>
      <w:noProof w:val="0"/>
      <w:shd w:val="clear" w:color="auto" w:fill="auto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7431"/>
    <w:rPr>
      <w:rFonts w:ascii="Arial" w:eastAsia="Calibri" w:hAnsi="Arial" w:cs="Times New Roman"/>
      <w:sz w:val="20"/>
      <w:szCs w:val="20"/>
      <w:lang w:val="de-AT"/>
    </w:rPr>
  </w:style>
  <w:style w:type="character" w:styleId="Siln">
    <w:name w:val="Strong"/>
    <w:basedOn w:val="Standardnpsmoodstavce"/>
    <w:uiPriority w:val="22"/>
    <w:qFormat/>
    <w:rsid w:val="0069608C"/>
    <w:rPr>
      <w:b/>
      <w:bCs/>
    </w:rPr>
  </w:style>
  <w:style w:type="character" w:styleId="Sledovanodkaz">
    <w:name w:val="FollowedHyperlink"/>
    <w:basedOn w:val="Hypertextovodkaz"/>
    <w:uiPriority w:val="99"/>
    <w:unhideWhenUsed/>
    <w:rsid w:val="00553F90"/>
    <w:rPr>
      <w:rFonts w:eastAsia="Arial"/>
      <w:color w:val="00497C"/>
      <w:sz w:val="14"/>
      <w:szCs w:val="14"/>
      <w:u w:val="single"/>
      <w:shd w:val="clear" w:color="auto" w:fil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553F90"/>
    <w:rPr>
      <w:sz w:val="16"/>
      <w:szCs w:val="16"/>
    </w:rPr>
  </w:style>
  <w:style w:type="paragraph" w:styleId="Datum">
    <w:name w:val="Date"/>
    <w:basedOn w:val="Normln"/>
    <w:next w:val="Normln"/>
    <w:link w:val="DatumChar"/>
    <w:autoRedefine/>
    <w:uiPriority w:val="99"/>
    <w:unhideWhenUsed/>
    <w:rsid w:val="00711920"/>
    <w:pPr>
      <w:ind w:left="567"/>
    </w:pPr>
    <w:rPr>
      <w:color w:val="00497B"/>
      <w:shd w:val="clear" w:color="auto" w:fill="auto"/>
    </w:rPr>
  </w:style>
  <w:style w:type="character" w:customStyle="1" w:styleId="DatumChar">
    <w:name w:val="Datum Char"/>
    <w:basedOn w:val="Standardnpsmoodstavce"/>
    <w:link w:val="Datum"/>
    <w:uiPriority w:val="99"/>
    <w:rsid w:val="00711920"/>
    <w:rPr>
      <w:rFonts w:ascii="Arial" w:hAnsi="Arial" w:cs="Arial"/>
      <w:noProof/>
      <w:color w:val="00497B"/>
      <w:sz w:val="20"/>
      <w:szCs w:val="20"/>
      <w:lang w:val="de-AT" w:eastAsia="de-DE"/>
    </w:rPr>
  </w:style>
  <w:style w:type="paragraph" w:customStyle="1" w:styleId="Zitat1">
    <w:name w:val="Zitat1"/>
    <w:basedOn w:val="Normln"/>
    <w:qFormat/>
    <w:rsid w:val="00745D18"/>
    <w:pPr>
      <w:spacing w:line="312" w:lineRule="auto"/>
      <w:ind w:left="459" w:right="312"/>
    </w:pPr>
    <w:rPr>
      <w:i/>
      <w:iCs/>
      <w:color w:val="00497C"/>
      <w:shd w:val="clear" w:color="auto" w:fill="auto"/>
    </w:rPr>
  </w:style>
  <w:style w:type="paragraph" w:customStyle="1" w:styleId="QuoteIn-Text">
    <w:name w:val="Quote In-Text"/>
    <w:basedOn w:val="Normln"/>
    <w:next w:val="Normln"/>
    <w:link w:val="QuoteIn-TextZchn"/>
    <w:qFormat/>
    <w:rsid w:val="00AC3985"/>
    <w:rPr>
      <w:i/>
      <w:iCs/>
      <w:color w:val="000000" w:themeColor="text1"/>
      <w:shd w:val="clear" w:color="auto" w:fill="auto"/>
    </w:rPr>
  </w:style>
  <w:style w:type="character" w:customStyle="1" w:styleId="QuoteIn-TextZchn">
    <w:name w:val="Quote In-Text Zchn"/>
    <w:basedOn w:val="Standardnpsmoodstavce"/>
    <w:link w:val="QuoteIn-Text"/>
    <w:rsid w:val="00AC3985"/>
    <w:rPr>
      <w:rFonts w:ascii="Arial" w:hAnsi="Arial" w:cs="Arial"/>
      <w:i/>
      <w:iCs/>
      <w:noProof/>
      <w:color w:val="000000" w:themeColor="text1"/>
      <w:sz w:val="20"/>
      <w:szCs w:val="20"/>
      <w:lang w:val="de-AT" w:eastAsia="de-DE"/>
    </w:rPr>
  </w:style>
  <w:style w:type="paragraph" w:customStyle="1" w:styleId="Default">
    <w:name w:val="Default"/>
    <w:rsid w:val="005503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xterner-Hyperlink">
    <w:name w:val="Externer-Hyperlink"/>
    <w:basedOn w:val="Normln"/>
    <w:qFormat/>
    <w:rsid w:val="005C34A1"/>
    <w:rPr>
      <w:b/>
      <w:bCs/>
      <w:color w:val="00497C"/>
      <w:u w:val="single"/>
    </w:rPr>
  </w:style>
  <w:style w:type="paragraph" w:customStyle="1" w:styleId="Credits">
    <w:name w:val="Credits"/>
    <w:basedOn w:val="Normln"/>
    <w:qFormat/>
    <w:rsid w:val="005C34A1"/>
    <w:rPr>
      <w:sz w:val="16"/>
      <w:szCs w:val="16"/>
    </w:rPr>
  </w:style>
  <w:style w:type="paragraph" w:customStyle="1" w:styleId="berschrift-Kopfzeile">
    <w:name w:val="Überschrift-Kopfzeile"/>
    <w:basedOn w:val="Nadpis3"/>
    <w:qFormat/>
    <w:rsid w:val="00584B98"/>
    <w:pPr>
      <w:spacing w:after="40"/>
      <w:ind w:left="567" w:right="556"/>
    </w:pPr>
    <w:rPr>
      <w:shd w:val="clear" w:color="auto" w:fill="auto"/>
    </w:rPr>
  </w:style>
  <w:style w:type="paragraph" w:customStyle="1" w:styleId="ListenabsatzFliesstext">
    <w:name w:val="Listenabsatz Fliesstext"/>
    <w:basedOn w:val="Odstavecseseznamem"/>
    <w:qFormat/>
    <w:rsid w:val="00AC3985"/>
    <w:rPr>
      <w:sz w:val="20"/>
      <w:szCs w:val="20"/>
    </w:rPr>
  </w:style>
  <w:style w:type="paragraph" w:styleId="Bezmezer">
    <w:name w:val="No Spacing"/>
    <w:uiPriority w:val="1"/>
    <w:qFormat/>
    <w:rsid w:val="00A23F87"/>
    <w:rPr>
      <w:rFonts w:ascii="Arial" w:eastAsia="Calibri" w:hAnsi="Arial" w:cs="Times New Roman"/>
      <w:sz w:val="22"/>
      <w:szCs w:val="22"/>
      <w:lang w:val="de-AT"/>
    </w:rPr>
  </w:style>
  <w:style w:type="paragraph" w:customStyle="1" w:styleId="Info">
    <w:name w:val="Info"/>
    <w:basedOn w:val="Normln"/>
    <w:uiPriority w:val="11"/>
    <w:qFormat/>
    <w:rsid w:val="001D07BC"/>
    <w:pPr>
      <w:spacing w:line="169" w:lineRule="exact"/>
    </w:pPr>
    <w:rPr>
      <w:rFonts w:asciiTheme="minorHAnsi" w:hAnsiTheme="minorHAnsi" w:cstheme="minorBidi"/>
      <w:noProof w:val="0"/>
      <w:color w:val="000000" w:themeColor="text1"/>
      <w:sz w:val="13"/>
      <w:szCs w:val="22"/>
      <w:shd w:val="clear" w:color="auto" w:fill="auto"/>
      <w:lang w:val="en-GB" w:eastAsia="en-US"/>
    </w:rPr>
  </w:style>
  <w:style w:type="character" w:customStyle="1" w:styleId="FettimText">
    <w:name w:val="Fett im Text"/>
    <w:qFormat/>
    <w:rsid w:val="0096575C"/>
    <w:rPr>
      <w:rFonts w:ascii="STIX Two Text" w:hAnsi="STIX Two Tex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er.klopf@erstegroup.com" TargetMode="External"/><Relationship Id="rId18" Type="http://schemas.openxmlformats.org/officeDocument/2006/relationships/hyperlink" Target="mailto:christian.hromatka@erstegroup.co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marvin.aschinger@erstegroup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artin.sonn-wende@erstegroup.com" TargetMode="External"/><Relationship Id="rId17" Type="http://schemas.openxmlformats.org/officeDocument/2006/relationships/hyperlink" Target="mailto:napi&#353;te%20n&#225;m%20pros&#237;m%20e-mail%20na%20adresu%20presse@erstebank.a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stegroup.com/en/news-media" TargetMode="External"/><Relationship Id="rId20" Type="http://schemas.openxmlformats.org/officeDocument/2006/relationships/hyperlink" Target="mailto:peter.klopf@erstegroup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an.hromatka@erstegroup.com" TargetMode="External"/><Relationship Id="rId24" Type="http://schemas.openxmlformats.org/officeDocument/2006/relationships/hyperlink" Target="mailto:napi&#353;te%20n&#225;m%20pros&#237;m%20e-mail%20na%20adresu%20presse@erstebank.a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ev.ratner@erstegroup.com" TargetMode="External"/><Relationship Id="rId23" Type="http://schemas.openxmlformats.org/officeDocument/2006/relationships/hyperlink" Target="https://www.erstegroup.com/en/news-media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artin.sonn-wende@erstegroup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vin.aschinger@erstegroup.com" TargetMode="External"/><Relationship Id="rId22" Type="http://schemas.openxmlformats.org/officeDocument/2006/relationships/hyperlink" Target="mailto:lev.ratner@erstegroup.co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6243a\Erste%20Group\AT%20Digital%20Content%20Newsroom%20-%20General\Guidelines&amp;Templates\CD%20neu%202022\TEMPLATE_Holding_Press%20Release-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ip_UnifiedCompliancePolicyUIAction xmlns="http://schemas.microsoft.com/sharepoint/v3" xsi:nil="true"/>
    <_ip_UnifiedCompliancePolicyProperties xmlns="http://schemas.microsoft.com/sharepoint/v3" xsi:nil="true"/>
    <TaxCatchAll xmlns="c2323869-9312-41a6-b73b-7b8186d7ec70" xsi:nil="true"/>
    <lcf76f155ced4ddcb4097134ff3c332f xmlns="4fbe574a-ea71-4a7a-8b6c-7f8379c27a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EF6D673F6C444A56AD1A69ED879D5" ma:contentTypeVersion="23" ma:contentTypeDescription="Create a new document." ma:contentTypeScope="" ma:versionID="aee4b662b451dda9edb976b4b66d6d82">
  <xsd:schema xmlns:xsd="http://www.w3.org/2001/XMLSchema" xmlns:xs="http://www.w3.org/2001/XMLSchema" xmlns:p="http://schemas.microsoft.com/office/2006/metadata/properties" xmlns:ns1="http://schemas.microsoft.com/sharepoint/v3" xmlns:ns2="4fbe574a-ea71-4a7a-8b6c-7f8379c27a3b" xmlns:ns3="c2323869-9312-41a6-b73b-7b8186d7ec70" xmlns:ns4="http://schemas.microsoft.com/sharepoint/v4" targetNamespace="http://schemas.microsoft.com/office/2006/metadata/properties" ma:root="true" ma:fieldsID="9063190ef233f063088c850a926bd204" ns1:_="" ns2:_="" ns3:_="" ns4:_="">
    <xsd:import namespace="http://schemas.microsoft.com/sharepoint/v3"/>
    <xsd:import namespace="4fbe574a-ea71-4a7a-8b6c-7f8379c27a3b"/>
    <xsd:import namespace="c2323869-9312-41a6-b73b-7b8186d7ec7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574a-ea71-4a7a-8b6c-7f8379c2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e7e5b6c-b918-456f-bde5-0dbd0052d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23869-9312-41a6-b73b-7b8186d7e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d8366b5-4854-423f-9ece-b76b9890fd11}" ma:internalName="TaxCatchAll" ma:showField="CatchAllData" ma:web="c2323869-9312-41a6-b73b-7b8186d7e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2C5707-1DCB-4AAC-9DE9-802E974CD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F4E33-DEAC-4DAA-9AD4-412F9ADAD9C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c2323869-9312-41a6-b73b-7b8186d7ec70"/>
    <ds:schemaRef ds:uri="4fbe574a-ea71-4a7a-8b6c-7f8379c27a3b"/>
  </ds:schemaRefs>
</ds:datastoreItem>
</file>

<file path=customXml/itemProps3.xml><?xml version="1.0" encoding="utf-8"?>
<ds:datastoreItem xmlns:ds="http://schemas.openxmlformats.org/officeDocument/2006/customXml" ds:itemID="{4F0C5942-B554-4E65-83E8-09368DA08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be574a-ea71-4a7a-8b6c-7f8379c27a3b"/>
    <ds:schemaRef ds:uri="c2323869-9312-41a6-b73b-7b8186d7ec7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7B6C5-9615-D344-958A-8002CE0E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TEMPLATE_Holding_Press Release-EN.dotx</Template>
  <TotalTime>11</TotalTime>
  <Pages>4</Pages>
  <Words>1268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Aschinger Marvin</dc:creator>
  <cp:keywords/>
  <dc:description/>
  <cp:lastModifiedBy>Bouc František</cp:lastModifiedBy>
  <cp:revision>3</cp:revision>
  <dcterms:created xsi:type="dcterms:W3CDTF">2024-04-29T18:19:00Z</dcterms:created>
  <dcterms:modified xsi:type="dcterms:W3CDTF">2024-04-29T18:27:00Z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0x010100409EF6D673F6C444A56AD1A69ED879D5</vt:lpwstr>
  </property>
  <property fmtid="{D5CDD505-2E9C-101B-9397-08002B2CF9AE}" pid="3" name="MediaServiceImageTags">
    <vt:lpwstr/>
  </property>
  <property fmtid="{D5CDD505-2E9C-101B-9397-08002B2CF9AE}" pid="4" name="MSIP_Label_38939b85-7e40-4a1d-91e1-0e84c3b219d7_Enabled">
    <vt:lpwstr>true</vt:lpwstr>
  </property>
  <property fmtid="{D5CDD505-2E9C-101B-9397-08002B2CF9AE}" pid="5" name="MSIP_Label_38939b85-7e40-4a1d-91e1-0e84c3b219d7_SetDate">
    <vt:lpwstr>2024-04-25T15:48:31Z</vt:lpwstr>
  </property>
  <property fmtid="{D5CDD505-2E9C-101B-9397-08002B2CF9AE}" pid="6" name="MSIP_Label_38939b85-7e40-4a1d-91e1-0e84c3b219d7_Method">
    <vt:lpwstr>Privileged</vt:lpwstr>
  </property>
  <property fmtid="{D5CDD505-2E9C-101B-9397-08002B2CF9AE}" pid="7" name="MSIP_Label_38939b85-7e40-4a1d-91e1-0e84c3b219d7_Name">
    <vt:lpwstr>38939b85-7e40-4a1d-91e1-0e84c3b219d7</vt:lpwstr>
  </property>
  <property fmtid="{D5CDD505-2E9C-101B-9397-08002B2CF9AE}" pid="8" name="MSIP_Label_38939b85-7e40-4a1d-91e1-0e84c3b219d7_SiteId">
    <vt:lpwstr>3ad0376a-54d3-49a6-9e20-52de0a92fc89</vt:lpwstr>
  </property>
  <property fmtid="{D5CDD505-2E9C-101B-9397-08002B2CF9AE}" pid="9" name="MSIP_Label_38939b85-7e40-4a1d-91e1-0e84c3b219d7_ActionId">
    <vt:lpwstr>4ea7e129-8015-4c13-8b39-d95537ec838d</vt:lpwstr>
  </property>
  <property fmtid="{D5CDD505-2E9C-101B-9397-08002B2CF9AE}" pid="10" name="MSIP_Label_38939b85-7e40-4a1d-91e1-0e84c3b219d7_ContentBits">
    <vt:lpwstr>0</vt:lpwstr>
  </property>
</Properties>
</file>