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F00E" w14:textId="22C6D439" w:rsidR="00A23F87" w:rsidRPr="00D95C9A" w:rsidRDefault="0061228C" w:rsidP="00A23F87">
      <w:pPr>
        <w:pStyle w:val="Nadpis2"/>
        <w:rPr>
          <w:rStyle w:val="Siln"/>
          <w:rFonts w:ascii="Inter" w:hAnsi="Inter"/>
          <w:b/>
          <w:bCs/>
          <w:color w:val="auto"/>
          <w:lang w:val="en-US"/>
        </w:rPr>
      </w:pPr>
      <w:r w:rsidRPr="00D95C9A">
        <w:rPr>
          <w:rFonts w:ascii="Inter" w:hAnsi="Inter"/>
          <w:color w:val="auto"/>
          <w:lang w:val="en-US"/>
        </w:rPr>
        <w:t xml:space="preserve">Strong operating </w:t>
      </w:r>
      <w:r w:rsidR="00CA4B96" w:rsidRPr="00D95C9A">
        <w:rPr>
          <w:rFonts w:ascii="Inter" w:hAnsi="Inter"/>
          <w:color w:val="auto"/>
          <w:lang w:val="en-US"/>
        </w:rPr>
        <w:t>performance</w:t>
      </w:r>
      <w:r w:rsidRPr="00D95C9A">
        <w:rPr>
          <w:rFonts w:ascii="Inter" w:hAnsi="Inter"/>
          <w:color w:val="auto"/>
          <w:lang w:val="en-US"/>
        </w:rPr>
        <w:t xml:space="preserve"> in the first quarter - Banking tax</w:t>
      </w:r>
      <w:r w:rsidR="008674C9">
        <w:rPr>
          <w:rFonts w:ascii="Inter" w:hAnsi="Inter"/>
          <w:color w:val="auto"/>
          <w:lang w:val="en-US"/>
        </w:rPr>
        <w:t>es</w:t>
      </w:r>
      <w:r w:rsidRPr="00D95C9A">
        <w:rPr>
          <w:rFonts w:ascii="Inter" w:hAnsi="Inter"/>
          <w:color w:val="auto"/>
          <w:lang w:val="en-US"/>
        </w:rPr>
        <w:t xml:space="preserve"> weigh on net </w:t>
      </w:r>
      <w:proofErr w:type="gramStart"/>
      <w:r w:rsidRPr="00D95C9A">
        <w:rPr>
          <w:rFonts w:ascii="Inter" w:hAnsi="Inter"/>
          <w:color w:val="auto"/>
          <w:lang w:val="en-US"/>
        </w:rPr>
        <w:t>result</w:t>
      </w:r>
      <w:proofErr w:type="gramEnd"/>
    </w:p>
    <w:p w14:paraId="71811860" w14:textId="344FE082" w:rsidR="00A23F87" w:rsidRPr="00D95C9A" w:rsidRDefault="00C5551A" w:rsidP="00A23F87">
      <w:pPr>
        <w:pStyle w:val="Odstavecseseznamem"/>
        <w:numPr>
          <w:ilvl w:val="0"/>
          <w:numId w:val="21"/>
        </w:numPr>
        <w:shd w:val="clear" w:color="auto" w:fill="FFFFFF"/>
        <w:rPr>
          <w:rFonts w:ascii="Inter" w:hAnsi="Inter"/>
          <w:lang w:val="en-US"/>
        </w:rPr>
      </w:pPr>
      <w:r w:rsidRPr="00D95C9A">
        <w:rPr>
          <w:rFonts w:ascii="Inter" w:hAnsi="Inter"/>
          <w:lang w:val="en-US"/>
        </w:rPr>
        <w:t>Earnings quality increases year-on-year</w:t>
      </w:r>
      <w:r w:rsidR="00BD6D0D">
        <w:rPr>
          <w:rFonts w:ascii="Inter" w:hAnsi="Inter"/>
          <w:lang w:val="en-US"/>
        </w:rPr>
        <w:t>,</w:t>
      </w:r>
      <w:r w:rsidRPr="00D95C9A">
        <w:rPr>
          <w:rFonts w:ascii="Inter" w:hAnsi="Inter"/>
          <w:lang w:val="en-US"/>
        </w:rPr>
        <w:t xml:space="preserve"> driven by higher </w:t>
      </w:r>
      <w:r w:rsidR="009C57D6" w:rsidRPr="00D95C9A">
        <w:rPr>
          <w:rFonts w:ascii="Inter" w:hAnsi="Inter"/>
          <w:lang w:val="en-US"/>
        </w:rPr>
        <w:t xml:space="preserve">net fee and </w:t>
      </w:r>
      <w:r w:rsidRPr="00D95C9A">
        <w:rPr>
          <w:rFonts w:ascii="Inter" w:hAnsi="Inter"/>
          <w:lang w:val="en-US"/>
        </w:rPr>
        <w:t>commission income (+</w:t>
      </w:r>
      <w:r w:rsidR="009C57D6" w:rsidRPr="00D95C9A">
        <w:rPr>
          <w:rFonts w:ascii="Inter" w:hAnsi="Inter"/>
          <w:lang w:val="en-US"/>
        </w:rPr>
        <w:t>9.5</w:t>
      </w:r>
      <w:r w:rsidRPr="00D95C9A">
        <w:rPr>
          <w:rFonts w:ascii="Inter" w:hAnsi="Inter"/>
          <w:lang w:val="en-US"/>
        </w:rPr>
        <w:t xml:space="preserve">%) and </w:t>
      </w:r>
      <w:r w:rsidR="009C57D6" w:rsidRPr="00D95C9A">
        <w:rPr>
          <w:rFonts w:ascii="Inter" w:hAnsi="Inter"/>
          <w:lang w:val="en-US"/>
        </w:rPr>
        <w:t xml:space="preserve">net </w:t>
      </w:r>
      <w:r w:rsidRPr="00D95C9A">
        <w:rPr>
          <w:rFonts w:ascii="Inter" w:hAnsi="Inter"/>
          <w:lang w:val="en-US"/>
        </w:rPr>
        <w:t>interest income (+</w:t>
      </w:r>
      <w:r w:rsidR="009C57D6" w:rsidRPr="00D95C9A">
        <w:rPr>
          <w:rFonts w:ascii="Inter" w:hAnsi="Inter"/>
          <w:lang w:val="en-US"/>
        </w:rPr>
        <w:t>1.1</w:t>
      </w:r>
      <w:r w:rsidRPr="00D95C9A">
        <w:rPr>
          <w:rFonts w:ascii="Inter" w:hAnsi="Inter"/>
          <w:lang w:val="en-US"/>
        </w:rPr>
        <w:t>%)</w:t>
      </w:r>
    </w:p>
    <w:p w14:paraId="0091104B" w14:textId="5FA25F98" w:rsidR="00A23F87" w:rsidRPr="00D95C9A" w:rsidRDefault="000D4287" w:rsidP="00A23F87">
      <w:pPr>
        <w:pStyle w:val="Odstavecseseznamem"/>
        <w:numPr>
          <w:ilvl w:val="0"/>
          <w:numId w:val="21"/>
        </w:numPr>
        <w:shd w:val="clear" w:color="auto" w:fill="FFFFFF"/>
        <w:rPr>
          <w:rFonts w:ascii="Inter" w:hAnsi="Inter"/>
          <w:lang w:val="en-US"/>
        </w:rPr>
      </w:pPr>
      <w:r w:rsidRPr="00D95C9A">
        <w:rPr>
          <w:rFonts w:ascii="Inter" w:hAnsi="Inter"/>
          <w:lang w:val="en-US"/>
        </w:rPr>
        <w:t xml:space="preserve">Net result lower due to higher </w:t>
      </w:r>
      <w:r w:rsidR="00CB3528">
        <w:rPr>
          <w:rFonts w:ascii="Inter" w:hAnsi="Inter"/>
          <w:lang w:val="en-US"/>
        </w:rPr>
        <w:t xml:space="preserve">banking </w:t>
      </w:r>
      <w:r w:rsidR="008674C9">
        <w:rPr>
          <w:rFonts w:ascii="Inter" w:hAnsi="Inter"/>
          <w:lang w:val="en-US"/>
        </w:rPr>
        <w:t>taxes</w:t>
      </w:r>
      <w:r w:rsidR="008674C9" w:rsidRPr="00D95C9A">
        <w:rPr>
          <w:rFonts w:ascii="Inter" w:hAnsi="Inter"/>
          <w:lang w:val="en-US"/>
        </w:rPr>
        <w:t xml:space="preserve"> </w:t>
      </w:r>
      <w:r w:rsidRPr="00D95C9A">
        <w:rPr>
          <w:rFonts w:ascii="Inter" w:hAnsi="Inter"/>
          <w:lang w:val="en-US"/>
        </w:rPr>
        <w:t xml:space="preserve">and </w:t>
      </w:r>
      <w:r w:rsidR="009408FA">
        <w:rPr>
          <w:rFonts w:ascii="Inter" w:hAnsi="Inter"/>
          <w:lang w:val="en-US"/>
        </w:rPr>
        <w:t xml:space="preserve">collective agreement </w:t>
      </w:r>
      <w:proofErr w:type="gramStart"/>
      <w:r w:rsidR="009408FA">
        <w:rPr>
          <w:rFonts w:ascii="Inter" w:hAnsi="Inter"/>
          <w:lang w:val="en-US"/>
        </w:rPr>
        <w:t>increases</w:t>
      </w:r>
      <w:proofErr w:type="gramEnd"/>
    </w:p>
    <w:p w14:paraId="582AB2A2" w14:textId="6D7DF79B" w:rsidR="00A23F87" w:rsidRPr="00D95C9A" w:rsidRDefault="00060161" w:rsidP="00A23F87">
      <w:pPr>
        <w:pStyle w:val="Odstavecseseznamem"/>
        <w:numPr>
          <w:ilvl w:val="0"/>
          <w:numId w:val="21"/>
        </w:numPr>
        <w:shd w:val="clear" w:color="auto" w:fill="FFFFFF"/>
        <w:rPr>
          <w:rFonts w:ascii="Inter" w:hAnsi="Inter"/>
          <w:lang w:val="en-US"/>
        </w:rPr>
      </w:pPr>
      <w:r w:rsidRPr="00D95C9A">
        <w:rPr>
          <w:rFonts w:ascii="Inter" w:hAnsi="Inter"/>
          <w:lang w:val="en-US"/>
        </w:rPr>
        <w:t>Loan</w:t>
      </w:r>
      <w:r w:rsidR="000C7445" w:rsidRPr="00D95C9A">
        <w:rPr>
          <w:rFonts w:ascii="Inter" w:hAnsi="Inter"/>
          <w:lang w:val="en-US"/>
        </w:rPr>
        <w:t xml:space="preserve"> volume and deposit volume </w:t>
      </w:r>
      <w:r w:rsidR="007D4273">
        <w:rPr>
          <w:rFonts w:ascii="Inter" w:hAnsi="Inter"/>
          <w:lang w:val="en-US"/>
        </w:rPr>
        <w:t>rise</w:t>
      </w:r>
      <w:r w:rsidR="008B419D" w:rsidRPr="00D95C9A">
        <w:rPr>
          <w:rFonts w:ascii="Inter" w:hAnsi="Inter"/>
          <w:lang w:val="en-US"/>
        </w:rPr>
        <w:t xml:space="preserve"> </w:t>
      </w:r>
      <w:r w:rsidR="008B419D">
        <w:rPr>
          <w:rFonts w:ascii="Inter" w:hAnsi="Inter"/>
          <w:lang w:val="en-US"/>
        </w:rPr>
        <w:t>by</w:t>
      </w:r>
      <w:r w:rsidR="000C7445" w:rsidRPr="00D95C9A">
        <w:rPr>
          <w:rFonts w:ascii="Inter" w:hAnsi="Inter"/>
          <w:lang w:val="en-US"/>
        </w:rPr>
        <w:t>+</w:t>
      </w:r>
      <w:r w:rsidR="00B6218A" w:rsidRPr="00D95C9A">
        <w:rPr>
          <w:rFonts w:ascii="Inter" w:hAnsi="Inter"/>
          <w:lang w:val="en-US"/>
        </w:rPr>
        <w:t>0.9</w:t>
      </w:r>
      <w:r w:rsidR="000C7445" w:rsidRPr="00D95C9A">
        <w:rPr>
          <w:rFonts w:ascii="Inter" w:hAnsi="Inter"/>
          <w:lang w:val="en-US"/>
        </w:rPr>
        <w:t>% and +</w:t>
      </w:r>
      <w:r w:rsidR="00B6218A" w:rsidRPr="00D95C9A">
        <w:rPr>
          <w:rFonts w:ascii="Inter" w:hAnsi="Inter"/>
          <w:lang w:val="en-US"/>
        </w:rPr>
        <w:t>1.9</w:t>
      </w:r>
      <w:r w:rsidR="000C7445" w:rsidRPr="00D95C9A">
        <w:rPr>
          <w:rFonts w:ascii="Inter" w:hAnsi="Inter"/>
          <w:lang w:val="en-US"/>
        </w:rPr>
        <w:t>%</w:t>
      </w:r>
      <w:r w:rsidR="001006BB">
        <w:rPr>
          <w:rFonts w:ascii="Inter" w:hAnsi="Inter"/>
          <w:lang w:val="en-US"/>
        </w:rPr>
        <w:t xml:space="preserve"> </w:t>
      </w:r>
      <w:r w:rsidR="0054376A">
        <w:rPr>
          <w:rFonts w:ascii="Inter" w:hAnsi="Inter"/>
          <w:lang w:val="en-US"/>
        </w:rPr>
        <w:t>YTD,</w:t>
      </w:r>
      <w:r w:rsidR="0054376A" w:rsidRPr="00D95C9A">
        <w:rPr>
          <w:rFonts w:ascii="Inter" w:hAnsi="Inter"/>
          <w:lang w:val="en-US"/>
        </w:rPr>
        <w:t xml:space="preserve"> </w:t>
      </w:r>
      <w:proofErr w:type="gramStart"/>
      <w:r w:rsidR="00CC6626" w:rsidRPr="00D95C9A">
        <w:rPr>
          <w:rFonts w:ascii="Inter" w:hAnsi="Inter"/>
          <w:lang w:val="en-US"/>
        </w:rPr>
        <w:t>respectively</w:t>
      </w:r>
      <w:proofErr w:type="gramEnd"/>
    </w:p>
    <w:p w14:paraId="73E3634D" w14:textId="0961C814" w:rsidR="000C7445" w:rsidRPr="00D95C9A" w:rsidRDefault="00BB1981" w:rsidP="00A23F87">
      <w:pPr>
        <w:pStyle w:val="Odstavecseseznamem"/>
        <w:numPr>
          <w:ilvl w:val="0"/>
          <w:numId w:val="21"/>
        </w:numPr>
        <w:shd w:val="clear" w:color="auto" w:fill="FFFFFF"/>
        <w:rPr>
          <w:rFonts w:ascii="Inter" w:hAnsi="Inter"/>
          <w:lang w:val="en-US"/>
        </w:rPr>
      </w:pPr>
      <w:r>
        <w:rPr>
          <w:rFonts w:ascii="Inter" w:hAnsi="Inter"/>
          <w:lang w:val="en-US"/>
        </w:rPr>
        <w:t>R</w:t>
      </w:r>
      <w:r w:rsidR="00C50C0C" w:rsidRPr="00D95C9A">
        <w:rPr>
          <w:rFonts w:ascii="Inter" w:hAnsi="Inter"/>
          <w:lang w:val="en-US"/>
        </w:rPr>
        <w:t>isk costs (</w:t>
      </w:r>
      <w:r w:rsidR="00764969" w:rsidRPr="00D95C9A">
        <w:rPr>
          <w:rFonts w:ascii="Inter" w:hAnsi="Inter"/>
          <w:lang w:val="en-US"/>
        </w:rPr>
        <w:t>-9.9</w:t>
      </w:r>
      <w:r w:rsidR="00C50C0C" w:rsidRPr="00D95C9A">
        <w:rPr>
          <w:rFonts w:ascii="Inter" w:hAnsi="Inter"/>
          <w:lang w:val="en-US"/>
        </w:rPr>
        <w:t>%</w:t>
      </w:r>
      <w:r w:rsidR="00E01C1E" w:rsidRPr="00D95C9A">
        <w:rPr>
          <w:rFonts w:ascii="Inter" w:hAnsi="Inter"/>
          <w:lang w:val="en-US"/>
        </w:rPr>
        <w:t xml:space="preserve"> YoY</w:t>
      </w:r>
      <w:r w:rsidR="00C50C0C" w:rsidRPr="00D95C9A">
        <w:rPr>
          <w:rFonts w:ascii="Inter" w:hAnsi="Inter"/>
          <w:lang w:val="en-US"/>
        </w:rPr>
        <w:t xml:space="preserve">) </w:t>
      </w:r>
      <w:r>
        <w:rPr>
          <w:rFonts w:ascii="Inter" w:hAnsi="Inter"/>
          <w:lang w:val="en-US"/>
        </w:rPr>
        <w:t xml:space="preserve">decline </w:t>
      </w:r>
      <w:proofErr w:type="gramStart"/>
      <w:r w:rsidR="00713181">
        <w:rPr>
          <w:rFonts w:ascii="Inter" w:hAnsi="Inter"/>
          <w:lang w:val="en-US"/>
        </w:rPr>
        <w:t>on the basis of</w:t>
      </w:r>
      <w:proofErr w:type="gramEnd"/>
      <w:r w:rsidR="00713181">
        <w:rPr>
          <w:rFonts w:ascii="Inter" w:hAnsi="Inter"/>
          <w:lang w:val="en-US"/>
        </w:rPr>
        <w:t xml:space="preserve"> an</w:t>
      </w:r>
      <w:r w:rsidR="00713181" w:rsidRPr="00D95C9A">
        <w:rPr>
          <w:rFonts w:ascii="Inter" w:hAnsi="Inter"/>
          <w:lang w:val="en-US"/>
        </w:rPr>
        <w:t xml:space="preserve"> </w:t>
      </w:r>
      <w:r w:rsidR="00C50C0C" w:rsidRPr="00D95C9A">
        <w:rPr>
          <w:rFonts w:ascii="Inter" w:hAnsi="Inter"/>
          <w:lang w:val="en-US"/>
        </w:rPr>
        <w:t xml:space="preserve">improved </w:t>
      </w:r>
      <w:r w:rsidR="00BF52E2" w:rsidRPr="00D95C9A">
        <w:rPr>
          <w:rFonts w:ascii="Inter" w:hAnsi="Inter"/>
          <w:lang w:val="en-US"/>
        </w:rPr>
        <w:t>asset</w:t>
      </w:r>
      <w:r w:rsidR="00C50C0C" w:rsidRPr="00D95C9A">
        <w:rPr>
          <w:rFonts w:ascii="Inter" w:hAnsi="Inter"/>
          <w:lang w:val="en-US"/>
        </w:rPr>
        <w:t xml:space="preserve"> quality</w:t>
      </w:r>
    </w:p>
    <w:p w14:paraId="7913E331" w14:textId="77777777" w:rsidR="00A23F87" w:rsidRPr="00D95C9A" w:rsidRDefault="00A23F87" w:rsidP="00A23F87">
      <w:pPr>
        <w:rPr>
          <w:rFonts w:ascii="Inter" w:hAnsi="Inter"/>
          <w:lang w:val="en-US"/>
        </w:rPr>
      </w:pPr>
    </w:p>
    <w:p w14:paraId="0AFFBB27" w14:textId="76589ADB" w:rsidR="00A23F87" w:rsidRPr="00A85FA9" w:rsidRDefault="00E0385E" w:rsidP="00A23F87">
      <w:pPr>
        <w:spacing w:line="280" w:lineRule="exact"/>
        <w:rPr>
          <w:rFonts w:ascii="Inter" w:hAnsi="Inter"/>
          <w:b/>
          <w:lang w:val="en-US"/>
        </w:rPr>
      </w:pPr>
      <w:proofErr w:type="spellStart"/>
      <w:r w:rsidRPr="00D95C9A">
        <w:rPr>
          <w:rFonts w:ascii="Inter" w:hAnsi="Inter"/>
          <w:b/>
          <w:bCs/>
          <w:lang w:val="en-US"/>
        </w:rPr>
        <w:t>Erste</w:t>
      </w:r>
      <w:proofErr w:type="spellEnd"/>
      <w:r w:rsidRPr="00D95C9A">
        <w:rPr>
          <w:rFonts w:ascii="Inter" w:hAnsi="Inter"/>
          <w:b/>
          <w:bCs/>
          <w:lang w:val="en-US"/>
        </w:rPr>
        <w:t xml:space="preserve"> Group Bank AG </w:t>
      </w:r>
      <w:r w:rsidR="00687982" w:rsidRPr="00687982">
        <w:rPr>
          <w:rFonts w:ascii="Inter" w:hAnsi="Inter"/>
          <w:b/>
          <w:lang w:val="en-US"/>
        </w:rPr>
        <w:t xml:space="preserve">achieved </w:t>
      </w:r>
      <w:r>
        <w:rPr>
          <w:rFonts w:ascii="Inter" w:hAnsi="Inter"/>
          <w:b/>
          <w:lang w:val="en-US"/>
        </w:rPr>
        <w:t xml:space="preserve">a </w:t>
      </w:r>
      <w:r w:rsidR="00687982" w:rsidRPr="00687982">
        <w:rPr>
          <w:rFonts w:ascii="Inter" w:hAnsi="Inter"/>
          <w:b/>
          <w:lang w:val="en-US"/>
        </w:rPr>
        <w:t>good operati</w:t>
      </w:r>
      <w:r>
        <w:rPr>
          <w:rFonts w:ascii="Inter" w:hAnsi="Inter"/>
          <w:b/>
          <w:lang w:val="en-US"/>
        </w:rPr>
        <w:t xml:space="preserve">ng </w:t>
      </w:r>
      <w:r w:rsidR="00687982" w:rsidRPr="00687982">
        <w:rPr>
          <w:rFonts w:ascii="Inter" w:hAnsi="Inter"/>
          <w:b/>
          <w:lang w:val="en-US"/>
        </w:rPr>
        <w:t xml:space="preserve">performance in its core business in the first quarter of 2025. </w:t>
      </w:r>
      <w:r>
        <w:rPr>
          <w:rFonts w:ascii="Inter" w:hAnsi="Inter"/>
          <w:b/>
          <w:lang w:val="en-US"/>
        </w:rPr>
        <w:t>Net i</w:t>
      </w:r>
      <w:r w:rsidR="00687982" w:rsidRPr="00687982">
        <w:rPr>
          <w:rFonts w:ascii="Inter" w:hAnsi="Inter"/>
          <w:b/>
          <w:lang w:val="en-US"/>
        </w:rPr>
        <w:t xml:space="preserve">nterest income increased slightly year-on-year by </w:t>
      </w:r>
      <w:r>
        <w:rPr>
          <w:rFonts w:ascii="Inter" w:hAnsi="Inter"/>
          <w:b/>
          <w:lang w:val="en-US"/>
        </w:rPr>
        <w:t>1.1</w:t>
      </w:r>
      <w:r w:rsidR="00687982" w:rsidRPr="00687982">
        <w:rPr>
          <w:rFonts w:ascii="Inter" w:hAnsi="Inter"/>
          <w:b/>
          <w:lang w:val="en-US"/>
        </w:rPr>
        <w:t xml:space="preserve">% to </w:t>
      </w:r>
      <w:r>
        <w:rPr>
          <w:rFonts w:ascii="Inter" w:hAnsi="Inter"/>
          <w:b/>
          <w:lang w:val="en-US"/>
        </w:rPr>
        <w:t>1.87</w:t>
      </w:r>
      <w:r w:rsidR="00687982" w:rsidRPr="00687982">
        <w:rPr>
          <w:rFonts w:ascii="Inter" w:hAnsi="Inter"/>
          <w:b/>
          <w:lang w:val="en-US"/>
        </w:rPr>
        <w:t xml:space="preserve"> billion euros (Q1 2024: </w:t>
      </w:r>
      <w:r>
        <w:rPr>
          <w:rFonts w:ascii="Inter" w:hAnsi="Inter"/>
          <w:b/>
          <w:lang w:val="en-US"/>
        </w:rPr>
        <w:t>1.85</w:t>
      </w:r>
      <w:r w:rsidR="00687982" w:rsidRPr="00687982">
        <w:rPr>
          <w:rFonts w:ascii="Inter" w:hAnsi="Inter"/>
          <w:b/>
          <w:lang w:val="en-US"/>
        </w:rPr>
        <w:t xml:space="preserve"> billion euros), while </w:t>
      </w:r>
      <w:r>
        <w:rPr>
          <w:rFonts w:ascii="Inter" w:hAnsi="Inter"/>
          <w:b/>
          <w:lang w:val="en-US"/>
        </w:rPr>
        <w:t xml:space="preserve">net fee and </w:t>
      </w:r>
      <w:r w:rsidR="00687982" w:rsidRPr="00687982">
        <w:rPr>
          <w:rFonts w:ascii="Inter" w:hAnsi="Inter"/>
          <w:b/>
          <w:lang w:val="en-US"/>
        </w:rPr>
        <w:t xml:space="preserve">commission income </w:t>
      </w:r>
      <w:r w:rsidR="00E77A46">
        <w:rPr>
          <w:rFonts w:ascii="Inter" w:hAnsi="Inter"/>
          <w:b/>
          <w:lang w:val="en-US"/>
        </w:rPr>
        <w:t>surged</w:t>
      </w:r>
      <w:r w:rsidR="00E77A46" w:rsidRPr="00687982">
        <w:rPr>
          <w:rFonts w:ascii="Inter" w:hAnsi="Inter"/>
          <w:b/>
          <w:lang w:val="en-US"/>
        </w:rPr>
        <w:t xml:space="preserve"> </w:t>
      </w:r>
      <w:r w:rsidR="00687982" w:rsidRPr="00687982">
        <w:rPr>
          <w:rFonts w:ascii="Inter" w:hAnsi="Inter"/>
          <w:b/>
          <w:lang w:val="en-US"/>
        </w:rPr>
        <w:t xml:space="preserve">by </w:t>
      </w:r>
      <w:r>
        <w:rPr>
          <w:rFonts w:ascii="Inter" w:hAnsi="Inter"/>
          <w:b/>
          <w:lang w:val="en-US"/>
        </w:rPr>
        <w:t>9.5</w:t>
      </w:r>
      <w:r w:rsidR="00687982" w:rsidRPr="00687982">
        <w:rPr>
          <w:rFonts w:ascii="Inter" w:hAnsi="Inter"/>
          <w:b/>
          <w:lang w:val="en-US"/>
        </w:rPr>
        <w:t xml:space="preserve">% to </w:t>
      </w:r>
      <w:r>
        <w:rPr>
          <w:rFonts w:ascii="Inter" w:hAnsi="Inter"/>
          <w:b/>
          <w:lang w:val="en-US"/>
        </w:rPr>
        <w:t>780</w:t>
      </w:r>
      <w:r w:rsidR="00687982" w:rsidRPr="00687982">
        <w:rPr>
          <w:rFonts w:ascii="Inter" w:hAnsi="Inter"/>
          <w:b/>
          <w:lang w:val="en-US"/>
        </w:rPr>
        <w:t xml:space="preserve"> million euros (Q1 2024: </w:t>
      </w:r>
      <w:r w:rsidR="00820694">
        <w:rPr>
          <w:rFonts w:ascii="Inter" w:hAnsi="Inter"/>
          <w:b/>
          <w:lang w:val="en-US"/>
        </w:rPr>
        <w:t>712</w:t>
      </w:r>
      <w:r w:rsidR="00687982" w:rsidRPr="00687982">
        <w:rPr>
          <w:rFonts w:ascii="Inter" w:hAnsi="Inter"/>
          <w:b/>
          <w:lang w:val="en-US"/>
        </w:rPr>
        <w:t xml:space="preserve"> million euros). The growth in </w:t>
      </w:r>
      <w:r w:rsidR="00820694">
        <w:rPr>
          <w:rFonts w:ascii="Inter" w:hAnsi="Inter"/>
          <w:b/>
          <w:lang w:val="en-US"/>
        </w:rPr>
        <w:t xml:space="preserve">fee </w:t>
      </w:r>
      <w:r w:rsidR="00687982" w:rsidRPr="00687982">
        <w:rPr>
          <w:rFonts w:ascii="Inter" w:hAnsi="Inter"/>
          <w:b/>
          <w:lang w:val="en-US"/>
        </w:rPr>
        <w:t>income was particularly driven by stronger demand for capital market products and</w:t>
      </w:r>
      <w:r w:rsidR="000B694D">
        <w:rPr>
          <w:rFonts w:ascii="Inter" w:hAnsi="Inter"/>
          <w:b/>
          <w:lang w:val="en-US"/>
        </w:rPr>
        <w:t xml:space="preserve"> by</w:t>
      </w:r>
      <w:r w:rsidR="00687982" w:rsidRPr="00687982">
        <w:rPr>
          <w:rFonts w:ascii="Inter" w:hAnsi="Inter"/>
          <w:b/>
          <w:lang w:val="en-US"/>
        </w:rPr>
        <w:t xml:space="preserve"> payment transactions. Operating income </w:t>
      </w:r>
      <w:r w:rsidR="00F664E7">
        <w:rPr>
          <w:rFonts w:ascii="Inter" w:hAnsi="Inter"/>
          <w:b/>
          <w:lang w:val="en-US"/>
        </w:rPr>
        <w:t>grew</w:t>
      </w:r>
      <w:r w:rsidR="00F664E7" w:rsidRPr="00687982">
        <w:rPr>
          <w:rFonts w:ascii="Inter" w:hAnsi="Inter"/>
          <w:b/>
          <w:lang w:val="en-US"/>
        </w:rPr>
        <w:t xml:space="preserve"> </w:t>
      </w:r>
      <w:r w:rsidR="00687982" w:rsidRPr="00687982">
        <w:rPr>
          <w:rFonts w:ascii="Inter" w:hAnsi="Inter"/>
          <w:b/>
          <w:lang w:val="en-US"/>
        </w:rPr>
        <w:t xml:space="preserve">year-on-year by </w:t>
      </w:r>
      <w:r w:rsidR="00AB12A4">
        <w:rPr>
          <w:rFonts w:ascii="Inter" w:hAnsi="Inter"/>
          <w:b/>
          <w:lang w:val="en-US"/>
        </w:rPr>
        <w:t>0.5</w:t>
      </w:r>
      <w:r w:rsidR="00687982" w:rsidRPr="00687982">
        <w:rPr>
          <w:rFonts w:ascii="Inter" w:hAnsi="Inter"/>
          <w:b/>
          <w:lang w:val="en-US"/>
        </w:rPr>
        <w:t xml:space="preserve">% to </w:t>
      </w:r>
      <w:r w:rsidR="00AB12A4">
        <w:rPr>
          <w:rFonts w:ascii="Inter" w:hAnsi="Inter"/>
          <w:b/>
          <w:lang w:val="en-US"/>
        </w:rPr>
        <w:t>2.80</w:t>
      </w:r>
      <w:r w:rsidR="00687982" w:rsidRPr="00687982">
        <w:rPr>
          <w:rFonts w:ascii="Inter" w:hAnsi="Inter"/>
          <w:b/>
          <w:lang w:val="en-US"/>
        </w:rPr>
        <w:t xml:space="preserve"> billion euros (Q1 2024: </w:t>
      </w:r>
      <w:r w:rsidR="00AB12A4">
        <w:rPr>
          <w:rFonts w:ascii="Inter" w:hAnsi="Inter"/>
          <w:b/>
          <w:lang w:val="en-US"/>
        </w:rPr>
        <w:t>2.79</w:t>
      </w:r>
      <w:r w:rsidR="00687982" w:rsidRPr="00687982">
        <w:rPr>
          <w:rFonts w:ascii="Inter" w:hAnsi="Inter"/>
          <w:b/>
          <w:lang w:val="en-US"/>
        </w:rPr>
        <w:t xml:space="preserve"> billion euros), although the previous year's quarter </w:t>
      </w:r>
      <w:r w:rsidR="001072B6">
        <w:rPr>
          <w:rFonts w:ascii="Inter" w:hAnsi="Inter"/>
          <w:b/>
          <w:lang w:val="en-US"/>
        </w:rPr>
        <w:t xml:space="preserve">had </w:t>
      </w:r>
      <w:r w:rsidR="00687982" w:rsidRPr="00687982">
        <w:rPr>
          <w:rFonts w:ascii="Inter" w:hAnsi="Inter"/>
          <w:b/>
          <w:lang w:val="en-US"/>
        </w:rPr>
        <w:t xml:space="preserve">benefited from one-off effects. </w:t>
      </w:r>
      <w:r w:rsidR="00A871C5">
        <w:rPr>
          <w:rFonts w:ascii="Inter" w:hAnsi="Inter"/>
          <w:b/>
          <w:lang w:val="en-US"/>
        </w:rPr>
        <w:t>The o</w:t>
      </w:r>
      <w:r w:rsidR="00687982" w:rsidRPr="00687982">
        <w:rPr>
          <w:rFonts w:ascii="Inter" w:hAnsi="Inter"/>
          <w:b/>
          <w:lang w:val="en-US"/>
        </w:rPr>
        <w:t>perating result</w:t>
      </w:r>
      <w:r w:rsidR="00687982" w:rsidRPr="00687982" w:rsidDel="005611EC">
        <w:rPr>
          <w:rFonts w:ascii="Inter" w:hAnsi="Inter"/>
          <w:b/>
          <w:lang w:val="en-US"/>
        </w:rPr>
        <w:t xml:space="preserve"> </w:t>
      </w:r>
      <w:r w:rsidR="00687982" w:rsidRPr="00687982">
        <w:rPr>
          <w:rFonts w:ascii="Inter" w:hAnsi="Inter"/>
          <w:b/>
          <w:lang w:val="en-US"/>
        </w:rPr>
        <w:t xml:space="preserve">decreased in the first quarter of 2025 by </w:t>
      </w:r>
      <w:r w:rsidR="001072B6">
        <w:rPr>
          <w:rFonts w:ascii="Inter" w:hAnsi="Inter"/>
          <w:b/>
          <w:lang w:val="en-US"/>
        </w:rPr>
        <w:t>3.2</w:t>
      </w:r>
      <w:r w:rsidR="00687982" w:rsidRPr="00687982">
        <w:rPr>
          <w:rFonts w:ascii="Inter" w:hAnsi="Inter"/>
          <w:b/>
          <w:lang w:val="en-US"/>
        </w:rPr>
        <w:t xml:space="preserve">% to </w:t>
      </w:r>
      <w:r w:rsidR="001072B6">
        <w:rPr>
          <w:rFonts w:ascii="Inter" w:hAnsi="Inter"/>
          <w:b/>
          <w:lang w:val="en-US"/>
        </w:rPr>
        <w:t>1.46</w:t>
      </w:r>
      <w:r w:rsidR="00687982" w:rsidRPr="00687982">
        <w:rPr>
          <w:rFonts w:ascii="Inter" w:hAnsi="Inter"/>
          <w:b/>
          <w:lang w:val="en-US"/>
        </w:rPr>
        <w:t xml:space="preserve"> billion euros (Q1 2024: </w:t>
      </w:r>
      <w:r w:rsidR="009170AC">
        <w:rPr>
          <w:rFonts w:ascii="Inter" w:hAnsi="Inter"/>
          <w:b/>
          <w:lang w:val="en-US"/>
        </w:rPr>
        <w:t>1.51</w:t>
      </w:r>
      <w:r w:rsidR="00687982" w:rsidRPr="00687982">
        <w:rPr>
          <w:rFonts w:ascii="Inter" w:hAnsi="Inter"/>
          <w:b/>
          <w:lang w:val="en-US"/>
        </w:rPr>
        <w:t xml:space="preserve"> billion euros). The decline is primarily due to a</w:t>
      </w:r>
      <w:r w:rsidR="00687982" w:rsidRPr="00687982" w:rsidDel="00F664E7">
        <w:rPr>
          <w:rFonts w:ascii="Inter" w:hAnsi="Inter"/>
          <w:b/>
          <w:lang w:val="en-US"/>
        </w:rPr>
        <w:t xml:space="preserve"> </w:t>
      </w:r>
      <w:r w:rsidR="00F664E7">
        <w:rPr>
          <w:rFonts w:ascii="Inter" w:hAnsi="Inter"/>
          <w:b/>
          <w:lang w:val="en-US"/>
        </w:rPr>
        <w:t>rise</w:t>
      </w:r>
      <w:r w:rsidR="00F664E7" w:rsidRPr="00687982">
        <w:rPr>
          <w:rFonts w:ascii="Inter" w:hAnsi="Inter"/>
          <w:b/>
          <w:lang w:val="en-US"/>
        </w:rPr>
        <w:t xml:space="preserve"> </w:t>
      </w:r>
      <w:r w:rsidR="00687982" w:rsidRPr="00687982">
        <w:rPr>
          <w:rFonts w:ascii="Inter" w:hAnsi="Inter"/>
          <w:b/>
          <w:lang w:val="en-US"/>
        </w:rPr>
        <w:t xml:space="preserve">in personnel expenses </w:t>
      </w:r>
      <w:proofErr w:type="gramStart"/>
      <w:r w:rsidR="001668A6">
        <w:rPr>
          <w:rFonts w:ascii="Inter" w:hAnsi="Inter"/>
          <w:b/>
          <w:lang w:val="en-US"/>
        </w:rPr>
        <w:t>as a result of</w:t>
      </w:r>
      <w:proofErr w:type="gramEnd"/>
      <w:r w:rsidR="001668A6">
        <w:rPr>
          <w:rFonts w:ascii="Inter" w:hAnsi="Inter"/>
          <w:b/>
          <w:lang w:val="en-US"/>
        </w:rPr>
        <w:t xml:space="preserve"> collective </w:t>
      </w:r>
      <w:r w:rsidR="00592FE0">
        <w:rPr>
          <w:rFonts w:ascii="Inter" w:hAnsi="Inter"/>
          <w:b/>
          <w:lang w:val="en-US"/>
        </w:rPr>
        <w:t xml:space="preserve">agreement </w:t>
      </w:r>
      <w:r w:rsidR="001668A6">
        <w:rPr>
          <w:rFonts w:ascii="Inter" w:hAnsi="Inter"/>
          <w:b/>
          <w:lang w:val="en-US"/>
        </w:rPr>
        <w:t>increases</w:t>
      </w:r>
      <w:r w:rsidR="008674C9">
        <w:rPr>
          <w:rFonts w:ascii="Inter" w:hAnsi="Inter"/>
          <w:b/>
          <w:lang w:val="en-US"/>
        </w:rPr>
        <w:t>, as well as IT costs</w:t>
      </w:r>
      <w:r w:rsidR="00687982" w:rsidRPr="00687982">
        <w:rPr>
          <w:rFonts w:ascii="Inter" w:hAnsi="Inter"/>
          <w:b/>
          <w:lang w:val="en-US"/>
        </w:rPr>
        <w:t xml:space="preserve">. Risk costs decreased both year-on-year and quarter-on-quarter and amounted to </w:t>
      </w:r>
      <w:r w:rsidR="00C83853">
        <w:rPr>
          <w:rFonts w:ascii="Inter" w:hAnsi="Inter"/>
          <w:b/>
          <w:lang w:val="en-US"/>
        </w:rPr>
        <w:t>85</w:t>
      </w:r>
      <w:r w:rsidR="00687982" w:rsidRPr="00687982">
        <w:rPr>
          <w:rFonts w:ascii="Inter" w:hAnsi="Inter"/>
          <w:b/>
          <w:lang w:val="en-US"/>
        </w:rPr>
        <w:t xml:space="preserve"> million euros in the first quarter (Q1 2024: </w:t>
      </w:r>
      <w:r w:rsidR="00C83853">
        <w:rPr>
          <w:rFonts w:ascii="Inter" w:hAnsi="Inter"/>
          <w:b/>
          <w:lang w:val="en-US"/>
        </w:rPr>
        <w:t>95</w:t>
      </w:r>
      <w:r w:rsidR="00687982" w:rsidRPr="00687982">
        <w:rPr>
          <w:rFonts w:ascii="Inter" w:hAnsi="Inter"/>
          <w:b/>
          <w:lang w:val="en-US"/>
        </w:rPr>
        <w:t xml:space="preserve"> million euros). This was mainly due to the </w:t>
      </w:r>
      <w:r w:rsidR="009955F5">
        <w:rPr>
          <w:rFonts w:ascii="Inter" w:hAnsi="Inter"/>
          <w:b/>
          <w:lang w:val="en-US"/>
        </w:rPr>
        <w:t xml:space="preserve">better performance of the </w:t>
      </w:r>
      <w:r w:rsidR="00687982" w:rsidRPr="00687982">
        <w:rPr>
          <w:rFonts w:ascii="Inter" w:hAnsi="Inter"/>
          <w:b/>
          <w:lang w:val="en-US"/>
        </w:rPr>
        <w:t xml:space="preserve">Austrian business, </w:t>
      </w:r>
      <w:r w:rsidR="009955F5">
        <w:rPr>
          <w:rFonts w:ascii="Inter" w:hAnsi="Inter"/>
          <w:b/>
          <w:lang w:val="en-US"/>
        </w:rPr>
        <w:t>with fewer defaults recorded in the first quarter of 2025</w:t>
      </w:r>
      <w:r w:rsidR="00687982" w:rsidRPr="00687982">
        <w:rPr>
          <w:rFonts w:ascii="Inter" w:hAnsi="Inter"/>
          <w:b/>
          <w:lang w:val="en-US"/>
        </w:rPr>
        <w:t>. Bank</w:t>
      </w:r>
      <w:r w:rsidR="00C83853">
        <w:rPr>
          <w:rFonts w:ascii="Inter" w:hAnsi="Inter"/>
          <w:b/>
          <w:lang w:val="en-US"/>
        </w:rPr>
        <w:t>ing</w:t>
      </w:r>
      <w:r w:rsidR="00687982" w:rsidRPr="00687982">
        <w:rPr>
          <w:rFonts w:ascii="Inter" w:hAnsi="Inter"/>
          <w:b/>
          <w:lang w:val="en-US"/>
        </w:rPr>
        <w:t xml:space="preserve"> </w:t>
      </w:r>
      <w:r w:rsidR="00366377">
        <w:rPr>
          <w:rFonts w:ascii="Inter" w:hAnsi="Inter"/>
          <w:b/>
          <w:lang w:val="en-US"/>
        </w:rPr>
        <w:t>taxes</w:t>
      </w:r>
      <w:r w:rsidR="00366377" w:rsidRPr="00687982">
        <w:rPr>
          <w:rFonts w:ascii="Inter" w:hAnsi="Inter"/>
          <w:b/>
          <w:lang w:val="en-US"/>
        </w:rPr>
        <w:t xml:space="preserve"> </w:t>
      </w:r>
      <w:r w:rsidR="00687982" w:rsidRPr="00687982">
        <w:rPr>
          <w:rFonts w:ascii="Inter" w:hAnsi="Inter"/>
          <w:b/>
          <w:lang w:val="en-US"/>
        </w:rPr>
        <w:t xml:space="preserve">increased year-on-year by </w:t>
      </w:r>
      <w:r w:rsidR="00C83853">
        <w:rPr>
          <w:rFonts w:ascii="Inter" w:hAnsi="Inter"/>
          <w:b/>
          <w:lang w:val="en-US"/>
        </w:rPr>
        <w:t>41</w:t>
      </w:r>
      <w:r w:rsidR="00687982" w:rsidRPr="00687982">
        <w:rPr>
          <w:rFonts w:ascii="Inter" w:hAnsi="Inter"/>
          <w:b/>
          <w:lang w:val="en-US"/>
        </w:rPr>
        <w:t xml:space="preserve">% to </w:t>
      </w:r>
      <w:r w:rsidR="00C83853">
        <w:rPr>
          <w:rFonts w:ascii="Inter" w:hAnsi="Inter"/>
          <w:b/>
          <w:lang w:val="en-US"/>
        </w:rPr>
        <w:t>121</w:t>
      </w:r>
      <w:r w:rsidR="00687982" w:rsidRPr="00687982">
        <w:rPr>
          <w:rFonts w:ascii="Inter" w:hAnsi="Inter"/>
          <w:b/>
          <w:lang w:val="en-US"/>
        </w:rPr>
        <w:t xml:space="preserve"> million euros (Q1 2024: </w:t>
      </w:r>
      <w:r w:rsidR="00C83853">
        <w:rPr>
          <w:rFonts w:ascii="Inter" w:hAnsi="Inter"/>
          <w:b/>
          <w:lang w:val="en-US"/>
        </w:rPr>
        <w:t>86</w:t>
      </w:r>
      <w:r w:rsidR="00687982" w:rsidRPr="00687982">
        <w:rPr>
          <w:rFonts w:ascii="Inter" w:hAnsi="Inter"/>
          <w:b/>
          <w:lang w:val="en-US"/>
        </w:rPr>
        <w:t xml:space="preserve"> million euros). </w:t>
      </w:r>
      <w:r w:rsidR="00AB0A61">
        <w:rPr>
          <w:rFonts w:ascii="Inter" w:hAnsi="Inter"/>
          <w:b/>
          <w:lang w:val="en-US"/>
        </w:rPr>
        <w:t>The</w:t>
      </w:r>
      <w:r w:rsidR="009826C8">
        <w:rPr>
          <w:rFonts w:ascii="Inter" w:hAnsi="Inter"/>
          <w:b/>
          <w:lang w:val="en-US"/>
        </w:rPr>
        <w:t>refore</w:t>
      </w:r>
      <w:r w:rsidR="00947639">
        <w:rPr>
          <w:rFonts w:ascii="Inter" w:hAnsi="Inter"/>
          <w:b/>
          <w:lang w:val="en-US"/>
        </w:rPr>
        <w:t>, the</w:t>
      </w:r>
      <w:r w:rsidR="00687982" w:rsidRPr="00687982" w:rsidDel="00947639">
        <w:rPr>
          <w:rFonts w:ascii="Inter" w:hAnsi="Inter"/>
          <w:b/>
          <w:lang w:val="en-US"/>
        </w:rPr>
        <w:t xml:space="preserve"> </w:t>
      </w:r>
      <w:r w:rsidR="00687982" w:rsidRPr="00687982">
        <w:rPr>
          <w:rFonts w:ascii="Inter" w:hAnsi="Inter"/>
          <w:b/>
          <w:lang w:val="en-US"/>
        </w:rPr>
        <w:t xml:space="preserve">net result </w:t>
      </w:r>
      <w:r w:rsidR="00947639">
        <w:rPr>
          <w:rFonts w:ascii="Inter" w:hAnsi="Inter"/>
          <w:b/>
          <w:lang w:val="en-US"/>
        </w:rPr>
        <w:t xml:space="preserve">decreased to </w:t>
      </w:r>
      <w:r w:rsidR="00470F63">
        <w:rPr>
          <w:rFonts w:ascii="Inter" w:hAnsi="Inter"/>
          <w:b/>
          <w:lang w:val="en-US"/>
        </w:rPr>
        <w:t>743</w:t>
      </w:r>
      <w:r w:rsidR="00687982" w:rsidRPr="00687982">
        <w:rPr>
          <w:rFonts w:ascii="Inter" w:hAnsi="Inter"/>
          <w:b/>
          <w:lang w:val="en-US"/>
        </w:rPr>
        <w:t xml:space="preserve"> million euros, which was </w:t>
      </w:r>
      <w:r w:rsidR="00470F63">
        <w:rPr>
          <w:rFonts w:ascii="Inter" w:hAnsi="Inter"/>
          <w:b/>
          <w:lang w:val="en-US"/>
        </w:rPr>
        <w:t>5.1</w:t>
      </w:r>
      <w:r w:rsidR="00687982" w:rsidRPr="00687982">
        <w:rPr>
          <w:rFonts w:ascii="Inter" w:hAnsi="Inter"/>
          <w:b/>
          <w:lang w:val="en-US"/>
        </w:rPr>
        <w:t xml:space="preserve">% </w:t>
      </w:r>
      <w:r w:rsidR="000D1AFA">
        <w:rPr>
          <w:rFonts w:ascii="Inter" w:hAnsi="Inter"/>
          <w:b/>
          <w:lang w:val="en-US"/>
        </w:rPr>
        <w:t>lower year-on-year</w:t>
      </w:r>
      <w:r w:rsidR="00687982" w:rsidRPr="00687982">
        <w:rPr>
          <w:rFonts w:ascii="Inter" w:hAnsi="Inter"/>
          <w:b/>
          <w:lang w:val="en-US"/>
        </w:rPr>
        <w:t xml:space="preserve"> (Q1 2024: </w:t>
      </w:r>
      <w:r w:rsidR="000D1AFA">
        <w:rPr>
          <w:rFonts w:ascii="Inter" w:hAnsi="Inter"/>
          <w:b/>
          <w:lang w:val="en-US"/>
        </w:rPr>
        <w:t>783</w:t>
      </w:r>
      <w:r w:rsidR="00687982" w:rsidRPr="00687982">
        <w:rPr>
          <w:rFonts w:ascii="Inter" w:hAnsi="Inter"/>
          <w:b/>
          <w:lang w:val="en-US"/>
        </w:rPr>
        <w:t xml:space="preserve"> million euros). </w:t>
      </w:r>
      <w:r w:rsidR="00196F27">
        <w:rPr>
          <w:rFonts w:ascii="Inter" w:hAnsi="Inter"/>
          <w:b/>
          <w:lang w:val="en-US"/>
        </w:rPr>
        <w:t>L</w:t>
      </w:r>
      <w:r w:rsidR="000D1AFA">
        <w:rPr>
          <w:rFonts w:ascii="Inter" w:hAnsi="Inter"/>
          <w:b/>
          <w:lang w:val="en-US"/>
        </w:rPr>
        <w:t>oan</w:t>
      </w:r>
      <w:r w:rsidR="00687982" w:rsidRPr="00687982">
        <w:rPr>
          <w:rFonts w:ascii="Inter" w:hAnsi="Inter"/>
          <w:b/>
          <w:lang w:val="en-US"/>
        </w:rPr>
        <w:t xml:space="preserve"> volume</w:t>
      </w:r>
      <w:r w:rsidR="00196F27">
        <w:rPr>
          <w:rFonts w:ascii="Inter" w:hAnsi="Inter"/>
          <w:b/>
          <w:lang w:val="en-US"/>
        </w:rPr>
        <w:t>s</w:t>
      </w:r>
      <w:r w:rsidR="00687982" w:rsidRPr="00687982">
        <w:rPr>
          <w:rFonts w:ascii="Inter" w:hAnsi="Inter"/>
          <w:b/>
          <w:lang w:val="en-US"/>
        </w:rPr>
        <w:t xml:space="preserve"> </w:t>
      </w:r>
      <w:r w:rsidR="0060593E">
        <w:rPr>
          <w:rFonts w:ascii="Inter" w:hAnsi="Inter"/>
          <w:b/>
          <w:lang w:val="en-US"/>
        </w:rPr>
        <w:t xml:space="preserve">at </w:t>
      </w:r>
      <w:r w:rsidR="0060593E" w:rsidRPr="00687982">
        <w:rPr>
          <w:rFonts w:ascii="Inter" w:hAnsi="Inter"/>
          <w:b/>
          <w:lang w:val="en-US"/>
        </w:rPr>
        <w:t>the end of the first quarter of 2025</w:t>
      </w:r>
      <w:r w:rsidR="0060593E">
        <w:rPr>
          <w:rFonts w:ascii="Inter" w:hAnsi="Inter"/>
          <w:b/>
          <w:lang w:val="en-US"/>
        </w:rPr>
        <w:t xml:space="preserve"> stood at</w:t>
      </w:r>
      <w:r w:rsidR="00687982" w:rsidRPr="00687982">
        <w:rPr>
          <w:rFonts w:ascii="Inter" w:hAnsi="Inter"/>
          <w:b/>
          <w:lang w:val="en-US"/>
        </w:rPr>
        <w:t xml:space="preserve"> </w:t>
      </w:r>
      <w:r w:rsidR="0060593E">
        <w:rPr>
          <w:rFonts w:ascii="Inter" w:hAnsi="Inter"/>
          <w:b/>
          <w:lang w:val="en-US"/>
        </w:rPr>
        <w:t>220.1</w:t>
      </w:r>
      <w:r w:rsidR="00687982" w:rsidRPr="00687982">
        <w:rPr>
          <w:rFonts w:ascii="Inter" w:hAnsi="Inter"/>
          <w:b/>
          <w:lang w:val="en-US"/>
        </w:rPr>
        <w:t xml:space="preserve"> billion euros, an increase of </w:t>
      </w:r>
      <w:r w:rsidR="0060593E">
        <w:rPr>
          <w:rFonts w:ascii="Inter" w:hAnsi="Inter"/>
          <w:b/>
          <w:lang w:val="en-US"/>
        </w:rPr>
        <w:t>0.9</w:t>
      </w:r>
      <w:r w:rsidR="00687982" w:rsidRPr="00687982">
        <w:rPr>
          <w:rFonts w:ascii="Inter" w:hAnsi="Inter"/>
          <w:b/>
          <w:lang w:val="en-US"/>
        </w:rPr>
        <w:t xml:space="preserve">% </w:t>
      </w:r>
      <w:r w:rsidR="0060593E">
        <w:rPr>
          <w:rFonts w:ascii="Inter" w:hAnsi="Inter"/>
          <w:b/>
          <w:lang w:val="en-US"/>
        </w:rPr>
        <w:t>since the start of the year</w:t>
      </w:r>
      <w:r w:rsidR="00687982" w:rsidRPr="00687982">
        <w:rPr>
          <w:rFonts w:ascii="Inter" w:hAnsi="Inter"/>
          <w:b/>
          <w:lang w:val="en-US"/>
        </w:rPr>
        <w:t xml:space="preserve">, mainly due to </w:t>
      </w:r>
      <w:r w:rsidR="0060593E">
        <w:rPr>
          <w:rFonts w:ascii="Inter" w:hAnsi="Inter"/>
          <w:b/>
          <w:lang w:val="en-US"/>
        </w:rPr>
        <w:t>loan</w:t>
      </w:r>
      <w:r w:rsidR="00687982" w:rsidRPr="00687982">
        <w:rPr>
          <w:rFonts w:ascii="Inter" w:hAnsi="Inter"/>
          <w:b/>
          <w:lang w:val="en-US"/>
        </w:rPr>
        <w:t xml:space="preserve"> growth in the Czech Republic</w:t>
      </w:r>
      <w:r w:rsidR="000C16B6">
        <w:rPr>
          <w:rFonts w:ascii="Inter" w:hAnsi="Inter"/>
          <w:b/>
          <w:lang w:val="en-US"/>
        </w:rPr>
        <w:t xml:space="preserve"> and Croatia</w:t>
      </w:r>
      <w:r w:rsidR="00687982" w:rsidRPr="00687982">
        <w:rPr>
          <w:rFonts w:ascii="Inter" w:hAnsi="Inter"/>
          <w:b/>
          <w:lang w:val="en-US"/>
        </w:rPr>
        <w:t xml:space="preserve">. </w:t>
      </w:r>
      <w:r w:rsidR="00196F27">
        <w:rPr>
          <w:rFonts w:ascii="Inter" w:hAnsi="Inter"/>
          <w:b/>
          <w:lang w:val="en-US"/>
        </w:rPr>
        <w:t>Y</w:t>
      </w:r>
      <w:r w:rsidR="00A32B4D">
        <w:rPr>
          <w:rFonts w:ascii="Inter" w:hAnsi="Inter"/>
          <w:b/>
          <w:lang w:val="en-US"/>
        </w:rPr>
        <w:t>ear-on-year</w:t>
      </w:r>
      <w:r w:rsidR="00A32B4D" w:rsidDel="00B74C56">
        <w:rPr>
          <w:rFonts w:ascii="Inter" w:hAnsi="Inter"/>
          <w:b/>
          <w:lang w:val="en-US"/>
        </w:rPr>
        <w:t>,</w:t>
      </w:r>
      <w:r w:rsidR="00A32B4D">
        <w:rPr>
          <w:rFonts w:ascii="Inter" w:hAnsi="Inter"/>
          <w:b/>
          <w:lang w:val="en-US"/>
        </w:rPr>
        <w:t xml:space="preserve"> </w:t>
      </w:r>
      <w:r w:rsidR="00B74C56">
        <w:rPr>
          <w:rFonts w:ascii="Inter" w:hAnsi="Inter"/>
          <w:b/>
          <w:lang w:val="en-US"/>
        </w:rPr>
        <w:t xml:space="preserve">the </w:t>
      </w:r>
      <w:r w:rsidR="0060593E">
        <w:rPr>
          <w:rFonts w:ascii="Inter" w:hAnsi="Inter"/>
          <w:b/>
          <w:lang w:val="en-US"/>
        </w:rPr>
        <w:t>loan</w:t>
      </w:r>
      <w:r w:rsidR="00687982" w:rsidRPr="00687982">
        <w:rPr>
          <w:rFonts w:ascii="Inter" w:hAnsi="Inter"/>
          <w:b/>
          <w:lang w:val="en-US"/>
        </w:rPr>
        <w:t xml:space="preserve"> </w:t>
      </w:r>
      <w:r w:rsidR="00B74C56">
        <w:rPr>
          <w:rFonts w:ascii="Inter" w:hAnsi="Inter"/>
          <w:b/>
          <w:lang w:val="en-US"/>
        </w:rPr>
        <w:t xml:space="preserve">volume grew by </w:t>
      </w:r>
      <w:r w:rsidR="00A32B4D">
        <w:rPr>
          <w:rFonts w:ascii="Inter" w:hAnsi="Inter"/>
          <w:b/>
          <w:lang w:val="en-US"/>
        </w:rPr>
        <w:t>was 5.8%</w:t>
      </w:r>
      <w:r w:rsidR="00315858">
        <w:rPr>
          <w:rFonts w:ascii="Inter" w:hAnsi="Inter"/>
          <w:b/>
          <w:lang w:val="en-US"/>
        </w:rPr>
        <w:t>,</w:t>
      </w:r>
      <w:r w:rsidR="00A32B4D">
        <w:rPr>
          <w:rFonts w:ascii="Inter" w:hAnsi="Inter"/>
          <w:b/>
          <w:lang w:val="en-US"/>
        </w:rPr>
        <w:t xml:space="preserve"> thus </w:t>
      </w:r>
      <w:r w:rsidR="00687982" w:rsidRPr="00687982">
        <w:rPr>
          <w:rFonts w:ascii="Inter" w:hAnsi="Inter"/>
          <w:b/>
          <w:lang w:val="en-US"/>
        </w:rPr>
        <w:t>exceed</w:t>
      </w:r>
      <w:r w:rsidR="00B74C56">
        <w:rPr>
          <w:rFonts w:ascii="Inter" w:hAnsi="Inter"/>
          <w:b/>
          <w:lang w:val="en-US"/>
        </w:rPr>
        <w:t>ing</w:t>
      </w:r>
      <w:r w:rsidR="00687982" w:rsidRPr="00687982">
        <w:rPr>
          <w:rFonts w:ascii="Inter" w:hAnsi="Inter"/>
          <w:b/>
          <w:lang w:val="en-US"/>
        </w:rPr>
        <w:t xml:space="preserve"> the five percent mark for the first time since the second quarter of 2023. </w:t>
      </w:r>
      <w:r w:rsidR="009E059C">
        <w:rPr>
          <w:rFonts w:ascii="Inter" w:hAnsi="Inter"/>
          <w:b/>
          <w:lang w:val="en-US"/>
        </w:rPr>
        <w:t>D</w:t>
      </w:r>
      <w:r w:rsidR="00687982" w:rsidRPr="00687982">
        <w:rPr>
          <w:rFonts w:ascii="Inter" w:hAnsi="Inter"/>
          <w:b/>
          <w:lang w:val="en-US"/>
        </w:rPr>
        <w:t>eposit volume</w:t>
      </w:r>
      <w:r w:rsidR="009E059C">
        <w:rPr>
          <w:rFonts w:ascii="Inter" w:hAnsi="Inter"/>
          <w:b/>
          <w:lang w:val="en-US"/>
        </w:rPr>
        <w:t>s</w:t>
      </w:r>
      <w:r w:rsidR="00687982" w:rsidRPr="00687982">
        <w:rPr>
          <w:rFonts w:ascii="Inter" w:hAnsi="Inter"/>
          <w:b/>
          <w:lang w:val="en-US"/>
        </w:rPr>
        <w:t xml:space="preserve"> also grew </w:t>
      </w:r>
      <w:r w:rsidR="000C7C0C">
        <w:rPr>
          <w:rFonts w:ascii="Inter" w:hAnsi="Inter"/>
          <w:b/>
          <w:lang w:val="en-US"/>
        </w:rPr>
        <w:t>by 1.9</w:t>
      </w:r>
      <w:r w:rsidR="000C7C0C" w:rsidRPr="00687982">
        <w:rPr>
          <w:rFonts w:ascii="Inter" w:hAnsi="Inter"/>
          <w:b/>
          <w:lang w:val="en-US"/>
        </w:rPr>
        <w:t xml:space="preserve">% </w:t>
      </w:r>
      <w:r w:rsidR="00687982" w:rsidRPr="00687982">
        <w:rPr>
          <w:rFonts w:ascii="Inter" w:hAnsi="Inter"/>
          <w:b/>
          <w:lang w:val="en-US"/>
        </w:rPr>
        <w:t xml:space="preserve">quarter-on-quarter to </w:t>
      </w:r>
      <w:r w:rsidR="000C7C0C">
        <w:rPr>
          <w:rFonts w:ascii="Inter" w:hAnsi="Inter"/>
          <w:b/>
          <w:lang w:val="en-US"/>
        </w:rPr>
        <w:t>246.</w:t>
      </w:r>
      <w:r w:rsidR="003A7138">
        <w:rPr>
          <w:rFonts w:ascii="Inter" w:hAnsi="Inter"/>
          <w:b/>
          <w:lang w:val="en-US"/>
        </w:rPr>
        <w:t>1</w:t>
      </w:r>
      <w:r w:rsidR="00687982" w:rsidRPr="00687982">
        <w:rPr>
          <w:rFonts w:ascii="Inter" w:hAnsi="Inter"/>
          <w:b/>
          <w:lang w:val="en-US"/>
        </w:rPr>
        <w:t xml:space="preserve"> billion euros</w:t>
      </w:r>
      <w:r w:rsidR="000C7C0C">
        <w:rPr>
          <w:rFonts w:ascii="Inter" w:hAnsi="Inter"/>
          <w:b/>
          <w:lang w:val="en-US"/>
        </w:rPr>
        <w:t xml:space="preserve">, </w:t>
      </w:r>
      <w:r w:rsidR="002A27C0">
        <w:rPr>
          <w:rFonts w:ascii="Inter" w:hAnsi="Inter"/>
          <w:b/>
          <w:lang w:val="en-US"/>
        </w:rPr>
        <w:t>which corresponds to a rise of</w:t>
      </w:r>
      <w:r w:rsidR="000C7C0C">
        <w:rPr>
          <w:rFonts w:ascii="Inter" w:hAnsi="Inter"/>
          <w:b/>
          <w:lang w:val="en-US"/>
        </w:rPr>
        <w:t xml:space="preserve"> 4.6% </w:t>
      </w:r>
      <w:r w:rsidR="00687982" w:rsidRPr="00687982">
        <w:rPr>
          <w:rFonts w:ascii="Inter" w:hAnsi="Inter"/>
          <w:b/>
          <w:lang w:val="en-US"/>
        </w:rPr>
        <w:t xml:space="preserve">year-on-year. The </w:t>
      </w:r>
      <w:r w:rsidR="0052487D">
        <w:rPr>
          <w:rFonts w:ascii="Inter" w:hAnsi="Inter"/>
          <w:b/>
          <w:lang w:val="en-US"/>
        </w:rPr>
        <w:t>common equity tier 1</w:t>
      </w:r>
      <w:r w:rsidR="00687982" w:rsidRPr="00687982">
        <w:rPr>
          <w:rFonts w:ascii="Inter" w:hAnsi="Inter"/>
          <w:b/>
          <w:lang w:val="en-US"/>
        </w:rPr>
        <w:t xml:space="preserve"> ratio (CET1, pro forma) </w:t>
      </w:r>
      <w:r w:rsidR="00D71BDB">
        <w:rPr>
          <w:rFonts w:ascii="Inter" w:hAnsi="Inter"/>
          <w:b/>
          <w:lang w:val="en-US"/>
        </w:rPr>
        <w:t>stood at</w:t>
      </w:r>
      <w:r w:rsidR="00C87B53">
        <w:rPr>
          <w:rFonts w:ascii="Inter" w:hAnsi="Inter"/>
          <w:b/>
          <w:lang w:val="en-US"/>
        </w:rPr>
        <w:t xml:space="preserve"> </w:t>
      </w:r>
      <w:r w:rsidR="002A27C0">
        <w:rPr>
          <w:rFonts w:ascii="Inter" w:hAnsi="Inter"/>
          <w:b/>
          <w:lang w:val="en-US"/>
        </w:rPr>
        <w:t>16.2</w:t>
      </w:r>
      <w:r w:rsidR="00687982" w:rsidRPr="00687982">
        <w:rPr>
          <w:rFonts w:ascii="Inter" w:hAnsi="Inter"/>
          <w:b/>
          <w:lang w:val="en-US"/>
        </w:rPr>
        <w:t xml:space="preserve">% </w:t>
      </w:r>
      <w:r w:rsidR="0052487D">
        <w:rPr>
          <w:rFonts w:ascii="Inter" w:hAnsi="Inter"/>
          <w:b/>
          <w:lang w:val="en-US"/>
        </w:rPr>
        <w:t xml:space="preserve">- and thus significantly exceeds </w:t>
      </w:r>
      <w:proofErr w:type="spellStart"/>
      <w:r w:rsidR="00030D0C">
        <w:rPr>
          <w:rFonts w:ascii="Inter" w:hAnsi="Inter"/>
          <w:b/>
          <w:lang w:val="en-US"/>
        </w:rPr>
        <w:t>Erste</w:t>
      </w:r>
      <w:proofErr w:type="spellEnd"/>
      <w:r w:rsidR="00030D0C">
        <w:rPr>
          <w:rFonts w:ascii="Inter" w:hAnsi="Inter"/>
          <w:b/>
          <w:lang w:val="en-US"/>
        </w:rPr>
        <w:t xml:space="preserve"> Group’s</w:t>
      </w:r>
      <w:r w:rsidR="00D879FD">
        <w:rPr>
          <w:rFonts w:ascii="Inter" w:hAnsi="Inter"/>
          <w:b/>
          <w:lang w:val="en-US"/>
        </w:rPr>
        <w:t xml:space="preserve"> target</w:t>
      </w:r>
      <w:r w:rsidR="00030D0C">
        <w:rPr>
          <w:rFonts w:ascii="Inter" w:hAnsi="Inter"/>
          <w:b/>
          <w:lang w:val="en-US"/>
        </w:rPr>
        <w:t>-</w:t>
      </w:r>
      <w:r w:rsidR="00D879FD">
        <w:rPr>
          <w:rFonts w:ascii="Inter" w:hAnsi="Inter"/>
          <w:b/>
          <w:lang w:val="en-US"/>
        </w:rPr>
        <w:t xml:space="preserve"> </w:t>
      </w:r>
      <w:r w:rsidR="00687982" w:rsidRPr="00687982">
        <w:rPr>
          <w:rFonts w:ascii="Inter" w:hAnsi="Inter"/>
          <w:b/>
          <w:lang w:val="en-US"/>
        </w:rPr>
        <w:t xml:space="preserve">thanks to </w:t>
      </w:r>
      <w:r w:rsidR="002A27C0">
        <w:rPr>
          <w:rFonts w:ascii="Inter" w:hAnsi="Inter"/>
          <w:b/>
          <w:lang w:val="en-US"/>
        </w:rPr>
        <w:t xml:space="preserve">the </w:t>
      </w:r>
      <w:r w:rsidR="00687982" w:rsidRPr="00687982">
        <w:rPr>
          <w:rFonts w:ascii="Inter" w:hAnsi="Inter"/>
          <w:b/>
          <w:lang w:val="en-US"/>
        </w:rPr>
        <w:t>strong operati</w:t>
      </w:r>
      <w:r w:rsidR="002A27C0">
        <w:rPr>
          <w:rFonts w:ascii="Inter" w:hAnsi="Inter"/>
          <w:b/>
          <w:lang w:val="en-US"/>
        </w:rPr>
        <w:t xml:space="preserve">ng </w:t>
      </w:r>
      <w:r w:rsidR="00687982" w:rsidRPr="00687982">
        <w:rPr>
          <w:rFonts w:ascii="Inter" w:hAnsi="Inter"/>
          <w:b/>
          <w:lang w:val="en-US"/>
        </w:rPr>
        <w:t>performance and positive effects from the implementation of Basel IV.</w:t>
      </w:r>
    </w:p>
    <w:p w14:paraId="0FBB6D4F" w14:textId="77777777" w:rsidR="00711D5D" w:rsidRDefault="00711D5D" w:rsidP="00A23F87">
      <w:pPr>
        <w:rPr>
          <w:rFonts w:ascii="Inter" w:hAnsi="Inter"/>
          <w:color w:val="FFFFFF" w:themeColor="background1"/>
          <w:lang w:val="en-US"/>
        </w:rPr>
      </w:pPr>
    </w:p>
    <w:p w14:paraId="245D34A3" w14:textId="1674A753" w:rsidR="00C71EFA" w:rsidRDefault="00C71EFA" w:rsidP="00C71EFA">
      <w:pPr>
        <w:rPr>
          <w:rFonts w:ascii="Inter" w:hAnsi="Inter"/>
          <w:lang w:val="en-US"/>
        </w:rPr>
      </w:pPr>
      <w:r w:rsidRPr="00C71EFA">
        <w:rPr>
          <w:rFonts w:ascii="Inter" w:hAnsi="Inter"/>
          <w:i/>
          <w:iCs/>
          <w:lang w:val="en-US"/>
        </w:rPr>
        <w:t>“</w:t>
      </w:r>
      <w:r w:rsidR="00FC2EF2" w:rsidRPr="00FC2EF2">
        <w:rPr>
          <w:rFonts w:ascii="Inter" w:hAnsi="Inter"/>
          <w:i/>
          <w:iCs/>
          <w:lang w:val="en-US"/>
        </w:rPr>
        <w:t xml:space="preserve">In times like these, reliability is important and our results underscore this. We were able to improve the quality of our results and </w:t>
      </w:r>
      <w:r w:rsidR="00BD61C2">
        <w:rPr>
          <w:rFonts w:ascii="Inter" w:hAnsi="Inter"/>
          <w:i/>
          <w:iCs/>
          <w:lang w:val="en-US"/>
        </w:rPr>
        <w:t xml:space="preserve">to </w:t>
      </w:r>
      <w:r w:rsidR="00FC2EF2" w:rsidRPr="00FC2EF2">
        <w:rPr>
          <w:rFonts w:ascii="Inter" w:hAnsi="Inter"/>
          <w:i/>
          <w:iCs/>
          <w:lang w:val="en-US"/>
        </w:rPr>
        <w:t xml:space="preserve">keep our risk costs low. At the same time, we have </w:t>
      </w:r>
      <w:r w:rsidR="007C4195">
        <w:rPr>
          <w:rFonts w:ascii="Inter" w:hAnsi="Inter"/>
          <w:i/>
          <w:iCs/>
          <w:lang w:val="en-US"/>
        </w:rPr>
        <w:t xml:space="preserve">posted </w:t>
      </w:r>
      <w:r w:rsidR="00FC2EF2" w:rsidRPr="00FC2EF2">
        <w:rPr>
          <w:rFonts w:ascii="Inter" w:hAnsi="Inter"/>
          <w:i/>
          <w:iCs/>
          <w:lang w:val="en-US"/>
        </w:rPr>
        <w:t>grow</w:t>
      </w:r>
      <w:r w:rsidR="007C4195">
        <w:rPr>
          <w:rFonts w:ascii="Inter" w:hAnsi="Inter"/>
          <w:i/>
          <w:iCs/>
          <w:lang w:val="en-US"/>
        </w:rPr>
        <w:t>th in</w:t>
      </w:r>
      <w:r w:rsidR="00FC2EF2" w:rsidRPr="00FC2EF2">
        <w:rPr>
          <w:rFonts w:ascii="Inter" w:hAnsi="Inter"/>
          <w:i/>
          <w:iCs/>
          <w:lang w:val="en-US"/>
        </w:rPr>
        <w:t xml:space="preserve"> both </w:t>
      </w:r>
      <w:r w:rsidR="007C4195">
        <w:rPr>
          <w:rFonts w:ascii="Inter" w:hAnsi="Inter"/>
          <w:i/>
          <w:iCs/>
          <w:lang w:val="en-US"/>
        </w:rPr>
        <w:t>our</w:t>
      </w:r>
      <w:r w:rsidR="00FC2EF2" w:rsidRPr="00FC2EF2">
        <w:rPr>
          <w:rFonts w:ascii="Inter" w:hAnsi="Inter"/>
          <w:i/>
          <w:iCs/>
          <w:lang w:val="en-US"/>
        </w:rPr>
        <w:t xml:space="preserve"> </w:t>
      </w:r>
      <w:r w:rsidR="00BD61C2">
        <w:rPr>
          <w:rFonts w:ascii="Inter" w:hAnsi="Inter"/>
          <w:i/>
          <w:iCs/>
          <w:lang w:val="en-US"/>
        </w:rPr>
        <w:t>loan</w:t>
      </w:r>
      <w:r w:rsidR="00FC2EF2" w:rsidRPr="00FC2EF2">
        <w:rPr>
          <w:rFonts w:ascii="Inter" w:hAnsi="Inter"/>
          <w:i/>
          <w:iCs/>
          <w:lang w:val="en-US"/>
        </w:rPr>
        <w:t xml:space="preserve"> and deposit volumes and have </w:t>
      </w:r>
      <w:r w:rsidR="001739E1">
        <w:rPr>
          <w:rFonts w:ascii="Inter" w:hAnsi="Inter"/>
          <w:i/>
          <w:iCs/>
          <w:lang w:val="en-US"/>
        </w:rPr>
        <w:t xml:space="preserve">remained a </w:t>
      </w:r>
      <w:r w:rsidR="00FC2EF2" w:rsidRPr="00FC2EF2">
        <w:rPr>
          <w:rFonts w:ascii="Inter" w:hAnsi="Inter"/>
          <w:i/>
          <w:iCs/>
          <w:lang w:val="en-US"/>
        </w:rPr>
        <w:t xml:space="preserve">reliable partner to our customers. </w:t>
      </w:r>
      <w:r w:rsidR="007C4195">
        <w:rPr>
          <w:rFonts w:ascii="Inter" w:hAnsi="Inter"/>
          <w:i/>
          <w:iCs/>
          <w:lang w:val="en-US"/>
        </w:rPr>
        <w:t>In addition</w:t>
      </w:r>
      <w:r w:rsidR="00FC2EF2" w:rsidRPr="00FC2EF2">
        <w:rPr>
          <w:rFonts w:ascii="Inter" w:hAnsi="Inter"/>
          <w:i/>
          <w:iCs/>
          <w:lang w:val="en-US"/>
        </w:rPr>
        <w:t xml:space="preserve">, we have further strengthened our capital position, which enables us to both meet the challenges of a dynamic market environment and </w:t>
      </w:r>
      <w:r w:rsidR="007C4195">
        <w:rPr>
          <w:rFonts w:ascii="Inter" w:hAnsi="Inter"/>
          <w:i/>
          <w:iCs/>
          <w:lang w:val="en-US"/>
        </w:rPr>
        <w:t xml:space="preserve">to </w:t>
      </w:r>
      <w:r w:rsidR="005C77CE">
        <w:rPr>
          <w:rFonts w:ascii="Inter" w:hAnsi="Inter"/>
          <w:i/>
          <w:iCs/>
          <w:lang w:val="en-US"/>
        </w:rPr>
        <w:t>make the most of</w:t>
      </w:r>
      <w:r w:rsidR="00FC2EF2" w:rsidRPr="00FC2EF2">
        <w:rPr>
          <w:rFonts w:ascii="Inter" w:hAnsi="Inter"/>
          <w:i/>
          <w:iCs/>
          <w:lang w:val="en-US"/>
        </w:rPr>
        <w:t xml:space="preserve"> opportunities</w:t>
      </w:r>
      <w:r w:rsidR="005C77CE">
        <w:rPr>
          <w:rFonts w:ascii="Inter" w:hAnsi="Inter"/>
          <w:i/>
          <w:iCs/>
          <w:lang w:val="en-US"/>
        </w:rPr>
        <w:t xml:space="preserve"> that arise</w:t>
      </w:r>
      <w:r w:rsidR="00FC2EF2">
        <w:rPr>
          <w:rFonts w:ascii="Inter" w:hAnsi="Inter"/>
          <w:i/>
          <w:iCs/>
          <w:lang w:val="en-US"/>
        </w:rPr>
        <w:t>,</w:t>
      </w:r>
      <w:r w:rsidRPr="00C71EFA">
        <w:rPr>
          <w:rFonts w:ascii="Inter" w:hAnsi="Inter"/>
          <w:i/>
          <w:iCs/>
          <w:lang w:val="en-US"/>
        </w:rPr>
        <w:t>”</w:t>
      </w:r>
      <w:r w:rsidRPr="00C71EFA">
        <w:rPr>
          <w:rFonts w:ascii="Inter" w:hAnsi="Inter"/>
          <w:lang w:val="en-US"/>
        </w:rPr>
        <w:t xml:space="preserve"> says </w:t>
      </w:r>
      <w:r w:rsidR="005C77CE">
        <w:rPr>
          <w:rFonts w:ascii="Inter" w:hAnsi="Inter"/>
          <w:b/>
          <w:bCs/>
          <w:lang w:val="en-US"/>
        </w:rPr>
        <w:t>Peter Bosek</w:t>
      </w:r>
      <w:r w:rsidRPr="00C71EFA">
        <w:rPr>
          <w:rFonts w:ascii="Inter" w:hAnsi="Inter"/>
          <w:lang w:val="en-US"/>
        </w:rPr>
        <w:t xml:space="preserve">, CEO of </w:t>
      </w:r>
      <w:proofErr w:type="spellStart"/>
      <w:r w:rsidRPr="00C71EFA">
        <w:rPr>
          <w:rFonts w:ascii="Inter" w:hAnsi="Inter"/>
          <w:lang w:val="en-US"/>
        </w:rPr>
        <w:t>Erste</w:t>
      </w:r>
      <w:proofErr w:type="spellEnd"/>
      <w:r w:rsidRPr="00C71EFA">
        <w:rPr>
          <w:rFonts w:ascii="Inter" w:hAnsi="Inter"/>
          <w:lang w:val="en-US"/>
        </w:rPr>
        <w:t xml:space="preserve"> Group.</w:t>
      </w:r>
    </w:p>
    <w:p w14:paraId="752600EE" w14:textId="77777777" w:rsidR="00FC2EF2" w:rsidRDefault="00FC2EF2" w:rsidP="00C71EFA">
      <w:pPr>
        <w:rPr>
          <w:rFonts w:ascii="Inter" w:hAnsi="Inter"/>
          <w:lang w:val="en-US"/>
        </w:rPr>
      </w:pPr>
    </w:p>
    <w:p w14:paraId="3452F949" w14:textId="31FFA86B" w:rsidR="00FC2EF2" w:rsidRDefault="00FC2EF2" w:rsidP="00FC2EF2">
      <w:pPr>
        <w:rPr>
          <w:rFonts w:ascii="Inter" w:hAnsi="Inter"/>
          <w:lang w:val="en-US"/>
        </w:rPr>
      </w:pPr>
      <w:r w:rsidRPr="00C71EFA">
        <w:rPr>
          <w:rFonts w:ascii="Inter" w:hAnsi="Inter"/>
          <w:i/>
          <w:iCs/>
          <w:lang w:val="en-US"/>
        </w:rPr>
        <w:lastRenderedPageBreak/>
        <w:t>“</w:t>
      </w:r>
      <w:r w:rsidR="002C18D8" w:rsidRPr="002C18D8">
        <w:rPr>
          <w:rFonts w:ascii="Inter" w:hAnsi="Inter"/>
          <w:i/>
          <w:iCs/>
          <w:lang w:val="en-US"/>
        </w:rPr>
        <w:t xml:space="preserve">We were able to achieve </w:t>
      </w:r>
      <w:r w:rsidR="005C77CE">
        <w:rPr>
          <w:rFonts w:ascii="Inter" w:hAnsi="Inter"/>
          <w:i/>
          <w:iCs/>
          <w:lang w:val="en-US"/>
        </w:rPr>
        <w:t xml:space="preserve">a </w:t>
      </w:r>
      <w:r w:rsidR="002C18D8" w:rsidRPr="002C18D8">
        <w:rPr>
          <w:rFonts w:ascii="Inter" w:hAnsi="Inter"/>
          <w:i/>
          <w:iCs/>
          <w:lang w:val="en-US"/>
        </w:rPr>
        <w:t xml:space="preserve">solid </w:t>
      </w:r>
      <w:r w:rsidR="0005668A">
        <w:rPr>
          <w:rFonts w:ascii="Inter" w:hAnsi="Inter"/>
          <w:i/>
          <w:iCs/>
          <w:lang w:val="en-US"/>
        </w:rPr>
        <w:t>operating</w:t>
      </w:r>
      <w:r w:rsidR="002C18D8" w:rsidRPr="002C18D8">
        <w:rPr>
          <w:rFonts w:ascii="Inter" w:hAnsi="Inter"/>
          <w:i/>
          <w:iCs/>
          <w:lang w:val="en-US"/>
        </w:rPr>
        <w:t xml:space="preserve"> performance in the first quarter despite all the volatility and uncertainties in the global economic system. </w:t>
      </w:r>
      <w:r w:rsidR="007E59D6">
        <w:rPr>
          <w:rFonts w:ascii="Inter" w:hAnsi="Inter"/>
          <w:i/>
          <w:iCs/>
          <w:lang w:val="en-US"/>
        </w:rPr>
        <w:t xml:space="preserve">This </w:t>
      </w:r>
      <w:r w:rsidR="00BC7769">
        <w:rPr>
          <w:rFonts w:ascii="Inter" w:hAnsi="Inter"/>
          <w:i/>
          <w:iCs/>
          <w:lang w:val="en-US"/>
        </w:rPr>
        <w:t>strong foundation</w:t>
      </w:r>
      <w:r w:rsidR="00DC3127">
        <w:rPr>
          <w:rFonts w:ascii="Inter" w:hAnsi="Inter"/>
          <w:i/>
          <w:iCs/>
          <w:lang w:val="en-US"/>
        </w:rPr>
        <w:t xml:space="preserve"> </w:t>
      </w:r>
      <w:r w:rsidR="007E59D6">
        <w:rPr>
          <w:rFonts w:ascii="Inter" w:hAnsi="Inter"/>
          <w:i/>
          <w:iCs/>
          <w:lang w:val="en-US"/>
        </w:rPr>
        <w:t>allows us to</w:t>
      </w:r>
      <w:r w:rsidR="002C18D8" w:rsidRPr="002C18D8">
        <w:rPr>
          <w:rFonts w:ascii="Inter" w:hAnsi="Inter"/>
          <w:i/>
          <w:iCs/>
          <w:lang w:val="en-US"/>
        </w:rPr>
        <w:t xml:space="preserve"> maintain our outlook for the full year 2025 and </w:t>
      </w:r>
      <w:r w:rsidR="007E59D6">
        <w:rPr>
          <w:rFonts w:ascii="Inter" w:hAnsi="Inter"/>
          <w:i/>
          <w:iCs/>
          <w:lang w:val="en-US"/>
        </w:rPr>
        <w:t xml:space="preserve">to </w:t>
      </w:r>
      <w:proofErr w:type="gramStart"/>
      <w:r w:rsidR="002C18D8" w:rsidRPr="002C18D8">
        <w:rPr>
          <w:rFonts w:ascii="Inter" w:hAnsi="Inter"/>
          <w:i/>
          <w:iCs/>
          <w:lang w:val="en-US"/>
        </w:rPr>
        <w:t xml:space="preserve">even slightly increase our </w:t>
      </w:r>
      <w:r w:rsidR="007E59D6">
        <w:rPr>
          <w:rFonts w:ascii="Inter" w:hAnsi="Inter"/>
          <w:i/>
          <w:iCs/>
          <w:lang w:val="en-US"/>
        </w:rPr>
        <w:t>guidance</w:t>
      </w:r>
      <w:proofErr w:type="gramEnd"/>
      <w:r w:rsidR="007E59D6">
        <w:rPr>
          <w:rFonts w:ascii="Inter" w:hAnsi="Inter"/>
          <w:i/>
          <w:iCs/>
          <w:lang w:val="en-US"/>
        </w:rPr>
        <w:t xml:space="preserve"> for fee</w:t>
      </w:r>
      <w:r w:rsidR="002C18D8" w:rsidRPr="002C18D8">
        <w:rPr>
          <w:rFonts w:ascii="Inter" w:hAnsi="Inter"/>
          <w:i/>
          <w:iCs/>
          <w:lang w:val="en-US"/>
        </w:rPr>
        <w:t xml:space="preserve"> income </w:t>
      </w:r>
      <w:r w:rsidR="007E59D6">
        <w:rPr>
          <w:rFonts w:ascii="Inter" w:hAnsi="Inter"/>
          <w:i/>
          <w:iCs/>
          <w:lang w:val="en-US"/>
        </w:rPr>
        <w:t>growth</w:t>
      </w:r>
      <w:r>
        <w:rPr>
          <w:rFonts w:ascii="Inter" w:hAnsi="Inter"/>
          <w:i/>
          <w:iCs/>
          <w:lang w:val="en-US"/>
        </w:rPr>
        <w:t>,</w:t>
      </w:r>
      <w:r w:rsidRPr="00C71EFA">
        <w:rPr>
          <w:rFonts w:ascii="Inter" w:hAnsi="Inter"/>
          <w:i/>
          <w:iCs/>
          <w:lang w:val="en-US"/>
        </w:rPr>
        <w:t>”</w:t>
      </w:r>
      <w:r w:rsidRPr="00C71EFA">
        <w:rPr>
          <w:rFonts w:ascii="Inter" w:hAnsi="Inter"/>
          <w:lang w:val="en-US"/>
        </w:rPr>
        <w:t xml:space="preserve"> says </w:t>
      </w:r>
      <w:r w:rsidR="007E59D6">
        <w:rPr>
          <w:rFonts w:ascii="Inter" w:hAnsi="Inter"/>
          <w:b/>
          <w:bCs/>
          <w:lang w:val="en-US"/>
        </w:rPr>
        <w:t>Stefan Dörfler</w:t>
      </w:r>
      <w:r w:rsidRPr="00C71EFA">
        <w:rPr>
          <w:rFonts w:ascii="Inter" w:hAnsi="Inter"/>
          <w:lang w:val="en-US"/>
        </w:rPr>
        <w:t>, C</w:t>
      </w:r>
      <w:r w:rsidR="00DB2D1E">
        <w:rPr>
          <w:rFonts w:ascii="Inter" w:hAnsi="Inter"/>
          <w:lang w:val="en-US"/>
        </w:rPr>
        <w:t>F</w:t>
      </w:r>
      <w:r w:rsidRPr="00C71EFA">
        <w:rPr>
          <w:rFonts w:ascii="Inter" w:hAnsi="Inter"/>
          <w:lang w:val="en-US"/>
        </w:rPr>
        <w:t xml:space="preserve">O of </w:t>
      </w:r>
      <w:proofErr w:type="spellStart"/>
      <w:r w:rsidRPr="00C71EFA">
        <w:rPr>
          <w:rFonts w:ascii="Inter" w:hAnsi="Inter"/>
          <w:lang w:val="en-US"/>
        </w:rPr>
        <w:t>Erste</w:t>
      </w:r>
      <w:proofErr w:type="spellEnd"/>
      <w:r w:rsidRPr="00C71EFA">
        <w:rPr>
          <w:rFonts w:ascii="Inter" w:hAnsi="Inter"/>
          <w:lang w:val="en-US"/>
        </w:rPr>
        <w:t xml:space="preserve"> Group.</w:t>
      </w:r>
    </w:p>
    <w:p w14:paraId="26B908E3" w14:textId="01E106E9" w:rsidR="002C18D8" w:rsidRDefault="002C18D8">
      <w:pPr>
        <w:spacing w:line="240" w:lineRule="auto"/>
        <w:rPr>
          <w:rFonts w:ascii="Inter" w:hAnsi="Inter"/>
          <w:lang w:val="en-US"/>
        </w:rPr>
      </w:pPr>
    </w:p>
    <w:p w14:paraId="3A8783DA" w14:textId="77777777" w:rsidR="00C94C4E" w:rsidRDefault="00C94C4E">
      <w:pPr>
        <w:spacing w:line="240" w:lineRule="auto"/>
        <w:rPr>
          <w:rFonts w:ascii="Inter" w:hAnsi="Inter"/>
          <w:lang w:val="en-US"/>
        </w:rPr>
      </w:pPr>
    </w:p>
    <w:p w14:paraId="76619A3F" w14:textId="77777777" w:rsidR="00C94C4E" w:rsidRDefault="00C94C4E">
      <w:pPr>
        <w:spacing w:line="240" w:lineRule="auto"/>
        <w:rPr>
          <w:rFonts w:ascii="Inter" w:hAnsi="Inter"/>
          <w:lang w:val="en-US"/>
        </w:rPr>
      </w:pPr>
    </w:p>
    <w:p w14:paraId="6F0ECD57" w14:textId="000D0D38" w:rsidR="00435013" w:rsidRDefault="003F5CD5" w:rsidP="003F5CD5">
      <w:pPr>
        <w:jc w:val="center"/>
        <w:rPr>
          <w:rFonts w:ascii="Inter" w:hAnsi="Inter"/>
          <w:b/>
          <w:bCs/>
          <w:color w:val="000000"/>
          <w:lang w:val="en-US"/>
        </w:rPr>
      </w:pPr>
      <w:r>
        <w:rPr>
          <w:rFonts w:ascii="Inter" w:hAnsi="Inter"/>
          <w:b/>
          <w:bCs/>
          <w:color w:val="000000"/>
          <w:lang w:val="en-US"/>
        </w:rPr>
        <w:t>*****</w:t>
      </w:r>
    </w:p>
    <w:p w14:paraId="4681E5F9" w14:textId="77777777" w:rsidR="00C94C4E" w:rsidRDefault="00C94C4E" w:rsidP="00435013">
      <w:pPr>
        <w:rPr>
          <w:rFonts w:ascii="Inter" w:hAnsi="Inter"/>
          <w:b/>
          <w:bCs/>
          <w:color w:val="000000"/>
          <w:lang w:val="en-US"/>
        </w:rPr>
      </w:pPr>
    </w:p>
    <w:p w14:paraId="7A4225DE" w14:textId="08C2EF75" w:rsidR="00B2305D" w:rsidRPr="003F5CD5" w:rsidRDefault="003F5CD5" w:rsidP="00435013">
      <w:pPr>
        <w:rPr>
          <w:rFonts w:ascii="Inter" w:hAnsi="Inter"/>
          <w:i/>
          <w:iCs/>
          <w:sz w:val="16"/>
          <w:szCs w:val="16"/>
          <w:lang w:val="en-US"/>
        </w:rPr>
      </w:pPr>
      <w:r w:rsidRPr="00291F87">
        <w:rPr>
          <w:rFonts w:ascii="Inter" w:hAnsi="Inter"/>
          <w:i/>
          <w:iCs/>
          <w:sz w:val="16"/>
          <w:szCs w:val="16"/>
          <w:lang w:val="en-US"/>
        </w:rPr>
        <w:t xml:space="preserve">Financial results from January to </w:t>
      </w:r>
      <w:r>
        <w:rPr>
          <w:rFonts w:ascii="Inter" w:hAnsi="Inter"/>
          <w:i/>
          <w:iCs/>
          <w:sz w:val="16"/>
          <w:szCs w:val="16"/>
          <w:lang w:val="en-US"/>
        </w:rPr>
        <w:t>March</w:t>
      </w:r>
      <w:r w:rsidRPr="00291F87">
        <w:rPr>
          <w:rFonts w:ascii="Inter" w:hAnsi="Inter"/>
          <w:i/>
          <w:iCs/>
          <w:sz w:val="16"/>
          <w:szCs w:val="16"/>
          <w:lang w:val="en-US"/>
        </w:rPr>
        <w:t xml:space="preserve"> 202</w:t>
      </w:r>
      <w:r>
        <w:rPr>
          <w:rFonts w:ascii="Inter" w:hAnsi="Inter"/>
          <w:i/>
          <w:iCs/>
          <w:sz w:val="16"/>
          <w:szCs w:val="16"/>
          <w:lang w:val="en-US"/>
        </w:rPr>
        <w:t>5</w:t>
      </w:r>
      <w:r w:rsidRPr="00291F87">
        <w:rPr>
          <w:rFonts w:ascii="Inter" w:hAnsi="Inter"/>
          <w:i/>
          <w:iCs/>
          <w:sz w:val="16"/>
          <w:szCs w:val="16"/>
          <w:lang w:val="en-US"/>
        </w:rPr>
        <w:t xml:space="preserve"> are compared with those from January to </w:t>
      </w:r>
      <w:r>
        <w:rPr>
          <w:rFonts w:ascii="Inter" w:hAnsi="Inter"/>
          <w:i/>
          <w:iCs/>
          <w:sz w:val="16"/>
          <w:szCs w:val="16"/>
          <w:lang w:val="en-US"/>
        </w:rPr>
        <w:t>March</w:t>
      </w:r>
      <w:r w:rsidRPr="00291F87">
        <w:rPr>
          <w:rFonts w:ascii="Inter" w:hAnsi="Inter"/>
          <w:i/>
          <w:iCs/>
          <w:sz w:val="16"/>
          <w:szCs w:val="16"/>
          <w:lang w:val="en-US"/>
        </w:rPr>
        <w:t xml:space="preserve"> 202</w:t>
      </w:r>
      <w:r>
        <w:rPr>
          <w:rFonts w:ascii="Inter" w:hAnsi="Inter"/>
          <w:i/>
          <w:iCs/>
          <w:sz w:val="16"/>
          <w:szCs w:val="16"/>
          <w:lang w:val="en-US"/>
        </w:rPr>
        <w:t>4</w:t>
      </w:r>
      <w:r w:rsidRPr="00291F87">
        <w:rPr>
          <w:rFonts w:ascii="Inter" w:hAnsi="Inter"/>
          <w:i/>
          <w:iCs/>
          <w:sz w:val="16"/>
          <w:szCs w:val="16"/>
          <w:lang w:val="en-US"/>
        </w:rPr>
        <w:t xml:space="preserve"> and balance sheet positions as of </w:t>
      </w:r>
      <w:r>
        <w:rPr>
          <w:rFonts w:ascii="Inter" w:hAnsi="Inter"/>
          <w:i/>
          <w:iCs/>
          <w:sz w:val="16"/>
          <w:szCs w:val="16"/>
          <w:lang w:val="en-US"/>
        </w:rPr>
        <w:t>31 March</w:t>
      </w:r>
      <w:r w:rsidRPr="00291F87">
        <w:rPr>
          <w:rFonts w:ascii="Inter" w:hAnsi="Inter"/>
          <w:i/>
          <w:iCs/>
          <w:sz w:val="16"/>
          <w:szCs w:val="16"/>
          <w:lang w:val="en-US"/>
        </w:rPr>
        <w:t xml:space="preserve"> 202</w:t>
      </w:r>
      <w:r>
        <w:rPr>
          <w:rFonts w:ascii="Inter" w:hAnsi="Inter"/>
          <w:i/>
          <w:iCs/>
          <w:sz w:val="16"/>
          <w:szCs w:val="16"/>
          <w:lang w:val="en-US"/>
        </w:rPr>
        <w:t>5</w:t>
      </w:r>
      <w:r w:rsidRPr="00291F87">
        <w:rPr>
          <w:rFonts w:ascii="Inter" w:hAnsi="Inter"/>
          <w:i/>
          <w:iCs/>
          <w:sz w:val="16"/>
          <w:szCs w:val="16"/>
          <w:lang w:val="en-US"/>
        </w:rPr>
        <w:t xml:space="preserve"> with those as of 31 December 202</w:t>
      </w:r>
      <w:r>
        <w:rPr>
          <w:rFonts w:ascii="Inter" w:hAnsi="Inter"/>
          <w:i/>
          <w:iCs/>
          <w:sz w:val="16"/>
          <w:szCs w:val="16"/>
          <w:lang w:val="en-US"/>
        </w:rPr>
        <w:t>4</w:t>
      </w:r>
      <w:r w:rsidRPr="00291F87">
        <w:rPr>
          <w:rFonts w:ascii="Inter" w:hAnsi="Inter"/>
          <w:i/>
          <w:iCs/>
          <w:sz w:val="16"/>
          <w:szCs w:val="16"/>
          <w:lang w:val="en-US"/>
        </w:rPr>
        <w:t>.</w:t>
      </w:r>
    </w:p>
    <w:p w14:paraId="465FE8DC" w14:textId="77777777" w:rsidR="00B2305D" w:rsidRPr="008557FF" w:rsidRDefault="00B2305D" w:rsidP="00435013">
      <w:pPr>
        <w:rPr>
          <w:rFonts w:ascii="Inter" w:hAnsi="Inter"/>
          <w:b/>
          <w:bCs/>
          <w:color w:val="000000" w:themeColor="text1"/>
          <w:lang w:val="en-US"/>
        </w:rPr>
      </w:pPr>
    </w:p>
    <w:p w14:paraId="5FE9FF3E" w14:textId="352FC80F" w:rsidR="00435013" w:rsidRPr="006A3622" w:rsidRDefault="006A3622" w:rsidP="004677D1">
      <w:pPr>
        <w:pStyle w:val="Nadpis4"/>
        <w:rPr>
          <w:rFonts w:ascii="Inter" w:hAnsi="Inter" w:cs="Times New Roman (Headings CS)"/>
          <w:color w:val="auto"/>
          <w:sz w:val="22"/>
          <w:szCs w:val="22"/>
          <w:lang w:val="en-US"/>
        </w:rPr>
      </w:pPr>
      <w:r w:rsidRPr="006A3622">
        <w:rPr>
          <w:rFonts w:ascii="Inter" w:hAnsi="Inter" w:cs="Times New Roman (Headings CS)"/>
          <w:color w:val="auto"/>
          <w:sz w:val="22"/>
          <w:szCs w:val="22"/>
          <w:lang w:val="en-US"/>
        </w:rPr>
        <w:t>Fee income growth across all core markets</w:t>
      </w:r>
    </w:p>
    <w:p w14:paraId="2EF1DF6A" w14:textId="3E80AC29" w:rsidR="00435013" w:rsidRDefault="00323F53" w:rsidP="00435013">
      <w:pPr>
        <w:pStyle w:val="Bezmezer"/>
        <w:spacing w:line="280" w:lineRule="exact"/>
        <w:rPr>
          <w:sz w:val="20"/>
          <w:szCs w:val="20"/>
          <w:lang w:val="en-GB"/>
        </w:rPr>
      </w:pPr>
      <w:r w:rsidRPr="00E51DEB">
        <w:rPr>
          <w:b/>
          <w:bCs/>
          <w:sz w:val="20"/>
          <w:szCs w:val="20"/>
          <w:lang w:val="en-GB"/>
        </w:rPr>
        <w:t>Net interest income</w:t>
      </w:r>
      <w:r w:rsidRPr="00E51DEB">
        <w:rPr>
          <w:sz w:val="20"/>
          <w:szCs w:val="20"/>
          <w:lang w:val="en-GB"/>
        </w:rPr>
        <w:t xml:space="preserve"> increased to EUR 1,872 million (+1.1%; EUR 1,852 million), primarily in Romania, the Czech Republic and Slovakia, on the back of lower interest expenses on customer deposits. </w:t>
      </w:r>
      <w:r w:rsidRPr="00E51DEB">
        <w:rPr>
          <w:b/>
          <w:bCs/>
          <w:sz w:val="20"/>
          <w:szCs w:val="20"/>
          <w:lang w:val="en-GB"/>
        </w:rPr>
        <w:t>Net fee and commission income</w:t>
      </w:r>
      <w:r w:rsidRPr="00E51DEB">
        <w:rPr>
          <w:sz w:val="20"/>
          <w:szCs w:val="20"/>
          <w:lang w:val="en-GB"/>
        </w:rPr>
        <w:t xml:space="preserve"> rose to EUR 780 million (+9.5%; EUR 712 million). Growth was registered across all core markets, most notably in payment services and asset management. </w:t>
      </w:r>
      <w:r w:rsidRPr="00E51DEB">
        <w:rPr>
          <w:b/>
          <w:bCs/>
          <w:sz w:val="20"/>
          <w:szCs w:val="20"/>
          <w:lang w:val="en-GB"/>
        </w:rPr>
        <w:t>Net trading result</w:t>
      </w:r>
      <w:r w:rsidRPr="00E51DEB">
        <w:rPr>
          <w:sz w:val="20"/>
          <w:szCs w:val="20"/>
          <w:lang w:val="en-GB"/>
        </w:rPr>
        <w:t xml:space="preserve"> declined to EUR 47 million (EUR 106 million); the line item </w:t>
      </w:r>
      <w:r w:rsidRPr="00E51DEB">
        <w:rPr>
          <w:b/>
          <w:bCs/>
          <w:sz w:val="20"/>
          <w:szCs w:val="20"/>
          <w:lang w:val="en-GB"/>
        </w:rPr>
        <w:t>gains/losses from financial instruments measured at fair value through profit or loss</w:t>
      </w:r>
      <w:r w:rsidRPr="00E51DEB">
        <w:rPr>
          <w:sz w:val="20"/>
          <w:szCs w:val="20"/>
          <w:lang w:val="en-GB"/>
        </w:rPr>
        <w:t xml:space="preserve"> increased to EUR 50 million (EUR 33 million). The development of these </w:t>
      </w:r>
      <w:proofErr w:type="gramStart"/>
      <w:r w:rsidRPr="00E51DEB">
        <w:rPr>
          <w:sz w:val="20"/>
          <w:szCs w:val="20"/>
          <w:lang w:val="en-GB"/>
        </w:rPr>
        <w:t>two</w:t>
      </w:r>
      <w:r w:rsidRPr="00E51DEB">
        <w:rPr>
          <w:b/>
          <w:bCs/>
          <w:sz w:val="20"/>
          <w:szCs w:val="20"/>
          <w:lang w:val="en-GB"/>
        </w:rPr>
        <w:t xml:space="preserve"> </w:t>
      </w:r>
      <w:r w:rsidRPr="00E51DEB">
        <w:rPr>
          <w:sz w:val="20"/>
          <w:szCs w:val="20"/>
          <w:lang w:val="en-GB"/>
        </w:rPr>
        <w:t>line</w:t>
      </w:r>
      <w:proofErr w:type="gramEnd"/>
      <w:r w:rsidRPr="00E51DEB">
        <w:rPr>
          <w:sz w:val="20"/>
          <w:szCs w:val="20"/>
          <w:lang w:val="en-GB"/>
        </w:rPr>
        <w:t xml:space="preserve"> items was mostly attributable to valuation effects. </w:t>
      </w:r>
      <w:r w:rsidRPr="00E51DEB">
        <w:rPr>
          <w:b/>
          <w:bCs/>
          <w:sz w:val="20"/>
          <w:szCs w:val="20"/>
          <w:lang w:val="en-GB"/>
        </w:rPr>
        <w:t>Operating income</w:t>
      </w:r>
      <w:r w:rsidRPr="00E51DEB">
        <w:rPr>
          <w:sz w:val="20"/>
          <w:szCs w:val="20"/>
          <w:lang w:val="en-GB"/>
        </w:rPr>
        <w:t xml:space="preserve"> increased slightly to EUR 2,802 million (+0.5%; EUR 2,788 million).</w:t>
      </w:r>
    </w:p>
    <w:p w14:paraId="453E8253" w14:textId="77777777" w:rsidR="00663059" w:rsidRPr="00663059" w:rsidRDefault="00663059" w:rsidP="00435013">
      <w:pPr>
        <w:pStyle w:val="Bezmezer"/>
        <w:spacing w:line="280" w:lineRule="exact"/>
        <w:rPr>
          <w:rFonts w:ascii="Inter" w:hAnsi="Inter"/>
          <w:sz w:val="16"/>
          <w:szCs w:val="16"/>
          <w:lang w:val="en-US"/>
        </w:rPr>
      </w:pPr>
    </w:p>
    <w:p w14:paraId="46759812" w14:textId="019F8796" w:rsidR="00663059" w:rsidRPr="00027A28" w:rsidRDefault="00831ED7" w:rsidP="00663059">
      <w:pPr>
        <w:pStyle w:val="Nadpis4"/>
        <w:rPr>
          <w:rFonts w:ascii="Inter" w:hAnsi="Inter" w:cs="Times New Roman (Headings CS)"/>
          <w:color w:val="auto"/>
          <w:sz w:val="22"/>
          <w:szCs w:val="22"/>
          <w:lang w:val="en-US"/>
        </w:rPr>
      </w:pPr>
      <w:r w:rsidRPr="00027A28">
        <w:rPr>
          <w:rFonts w:ascii="Inter" w:hAnsi="Inter" w:cs="Times New Roman (Headings CS)"/>
          <w:color w:val="auto"/>
          <w:sz w:val="22"/>
          <w:szCs w:val="22"/>
          <w:lang w:val="en-US"/>
        </w:rPr>
        <w:t>Operating result declines 3.2</w:t>
      </w:r>
      <w:r w:rsidR="0025182E" w:rsidRPr="00027A28">
        <w:rPr>
          <w:rFonts w:ascii="Inter" w:hAnsi="Inter" w:cs="Times New Roman (Headings CS)"/>
          <w:color w:val="auto"/>
          <w:sz w:val="22"/>
          <w:szCs w:val="22"/>
          <w:lang w:val="en-US"/>
        </w:rPr>
        <w:t>% on</w:t>
      </w:r>
      <w:r w:rsidR="005D40A0" w:rsidRPr="00027A28">
        <w:rPr>
          <w:rFonts w:ascii="Inter" w:hAnsi="Inter" w:cs="Times New Roman (Headings CS)"/>
          <w:color w:val="auto"/>
          <w:sz w:val="22"/>
          <w:szCs w:val="22"/>
          <w:lang w:val="en-US"/>
        </w:rPr>
        <w:t xml:space="preserve"> higher personnel expenses</w:t>
      </w:r>
    </w:p>
    <w:p w14:paraId="2857CC3F" w14:textId="72B474DF" w:rsidR="00663059" w:rsidRPr="006D2313" w:rsidRDefault="006D2313" w:rsidP="00663059">
      <w:pPr>
        <w:pStyle w:val="Bezmezer"/>
        <w:spacing w:line="280" w:lineRule="exact"/>
        <w:rPr>
          <w:rFonts w:ascii="Inter" w:hAnsi="Inter"/>
          <w:sz w:val="20"/>
          <w:szCs w:val="20"/>
          <w:lang w:val="en-US"/>
        </w:rPr>
      </w:pPr>
      <w:r w:rsidRPr="006D2313">
        <w:rPr>
          <w:rFonts w:ascii="Inter" w:hAnsi="Inter"/>
          <w:b/>
          <w:bCs/>
          <w:sz w:val="20"/>
          <w:szCs w:val="20"/>
          <w:lang w:val="en-GB"/>
        </w:rPr>
        <w:t>General administrative expenses</w:t>
      </w:r>
      <w:r w:rsidRPr="006D2313">
        <w:rPr>
          <w:rFonts w:ascii="Inter" w:hAnsi="Inter"/>
          <w:sz w:val="20"/>
          <w:szCs w:val="20"/>
          <w:lang w:val="en-GB"/>
        </w:rPr>
        <w:t xml:space="preserve"> were up at EUR 1,345 million (+4.8%; EUR 1,283 million). Personnel expenses rose to EUR 794 million (+6.4%; EUR 746 million) driven by collectively agreed salary increases. Other administrative expenses were higher at EUR 414 million (+3.1%; EUR 402 million). While contributions to deposit insurance schemes included in other administrative expenses – mostly already posted upfront for the full year of 2025 – declined to EUR 54 million (EUR 76 million), IT expenses increased to EUR 166 million (EUR 143 million). Amortisation and depreciation amounted to EUR 136 million (</w:t>
      </w:r>
      <w:r w:rsidRPr="006D2313">
        <w:rPr>
          <w:rFonts w:ascii="Inter" w:hAnsi="Inter" w:cs="Cambria Math"/>
          <w:sz w:val="20"/>
          <w:szCs w:val="20"/>
          <w:lang w:val="en-GB"/>
        </w:rPr>
        <w:t>+</w:t>
      </w:r>
      <w:r w:rsidRPr="006D2313">
        <w:rPr>
          <w:rFonts w:ascii="Inter" w:hAnsi="Inter"/>
          <w:sz w:val="20"/>
          <w:szCs w:val="20"/>
          <w:lang w:val="en-GB"/>
        </w:rPr>
        <w:t xml:space="preserve">1.1%; EUR 134 million). Overall, the </w:t>
      </w:r>
      <w:r w:rsidRPr="006D2313">
        <w:rPr>
          <w:rFonts w:ascii="Inter" w:hAnsi="Inter"/>
          <w:b/>
          <w:bCs/>
          <w:sz w:val="20"/>
          <w:szCs w:val="20"/>
          <w:lang w:val="en-GB"/>
        </w:rPr>
        <w:t>operating result</w:t>
      </w:r>
      <w:r w:rsidRPr="006D2313">
        <w:rPr>
          <w:rFonts w:ascii="Inter" w:hAnsi="Inter"/>
          <w:sz w:val="20"/>
          <w:szCs w:val="20"/>
          <w:lang w:val="en-GB"/>
        </w:rPr>
        <w:t xml:space="preserve"> decreased to EUR 1,458 million (-3.2%; EUR 1,505 million), the </w:t>
      </w:r>
      <w:r w:rsidRPr="006D2313">
        <w:rPr>
          <w:rFonts w:ascii="Inter" w:hAnsi="Inter"/>
          <w:b/>
          <w:bCs/>
          <w:sz w:val="20"/>
          <w:szCs w:val="20"/>
          <w:lang w:val="en-GB"/>
        </w:rPr>
        <w:t>cost/income ratio</w:t>
      </w:r>
      <w:r w:rsidRPr="006D2313">
        <w:rPr>
          <w:rFonts w:ascii="Inter" w:hAnsi="Inter"/>
          <w:sz w:val="20"/>
          <w:szCs w:val="20"/>
          <w:lang w:val="en-GB"/>
        </w:rPr>
        <w:t xml:space="preserve"> stood at 48.0% (46.0%).</w:t>
      </w:r>
    </w:p>
    <w:p w14:paraId="1014C2F2" w14:textId="77777777" w:rsidR="00435013" w:rsidRDefault="00435013" w:rsidP="00435013">
      <w:pPr>
        <w:pStyle w:val="Bezmezer"/>
        <w:spacing w:line="280" w:lineRule="exact"/>
        <w:rPr>
          <w:rFonts w:ascii="Inter" w:hAnsi="Inter"/>
          <w:sz w:val="20"/>
          <w:szCs w:val="20"/>
          <w:lang w:val="en-US"/>
        </w:rPr>
      </w:pPr>
    </w:p>
    <w:p w14:paraId="3BEDC4D5" w14:textId="5F11B163" w:rsidR="004479C8" w:rsidRPr="00027A28" w:rsidRDefault="00C53995" w:rsidP="004479C8">
      <w:pPr>
        <w:pStyle w:val="Nadpis4"/>
        <w:rPr>
          <w:rFonts w:ascii="Inter" w:hAnsi="Inter" w:cs="Times New Roman (Headings CS)"/>
          <w:color w:val="auto"/>
          <w:sz w:val="22"/>
          <w:szCs w:val="22"/>
          <w:lang w:val="en-US"/>
        </w:rPr>
      </w:pPr>
      <w:r w:rsidRPr="00027A28">
        <w:rPr>
          <w:rFonts w:ascii="Inter" w:hAnsi="Inter" w:cs="Times New Roman (Headings CS)"/>
          <w:color w:val="auto"/>
          <w:sz w:val="22"/>
          <w:szCs w:val="22"/>
          <w:lang w:val="en-US"/>
        </w:rPr>
        <w:t>NPL</w:t>
      </w:r>
      <w:r w:rsidR="0025182E" w:rsidRPr="00027A28">
        <w:rPr>
          <w:rFonts w:ascii="Inter" w:hAnsi="Inter" w:cs="Times New Roman (Headings CS)"/>
          <w:color w:val="auto"/>
          <w:sz w:val="22"/>
          <w:szCs w:val="22"/>
          <w:lang w:val="en-US"/>
        </w:rPr>
        <w:t xml:space="preserve"> ratio </w:t>
      </w:r>
      <w:r w:rsidR="00AF6E36">
        <w:rPr>
          <w:rFonts w:ascii="Inter" w:hAnsi="Inter" w:cs="Times New Roman (Headings CS)"/>
          <w:color w:val="auto"/>
          <w:sz w:val="22"/>
          <w:szCs w:val="22"/>
          <w:lang w:val="en-US"/>
        </w:rPr>
        <w:t>slightly lower at 2.5%</w:t>
      </w:r>
      <w:r w:rsidR="00CE05CE" w:rsidRPr="00027A28">
        <w:rPr>
          <w:rFonts w:ascii="Inter" w:hAnsi="Inter" w:cs="Times New Roman (Headings CS)"/>
          <w:color w:val="auto"/>
          <w:sz w:val="22"/>
          <w:szCs w:val="22"/>
          <w:lang w:val="en-US"/>
        </w:rPr>
        <w:t xml:space="preserve">, </w:t>
      </w:r>
      <w:r w:rsidR="00AF6E36">
        <w:rPr>
          <w:rFonts w:ascii="Inter" w:hAnsi="Inter" w:cs="Times New Roman (Headings CS)"/>
          <w:color w:val="auto"/>
          <w:sz w:val="22"/>
          <w:szCs w:val="22"/>
          <w:lang w:val="en-US"/>
        </w:rPr>
        <w:t xml:space="preserve">while </w:t>
      </w:r>
      <w:r w:rsidR="00CE05CE" w:rsidRPr="00027A28">
        <w:rPr>
          <w:rFonts w:ascii="Inter" w:hAnsi="Inter" w:cs="Times New Roman (Headings CS)"/>
          <w:color w:val="auto"/>
          <w:sz w:val="22"/>
          <w:szCs w:val="22"/>
          <w:lang w:val="en-US"/>
        </w:rPr>
        <w:t xml:space="preserve">NPL coverage ratio </w:t>
      </w:r>
      <w:proofErr w:type="gramStart"/>
      <w:r w:rsidR="00CE05CE" w:rsidRPr="00027A28">
        <w:rPr>
          <w:rFonts w:ascii="Inter" w:hAnsi="Inter" w:cs="Times New Roman (Headings CS)"/>
          <w:color w:val="auto"/>
          <w:sz w:val="22"/>
          <w:szCs w:val="22"/>
          <w:lang w:val="en-US"/>
        </w:rPr>
        <w:t>rises</w:t>
      </w:r>
      <w:proofErr w:type="gramEnd"/>
    </w:p>
    <w:p w14:paraId="353818E5" w14:textId="3475CB8A" w:rsidR="00C53995" w:rsidRPr="00C53995" w:rsidRDefault="00C53995" w:rsidP="00C53995">
      <w:pPr>
        <w:spacing w:line="280" w:lineRule="exact"/>
        <w:rPr>
          <w:rFonts w:ascii="Inter" w:hAnsi="Inter"/>
          <w:lang w:val="en-US"/>
        </w:rPr>
      </w:pPr>
      <w:r w:rsidRPr="00C53995">
        <w:rPr>
          <w:rFonts w:ascii="Inter" w:hAnsi="Inter"/>
          <w:lang w:val="en-GB"/>
        </w:rPr>
        <w:t xml:space="preserve">The </w:t>
      </w:r>
      <w:r w:rsidRPr="00C53995">
        <w:rPr>
          <w:rFonts w:ascii="Inter" w:hAnsi="Inter"/>
          <w:b/>
          <w:bCs/>
          <w:lang w:val="en-GB"/>
        </w:rPr>
        <w:t xml:space="preserve">impairment </w:t>
      </w:r>
      <w:proofErr w:type="gramStart"/>
      <w:r w:rsidRPr="00C53995">
        <w:rPr>
          <w:rFonts w:ascii="Inter" w:hAnsi="Inter"/>
          <w:b/>
          <w:bCs/>
          <w:lang w:val="en-GB"/>
        </w:rPr>
        <w:t>result</w:t>
      </w:r>
      <w:proofErr w:type="gramEnd"/>
      <w:r w:rsidRPr="00C53995">
        <w:rPr>
          <w:rFonts w:ascii="Inter" w:hAnsi="Inter"/>
          <w:b/>
          <w:bCs/>
          <w:lang w:val="en-GB"/>
        </w:rPr>
        <w:t xml:space="preserve"> from financial instruments</w:t>
      </w:r>
      <w:r w:rsidRPr="00C53995">
        <w:rPr>
          <w:rFonts w:ascii="Inter" w:hAnsi="Inter"/>
          <w:lang w:val="en-GB"/>
        </w:rPr>
        <w:t xml:space="preserve"> amounted to EUR -85 million or 15 basis points of average gross customer loans (EUR -95 million or 18 basis points). Allocations to provisions for loans and advances were posted primarily in Austria. Positive contributions came from the recovery of loans already written off, likewise most notably in Austria. </w:t>
      </w:r>
      <w:r w:rsidRPr="00C53995">
        <w:rPr>
          <w:rFonts w:ascii="Inter" w:hAnsi="Inter"/>
          <w:lang w:val="en-US"/>
        </w:rPr>
        <w:t xml:space="preserve">The </w:t>
      </w:r>
      <w:r w:rsidRPr="00C53995">
        <w:rPr>
          <w:rStyle w:val="FettimText"/>
          <w:rFonts w:ascii="Inter" w:hAnsi="Inter"/>
          <w:lang w:val="en-US"/>
        </w:rPr>
        <w:t>NPL ratio</w:t>
      </w:r>
      <w:r w:rsidRPr="00C53995">
        <w:rPr>
          <w:rFonts w:ascii="Inter" w:hAnsi="Inter"/>
          <w:lang w:val="en-US"/>
        </w:rPr>
        <w:t xml:space="preserve"> based on gross customer loans improved to 2.5% (2.6%). The </w:t>
      </w:r>
      <w:r w:rsidRPr="00C53995">
        <w:rPr>
          <w:rStyle w:val="FettimText"/>
          <w:rFonts w:ascii="Inter" w:hAnsi="Inter"/>
          <w:lang w:val="en-US"/>
        </w:rPr>
        <w:t>NPL coverage ratio</w:t>
      </w:r>
      <w:r w:rsidRPr="00C53995">
        <w:rPr>
          <w:rFonts w:ascii="Inter" w:hAnsi="Inter"/>
          <w:lang w:val="en-US"/>
        </w:rPr>
        <w:t xml:space="preserve"> (excluding collateral) increased to 74.6% (72.5%).</w:t>
      </w:r>
    </w:p>
    <w:p w14:paraId="2BA4E6B6" w14:textId="441FD671" w:rsidR="004479C8" w:rsidRPr="006D2313" w:rsidRDefault="004479C8" w:rsidP="004479C8">
      <w:pPr>
        <w:pStyle w:val="Bezmezer"/>
        <w:spacing w:line="280" w:lineRule="exact"/>
        <w:rPr>
          <w:rFonts w:ascii="Inter" w:hAnsi="Inter"/>
          <w:sz w:val="20"/>
          <w:szCs w:val="20"/>
          <w:lang w:val="en-US"/>
        </w:rPr>
      </w:pPr>
    </w:p>
    <w:p w14:paraId="232C4723" w14:textId="39FC5821" w:rsidR="00071C74" w:rsidRPr="00027A28" w:rsidRDefault="00D75F8E" w:rsidP="00071C74">
      <w:pPr>
        <w:pStyle w:val="Nadpis4"/>
        <w:rPr>
          <w:rFonts w:ascii="Inter" w:hAnsi="Inter" w:cs="Times New Roman (Headings CS)"/>
          <w:color w:val="auto"/>
          <w:sz w:val="22"/>
          <w:szCs w:val="22"/>
          <w:lang w:val="en-US"/>
        </w:rPr>
      </w:pPr>
      <w:r w:rsidRPr="00027A28">
        <w:rPr>
          <w:rFonts w:ascii="Inter" w:hAnsi="Inter" w:cs="Times New Roman (Headings CS)"/>
          <w:color w:val="auto"/>
          <w:sz w:val="22"/>
          <w:szCs w:val="22"/>
          <w:lang w:val="en-US"/>
        </w:rPr>
        <w:t xml:space="preserve">Net profit down </w:t>
      </w:r>
      <w:r w:rsidR="0080247D" w:rsidRPr="00027A28">
        <w:rPr>
          <w:rFonts w:ascii="Inter" w:hAnsi="Inter" w:cs="Times New Roman (Headings CS)"/>
          <w:color w:val="auto"/>
          <w:sz w:val="22"/>
          <w:szCs w:val="22"/>
          <w:lang w:val="en-US"/>
        </w:rPr>
        <w:t xml:space="preserve">5.1% YoY on </w:t>
      </w:r>
      <w:r w:rsidR="00FE02FC" w:rsidRPr="00027A28">
        <w:rPr>
          <w:rFonts w:ascii="Inter" w:hAnsi="Inter" w:cs="Times New Roman (Headings CS)"/>
          <w:color w:val="auto"/>
          <w:sz w:val="22"/>
          <w:szCs w:val="22"/>
          <w:lang w:val="en-US"/>
        </w:rPr>
        <w:t xml:space="preserve">sharply </w:t>
      </w:r>
      <w:r w:rsidR="0080247D" w:rsidRPr="00027A28">
        <w:rPr>
          <w:rFonts w:ascii="Inter" w:hAnsi="Inter" w:cs="Times New Roman (Headings CS)"/>
          <w:color w:val="auto"/>
          <w:sz w:val="22"/>
          <w:szCs w:val="22"/>
          <w:lang w:val="en-US"/>
        </w:rPr>
        <w:t xml:space="preserve">higher banking </w:t>
      </w:r>
      <w:r w:rsidR="00583F36" w:rsidRPr="00027A28">
        <w:rPr>
          <w:rFonts w:ascii="Inter" w:hAnsi="Inter" w:cs="Times New Roman (Headings CS)"/>
          <w:color w:val="auto"/>
          <w:sz w:val="22"/>
          <w:szCs w:val="22"/>
          <w:lang w:val="en-US"/>
        </w:rPr>
        <w:t>taxies</w:t>
      </w:r>
    </w:p>
    <w:p w14:paraId="47E5FCCD" w14:textId="668E4B80" w:rsidR="00F8607D" w:rsidRPr="00F8607D" w:rsidRDefault="00F8607D" w:rsidP="00F8607D">
      <w:pPr>
        <w:spacing w:line="280" w:lineRule="exact"/>
        <w:rPr>
          <w:rFonts w:ascii="Inter" w:hAnsi="Inter"/>
          <w:lang w:val="en-GB"/>
        </w:rPr>
      </w:pPr>
      <w:r w:rsidRPr="00F8607D">
        <w:rPr>
          <w:rFonts w:ascii="Inter" w:hAnsi="Inter"/>
          <w:b/>
          <w:bCs/>
          <w:lang w:val="en-GB"/>
        </w:rPr>
        <w:t>Other operating result</w:t>
      </w:r>
      <w:r w:rsidRPr="00F8607D">
        <w:rPr>
          <w:rFonts w:ascii="Inter" w:hAnsi="Inter"/>
          <w:lang w:val="en-GB"/>
        </w:rPr>
        <w:t xml:space="preserve"> amounted to EUR -184 million (EUR -123 million). Expenses for annual contributions to resolution funds included in this line item already for the full year of 2025 </w:t>
      </w:r>
      <w:r w:rsidRPr="00F8607D">
        <w:rPr>
          <w:rFonts w:ascii="Inter" w:hAnsi="Inter"/>
          <w:lang w:val="en-GB"/>
        </w:rPr>
        <w:lastRenderedPageBreak/>
        <w:t>declined to EUR 15 million (EUR 27 million). Banking levies – currently payable in four core markets – went up, though. EUR 121 million (EUR 86 million) are reflected in other operating result: thereof, EUR 78 million (EUR 67 million) were charged in Hungary. In Austria, banking tax rose to 34 million (EUR 10 million) on the back of a temporarily increase, in Romania it amounted to EUR 10 million (EUR 9 million). The banking tax in Slovakia of EUR 15 million (EUR 21 million) is posted in the line item taxes on income.</w:t>
      </w:r>
    </w:p>
    <w:p w14:paraId="74B1DD2F" w14:textId="5D201ACA" w:rsidR="00071C74" w:rsidRPr="00D91525" w:rsidRDefault="00071C74" w:rsidP="00071C74">
      <w:pPr>
        <w:spacing w:line="280" w:lineRule="exact"/>
        <w:rPr>
          <w:rFonts w:ascii="Inter" w:hAnsi="Inter"/>
          <w:lang w:val="en-US"/>
        </w:rPr>
      </w:pPr>
    </w:p>
    <w:p w14:paraId="53761B2B" w14:textId="77777777" w:rsidR="00D91525" w:rsidRPr="00D91525" w:rsidRDefault="00D91525" w:rsidP="00D91525">
      <w:pPr>
        <w:rPr>
          <w:rFonts w:ascii="Inter" w:hAnsi="Inter"/>
          <w:lang w:val="en-GB"/>
        </w:rPr>
      </w:pPr>
      <w:r w:rsidRPr="00D91525">
        <w:rPr>
          <w:rFonts w:ascii="Inter" w:hAnsi="Inter"/>
          <w:b/>
          <w:bCs/>
          <w:lang w:val="en-GB"/>
        </w:rPr>
        <w:t>Taxes on income</w:t>
      </w:r>
      <w:r w:rsidRPr="00D91525">
        <w:rPr>
          <w:rFonts w:ascii="Inter" w:hAnsi="Inter"/>
          <w:lang w:val="en-GB"/>
        </w:rPr>
        <w:t xml:space="preserve"> amounted to EUR 242 million (EUR 257 million). The decline in the minority charge to EUR 197 million (EUR 244 million) was attributable to lower profitability at the savings banks. The </w:t>
      </w:r>
      <w:r w:rsidRPr="00D91525">
        <w:rPr>
          <w:rFonts w:ascii="Inter" w:hAnsi="Inter"/>
          <w:b/>
          <w:bCs/>
          <w:lang w:val="en-GB"/>
        </w:rPr>
        <w:t>net result attributable to owners of the parent</w:t>
      </w:r>
      <w:r w:rsidRPr="00D91525">
        <w:rPr>
          <w:rFonts w:ascii="Inter" w:hAnsi="Inter"/>
          <w:lang w:val="en-GB"/>
        </w:rPr>
        <w:t xml:space="preserve"> stood at EUR 743 million (EUR 783 million).</w:t>
      </w:r>
    </w:p>
    <w:p w14:paraId="667F3B40" w14:textId="77777777" w:rsidR="00071C74" w:rsidRPr="006D2313" w:rsidRDefault="00071C74" w:rsidP="00071C74">
      <w:pPr>
        <w:pStyle w:val="Bezmezer"/>
        <w:spacing w:line="280" w:lineRule="exact"/>
        <w:rPr>
          <w:rFonts w:ascii="Inter" w:hAnsi="Inter"/>
          <w:sz w:val="20"/>
          <w:szCs w:val="20"/>
          <w:lang w:val="en-US"/>
        </w:rPr>
      </w:pPr>
    </w:p>
    <w:p w14:paraId="532EC26A" w14:textId="7E2A6FB3" w:rsidR="000D7320" w:rsidRPr="00027A28" w:rsidRDefault="007112BD" w:rsidP="000D7320">
      <w:pPr>
        <w:pStyle w:val="Nadpis4"/>
        <w:rPr>
          <w:rFonts w:ascii="Inter" w:hAnsi="Inter" w:cs="Times New Roman (Headings CS)"/>
          <w:color w:val="auto"/>
          <w:sz w:val="22"/>
          <w:szCs w:val="22"/>
          <w:lang w:val="en-US"/>
        </w:rPr>
      </w:pPr>
      <w:r w:rsidRPr="00027A28">
        <w:rPr>
          <w:rFonts w:ascii="Inter" w:hAnsi="Inter" w:cs="Times New Roman (Headings CS)"/>
          <w:color w:val="auto"/>
          <w:sz w:val="22"/>
          <w:szCs w:val="22"/>
          <w:lang w:val="en-US"/>
        </w:rPr>
        <w:t xml:space="preserve">Growth in both </w:t>
      </w:r>
      <w:r w:rsidR="00027A28" w:rsidRPr="00027A28">
        <w:rPr>
          <w:rFonts w:ascii="Inter" w:hAnsi="Inter" w:cs="Times New Roman (Headings CS)"/>
          <w:color w:val="auto"/>
          <w:sz w:val="22"/>
          <w:szCs w:val="22"/>
          <w:lang w:val="en-US"/>
        </w:rPr>
        <w:t>loan and deposit volumes</w:t>
      </w:r>
    </w:p>
    <w:p w14:paraId="66B3D15A" w14:textId="378ABFE8" w:rsidR="001D745F" w:rsidRPr="001323A7" w:rsidRDefault="001D745F" w:rsidP="001D745F">
      <w:pPr>
        <w:spacing w:line="280" w:lineRule="exact"/>
        <w:rPr>
          <w:rFonts w:ascii="Inter" w:hAnsi="Inter"/>
          <w:lang w:val="en-US"/>
        </w:rPr>
      </w:pPr>
      <w:r w:rsidRPr="001323A7">
        <w:rPr>
          <w:rStyle w:val="FettimText"/>
          <w:rFonts w:ascii="Inter" w:hAnsi="Inter"/>
          <w:lang w:val="en-US"/>
        </w:rPr>
        <w:t>Total equity</w:t>
      </w:r>
      <w:r w:rsidRPr="001323A7">
        <w:rPr>
          <w:rFonts w:ascii="Inter" w:hAnsi="Inter"/>
          <w:lang w:val="en-US"/>
        </w:rPr>
        <w:t xml:space="preserve"> not including AT1 instruments rose to EUR 29,1 billion (EUR 28.1 billion). After regulatory deductions and filtering in accordance with the Capital Requirements Regulation </w:t>
      </w:r>
      <w:r w:rsidRPr="00D32A13">
        <w:rPr>
          <w:rFonts w:ascii="Inter" w:hAnsi="Inter"/>
          <w:lang w:val="en-US"/>
        </w:rPr>
        <w:t xml:space="preserve">(CRR), </w:t>
      </w:r>
      <w:r w:rsidRPr="00D32A13">
        <w:rPr>
          <w:rStyle w:val="FettimText"/>
          <w:rFonts w:ascii="Inter" w:hAnsi="Inter"/>
          <w:lang w:val="en-US"/>
        </w:rPr>
        <w:t>common equity tier 1 capital</w:t>
      </w:r>
      <w:r w:rsidRPr="00D32A13">
        <w:rPr>
          <w:rFonts w:ascii="Inter" w:hAnsi="Inter"/>
          <w:lang w:val="en-US"/>
        </w:rPr>
        <w:t xml:space="preserve"> (CET1</w:t>
      </w:r>
      <w:r w:rsidR="009E4B98" w:rsidRPr="00D32A13">
        <w:rPr>
          <w:rFonts w:ascii="Inter" w:hAnsi="Inter"/>
          <w:lang w:val="en-US"/>
        </w:rPr>
        <w:t>, phased-in</w:t>
      </w:r>
      <w:r w:rsidRPr="00D32A13">
        <w:rPr>
          <w:rFonts w:ascii="Inter" w:hAnsi="Inter"/>
          <w:lang w:val="en-US"/>
        </w:rPr>
        <w:t xml:space="preserve">) </w:t>
      </w:r>
      <w:proofErr w:type="spellStart"/>
      <w:r w:rsidRPr="00D32A13">
        <w:rPr>
          <w:rFonts w:ascii="Inter" w:hAnsi="Inter"/>
          <w:lang w:val="en-US"/>
        </w:rPr>
        <w:t>equalled</w:t>
      </w:r>
      <w:proofErr w:type="spellEnd"/>
      <w:r w:rsidRPr="00D32A13">
        <w:rPr>
          <w:rFonts w:ascii="Inter" w:hAnsi="Inter"/>
          <w:lang w:val="en-US"/>
        </w:rPr>
        <w:t xml:space="preserve"> EUR </w:t>
      </w:r>
      <w:r w:rsidR="009E4B98" w:rsidRPr="00D32A13">
        <w:rPr>
          <w:rFonts w:ascii="Inter" w:hAnsi="Inter"/>
          <w:lang w:val="en-US"/>
        </w:rPr>
        <w:t>24.0</w:t>
      </w:r>
      <w:r w:rsidRPr="00D32A13">
        <w:rPr>
          <w:rFonts w:ascii="Inter" w:hAnsi="Inter"/>
          <w:lang w:val="en-US"/>
        </w:rPr>
        <w:t xml:space="preserve"> billion (EUR 24.0 billion), total </w:t>
      </w:r>
      <w:r w:rsidRPr="00D32A13">
        <w:rPr>
          <w:rStyle w:val="FettimText"/>
          <w:rFonts w:ascii="Inter" w:hAnsi="Inter"/>
          <w:lang w:val="en-US"/>
        </w:rPr>
        <w:t>own funds</w:t>
      </w:r>
      <w:r w:rsidRPr="00D32A13">
        <w:rPr>
          <w:rFonts w:ascii="Inter" w:hAnsi="Inter"/>
          <w:lang w:val="en-US"/>
        </w:rPr>
        <w:t xml:space="preserve"> EUR </w:t>
      </w:r>
      <w:r w:rsidR="009E4B98" w:rsidRPr="00D32A13">
        <w:rPr>
          <w:rFonts w:ascii="Inter" w:hAnsi="Inter"/>
          <w:lang w:val="en-US"/>
        </w:rPr>
        <w:t>31.4</w:t>
      </w:r>
      <w:r w:rsidRPr="00D32A13">
        <w:rPr>
          <w:rFonts w:ascii="Inter" w:hAnsi="Inter"/>
          <w:lang w:val="en-US"/>
        </w:rPr>
        <w:t xml:space="preserve"> billion (EUR 30.9 billion). Interim profit for the first quarter is not included in the above figures. Total risk (</w:t>
      </w:r>
      <w:r w:rsidRPr="00D32A13">
        <w:rPr>
          <w:rStyle w:val="FettimText"/>
          <w:rFonts w:ascii="Inter" w:hAnsi="Inter"/>
          <w:lang w:val="en-US"/>
        </w:rPr>
        <w:t>risk-weighted assets</w:t>
      </w:r>
      <w:r w:rsidRPr="00D32A13">
        <w:rPr>
          <w:rFonts w:ascii="Inter" w:hAnsi="Inter"/>
          <w:lang w:val="en-US"/>
        </w:rPr>
        <w:t xml:space="preserve"> including credit, </w:t>
      </w:r>
      <w:proofErr w:type="gramStart"/>
      <w:r w:rsidRPr="00D32A13">
        <w:rPr>
          <w:rFonts w:ascii="Inter" w:hAnsi="Inter"/>
          <w:lang w:val="en-US"/>
        </w:rPr>
        <w:t>market</w:t>
      </w:r>
      <w:proofErr w:type="gramEnd"/>
      <w:r w:rsidRPr="00D32A13">
        <w:rPr>
          <w:rFonts w:ascii="Inter" w:hAnsi="Inter"/>
          <w:lang w:val="en-US"/>
        </w:rPr>
        <w:t xml:space="preserve"> and operational risk, </w:t>
      </w:r>
      <w:r w:rsidR="00B7318C" w:rsidRPr="00D32A13">
        <w:rPr>
          <w:rFonts w:ascii="Inter" w:hAnsi="Inter"/>
          <w:lang w:val="en-US"/>
        </w:rPr>
        <w:t>phased-in</w:t>
      </w:r>
      <w:r w:rsidRPr="00D32A13">
        <w:rPr>
          <w:rFonts w:ascii="Inter" w:hAnsi="Inter"/>
          <w:lang w:val="en-US"/>
        </w:rPr>
        <w:t xml:space="preserve">) </w:t>
      </w:r>
      <w:r w:rsidR="009D3F4C" w:rsidRPr="00D32A13">
        <w:rPr>
          <w:rFonts w:ascii="Inter" w:hAnsi="Inter"/>
          <w:lang w:val="en-US"/>
        </w:rPr>
        <w:t xml:space="preserve">declined </w:t>
      </w:r>
      <w:r w:rsidRPr="00D32A13">
        <w:rPr>
          <w:rFonts w:ascii="Inter" w:hAnsi="Inter"/>
          <w:lang w:val="en-US"/>
        </w:rPr>
        <w:t xml:space="preserve">to EUR </w:t>
      </w:r>
      <w:r w:rsidR="009D3F4C" w:rsidRPr="00D32A13">
        <w:rPr>
          <w:rFonts w:ascii="Inter" w:hAnsi="Inter"/>
          <w:lang w:val="en-US"/>
        </w:rPr>
        <w:t>151.6</w:t>
      </w:r>
      <w:r w:rsidRPr="00D32A13">
        <w:rPr>
          <w:rFonts w:ascii="Inter" w:hAnsi="Inter"/>
          <w:lang w:val="en-US"/>
        </w:rPr>
        <w:t xml:space="preserve"> billion (EUR </w:t>
      </w:r>
      <w:r w:rsidR="009D3F4C" w:rsidRPr="00D32A13">
        <w:rPr>
          <w:rFonts w:ascii="Inter" w:hAnsi="Inter"/>
          <w:lang w:val="en-US"/>
        </w:rPr>
        <w:t>157.2</w:t>
      </w:r>
      <w:r w:rsidRPr="00D32A13">
        <w:rPr>
          <w:rFonts w:ascii="Inter" w:hAnsi="Inter"/>
          <w:lang w:val="en-US"/>
        </w:rPr>
        <w:t xml:space="preserve"> billion). The </w:t>
      </w:r>
      <w:r w:rsidRPr="00D32A13">
        <w:rPr>
          <w:rStyle w:val="FettimText"/>
          <w:rFonts w:ascii="Inter" w:hAnsi="Inter"/>
          <w:lang w:val="en-US"/>
        </w:rPr>
        <w:t>common equity tier 1 ratio</w:t>
      </w:r>
      <w:r w:rsidRPr="00D32A13">
        <w:rPr>
          <w:rFonts w:ascii="Inter" w:hAnsi="Inter"/>
          <w:lang w:val="en-US"/>
        </w:rPr>
        <w:t xml:space="preserve"> (CET1</w:t>
      </w:r>
      <w:r w:rsidR="00AC2BDF" w:rsidRPr="00D32A13">
        <w:rPr>
          <w:rFonts w:ascii="Inter" w:hAnsi="Inter"/>
          <w:lang w:val="en-US"/>
        </w:rPr>
        <w:t>, phased-in</w:t>
      </w:r>
      <w:r w:rsidRPr="00D32A13">
        <w:rPr>
          <w:rFonts w:ascii="Inter" w:hAnsi="Inter"/>
          <w:lang w:val="en-US"/>
        </w:rPr>
        <w:t>) stood at 15.</w:t>
      </w:r>
      <w:r w:rsidR="00AC2BDF" w:rsidRPr="00D32A13">
        <w:rPr>
          <w:rFonts w:ascii="Inter" w:hAnsi="Inter"/>
          <w:lang w:val="en-US"/>
        </w:rPr>
        <w:t>9</w:t>
      </w:r>
      <w:r w:rsidRPr="00D32A13">
        <w:rPr>
          <w:rFonts w:ascii="Inter" w:hAnsi="Inter"/>
          <w:lang w:val="en-US"/>
        </w:rPr>
        <w:t>% (15.</w:t>
      </w:r>
      <w:r w:rsidR="00AC2BDF" w:rsidRPr="00D32A13">
        <w:rPr>
          <w:rFonts w:ascii="Inter" w:hAnsi="Inter"/>
          <w:lang w:val="en-US"/>
        </w:rPr>
        <w:t>3</w:t>
      </w:r>
      <w:r w:rsidRPr="00D32A13">
        <w:rPr>
          <w:rFonts w:ascii="Inter" w:hAnsi="Inter"/>
          <w:lang w:val="en-US"/>
        </w:rPr>
        <w:t xml:space="preserve">%), the </w:t>
      </w:r>
      <w:r w:rsidRPr="00D32A13">
        <w:rPr>
          <w:rStyle w:val="FettimText"/>
          <w:rFonts w:ascii="Inter" w:hAnsi="Inter"/>
          <w:lang w:val="en-US"/>
        </w:rPr>
        <w:t>total capital ratio</w:t>
      </w:r>
      <w:r w:rsidRPr="00D32A13">
        <w:rPr>
          <w:rFonts w:ascii="Inter" w:hAnsi="Inter"/>
          <w:lang w:val="en-US"/>
        </w:rPr>
        <w:t xml:space="preserve"> at </w:t>
      </w:r>
      <w:r w:rsidR="00AC2BDF" w:rsidRPr="00D32A13">
        <w:rPr>
          <w:rFonts w:ascii="Inter" w:hAnsi="Inter"/>
          <w:lang w:val="en-US"/>
        </w:rPr>
        <w:t>20.7</w:t>
      </w:r>
      <w:r w:rsidRPr="00D32A13">
        <w:rPr>
          <w:rFonts w:ascii="Inter" w:hAnsi="Inter"/>
          <w:lang w:val="en-US"/>
        </w:rPr>
        <w:t>% (</w:t>
      </w:r>
      <w:r w:rsidR="00AC2BDF" w:rsidRPr="00D32A13">
        <w:rPr>
          <w:rFonts w:ascii="Inter" w:hAnsi="Inter"/>
          <w:lang w:val="en-US"/>
        </w:rPr>
        <w:t>19.7</w:t>
      </w:r>
      <w:r w:rsidRPr="00D32A13">
        <w:rPr>
          <w:rFonts w:ascii="Inter" w:hAnsi="Inter"/>
          <w:lang w:val="en-US"/>
        </w:rPr>
        <w:t>%).</w:t>
      </w:r>
    </w:p>
    <w:p w14:paraId="1B7349E8" w14:textId="77777777" w:rsidR="001D745F" w:rsidRPr="001D745F" w:rsidRDefault="001D745F" w:rsidP="001D745F">
      <w:pPr>
        <w:spacing w:line="280" w:lineRule="exact"/>
        <w:rPr>
          <w:rFonts w:ascii="Inter" w:hAnsi="Inter"/>
          <w:highlight w:val="yellow"/>
          <w:lang w:val="en-US"/>
        </w:rPr>
      </w:pPr>
    </w:p>
    <w:p w14:paraId="7033AAF5" w14:textId="49BCEA4B" w:rsidR="004479C8" w:rsidRPr="00A239C0" w:rsidRDefault="001D745F" w:rsidP="00A239C0">
      <w:pPr>
        <w:spacing w:line="280" w:lineRule="exact"/>
        <w:rPr>
          <w:rFonts w:ascii="Inter" w:hAnsi="Inter"/>
          <w:lang w:val="en-GB"/>
        </w:rPr>
      </w:pPr>
      <w:r w:rsidRPr="001D745F">
        <w:rPr>
          <w:rFonts w:ascii="Inter" w:hAnsi="Inter"/>
          <w:b/>
          <w:bCs/>
          <w:lang w:val="en-GB"/>
        </w:rPr>
        <w:t>Total assets</w:t>
      </w:r>
      <w:r w:rsidRPr="001D745F">
        <w:rPr>
          <w:rFonts w:ascii="Inter" w:hAnsi="Inter"/>
          <w:lang w:val="en-GB"/>
        </w:rPr>
        <w:t xml:space="preserve"> increased to EUR 358.0 billion (+1.2%; EUR 353.7 billion). On the asset side, cash and cash balances declined to EUR 23.9 billion (EUR 25.1 billion); loans and advances to banks were lower at EUR 26,8 billion (EUR 27.0 billion). Year to date, </w:t>
      </w:r>
      <w:r w:rsidRPr="001D745F">
        <w:rPr>
          <w:rFonts w:ascii="Inter" w:hAnsi="Inter"/>
          <w:b/>
          <w:bCs/>
          <w:lang w:val="en-GB"/>
        </w:rPr>
        <w:t>loans and advances to customers</w:t>
      </w:r>
      <w:r w:rsidRPr="001D745F">
        <w:rPr>
          <w:rFonts w:ascii="Inter" w:hAnsi="Inter"/>
          <w:lang w:val="en-GB"/>
        </w:rPr>
        <w:t xml:space="preserve"> rose to EUR 220.1 billion (+0.9%; EUR 218.1 billion). On the liability side, deposits from banks declined to EUR 16.6 billion (EUR 21.3 billion). </w:t>
      </w:r>
      <w:r w:rsidRPr="001D745F">
        <w:rPr>
          <w:rFonts w:ascii="Inter" w:hAnsi="Inter"/>
          <w:b/>
          <w:bCs/>
          <w:lang w:val="en-GB"/>
        </w:rPr>
        <w:t>Customer deposits</w:t>
      </w:r>
      <w:r w:rsidRPr="001D745F">
        <w:rPr>
          <w:rFonts w:ascii="Inter" w:hAnsi="Inter"/>
          <w:lang w:val="en-GB"/>
        </w:rPr>
        <w:t xml:space="preserve"> rose – most strongly in the Czech Republic and Austria – to EUR 246.1 billion (+1.9%; EUR 241.7 billion). The </w:t>
      </w:r>
      <w:r w:rsidRPr="001D745F">
        <w:rPr>
          <w:rFonts w:ascii="Inter" w:hAnsi="Inter"/>
          <w:b/>
          <w:bCs/>
          <w:lang w:val="en-GB"/>
        </w:rPr>
        <w:t>loan-to-deposit ratio</w:t>
      </w:r>
      <w:r w:rsidRPr="001D745F">
        <w:rPr>
          <w:rFonts w:ascii="Inter" w:hAnsi="Inter"/>
          <w:lang w:val="en-GB"/>
        </w:rPr>
        <w:t xml:space="preserve"> stood at 89.4% (90.2%)</w:t>
      </w:r>
      <w:r w:rsidR="00B27117">
        <w:rPr>
          <w:rFonts w:ascii="Inter" w:hAnsi="Inter"/>
          <w:lang w:val="en-GB"/>
        </w:rPr>
        <w:t>.</w:t>
      </w:r>
    </w:p>
    <w:p w14:paraId="10C04A44" w14:textId="77777777" w:rsidR="004479C8" w:rsidRPr="00A85FA9" w:rsidRDefault="004479C8" w:rsidP="00435013">
      <w:pPr>
        <w:pStyle w:val="Bezmezer"/>
        <w:spacing w:line="280" w:lineRule="exact"/>
        <w:rPr>
          <w:rFonts w:ascii="Inter" w:hAnsi="Inter"/>
          <w:sz w:val="20"/>
          <w:szCs w:val="20"/>
          <w:lang w:val="en-US"/>
        </w:rPr>
      </w:pPr>
    </w:p>
    <w:p w14:paraId="078784CD" w14:textId="13AE7895" w:rsidR="00435013" w:rsidRPr="00D32A13" w:rsidRDefault="00557FF6" w:rsidP="00435013">
      <w:pPr>
        <w:pStyle w:val="Nadpis4"/>
        <w:rPr>
          <w:rFonts w:ascii="Inter" w:hAnsi="Inter" w:cs="Times New Roman (Headings CS)"/>
          <w:color w:val="auto"/>
          <w:sz w:val="22"/>
          <w:szCs w:val="22"/>
          <w:lang w:val="en-US"/>
        </w:rPr>
      </w:pPr>
      <w:r w:rsidRPr="00D32A13">
        <w:rPr>
          <w:rFonts w:ascii="Inter" w:hAnsi="Inter" w:cs="Times New Roman (Headings CS)"/>
          <w:color w:val="auto"/>
          <w:sz w:val="22"/>
          <w:szCs w:val="22"/>
          <w:lang w:val="en-US"/>
        </w:rPr>
        <w:t>Outlook</w:t>
      </w:r>
      <w:r w:rsidR="00A76FEF" w:rsidRPr="00D32A13">
        <w:rPr>
          <w:rFonts w:ascii="Inter" w:hAnsi="Inter" w:cs="Times New Roman (Headings CS)"/>
          <w:color w:val="auto"/>
          <w:sz w:val="22"/>
          <w:szCs w:val="22"/>
          <w:lang w:val="en-US"/>
        </w:rPr>
        <w:t xml:space="preserve"> 2025</w:t>
      </w:r>
    </w:p>
    <w:p w14:paraId="0334C57B" w14:textId="1A8696E9" w:rsidR="007E1B77" w:rsidRPr="00D32A13" w:rsidRDefault="007E1B77" w:rsidP="007E1B77">
      <w:pPr>
        <w:pStyle w:val="Bezmezer"/>
        <w:spacing w:line="280" w:lineRule="exact"/>
        <w:rPr>
          <w:rFonts w:ascii="Inter" w:hAnsi="Inter"/>
          <w:sz w:val="20"/>
          <w:szCs w:val="20"/>
          <w:lang w:val="en-US"/>
        </w:rPr>
      </w:pPr>
      <w:proofErr w:type="spellStart"/>
      <w:r w:rsidRPr="00D32A13">
        <w:rPr>
          <w:rFonts w:ascii="Inter" w:hAnsi="Inter"/>
          <w:sz w:val="20"/>
          <w:szCs w:val="20"/>
          <w:lang w:val="en-US"/>
        </w:rPr>
        <w:t>Erste</w:t>
      </w:r>
      <w:proofErr w:type="spellEnd"/>
      <w:r w:rsidRPr="00D32A13">
        <w:rPr>
          <w:rFonts w:ascii="Inter" w:hAnsi="Inter"/>
          <w:sz w:val="20"/>
          <w:szCs w:val="20"/>
          <w:lang w:val="en-US"/>
        </w:rPr>
        <w:t xml:space="preserve"> Group’s goal for 2025 is to achieve a </w:t>
      </w:r>
      <w:r w:rsidRPr="00D32A13">
        <w:rPr>
          <w:rFonts w:ascii="Inter" w:hAnsi="Inter"/>
          <w:b/>
          <w:bCs/>
          <w:sz w:val="20"/>
          <w:szCs w:val="20"/>
          <w:lang w:val="en-US"/>
        </w:rPr>
        <w:t>return on tangible equity (ROTE)</w:t>
      </w:r>
      <w:r w:rsidRPr="00D32A13">
        <w:rPr>
          <w:rFonts w:ascii="Inter" w:hAnsi="Inter"/>
          <w:sz w:val="20"/>
          <w:szCs w:val="20"/>
          <w:lang w:val="en-US"/>
        </w:rPr>
        <w:t xml:space="preserve"> of about 15%. This ambition is built on the following key assumptions. Firstly, the macroeconomic environment, primarily as measured by real GDP growth, in </w:t>
      </w:r>
      <w:proofErr w:type="spellStart"/>
      <w:r w:rsidRPr="00D32A13">
        <w:rPr>
          <w:rFonts w:ascii="Inter" w:hAnsi="Inter"/>
          <w:sz w:val="20"/>
          <w:szCs w:val="20"/>
          <w:lang w:val="en-US"/>
        </w:rPr>
        <w:t>Erste</w:t>
      </w:r>
      <w:proofErr w:type="spellEnd"/>
      <w:r w:rsidRPr="00D32A13">
        <w:rPr>
          <w:rFonts w:ascii="Inter" w:hAnsi="Inter"/>
          <w:sz w:val="20"/>
          <w:szCs w:val="20"/>
          <w:lang w:val="en-US"/>
        </w:rPr>
        <w:t xml:space="preserve"> Group’s seven core markets remains robust and, on average, improves moderately versus 2024. Although the GDP forecasts have been slightly revised downwards, </w:t>
      </w:r>
      <w:proofErr w:type="spellStart"/>
      <w:r w:rsidRPr="00D32A13">
        <w:rPr>
          <w:rFonts w:ascii="Inter" w:hAnsi="Inter"/>
          <w:sz w:val="20"/>
          <w:szCs w:val="20"/>
          <w:lang w:val="en-US"/>
        </w:rPr>
        <w:t>Erste</w:t>
      </w:r>
      <w:proofErr w:type="spellEnd"/>
      <w:r w:rsidRPr="00D32A13">
        <w:rPr>
          <w:rFonts w:ascii="Inter" w:hAnsi="Inter"/>
          <w:sz w:val="20"/>
          <w:szCs w:val="20"/>
          <w:lang w:val="en-US"/>
        </w:rPr>
        <w:t xml:space="preserve"> Group expects robust </w:t>
      </w:r>
      <w:r w:rsidRPr="00D32A13">
        <w:rPr>
          <w:rFonts w:ascii="Inter" w:hAnsi="Inter"/>
          <w:b/>
          <w:bCs/>
          <w:sz w:val="20"/>
          <w:szCs w:val="20"/>
          <w:lang w:val="en-US"/>
        </w:rPr>
        <w:t>loan growth</w:t>
      </w:r>
      <w:r w:rsidRPr="00D32A13">
        <w:rPr>
          <w:rFonts w:ascii="Inter" w:hAnsi="Inter"/>
          <w:sz w:val="20"/>
          <w:szCs w:val="20"/>
          <w:lang w:val="en-US"/>
        </w:rPr>
        <w:t xml:space="preserve"> of about 5% in 2025, supported by growth in the retail as well as the corporate business. Secondly, operating performance as defined by </w:t>
      </w:r>
      <w:r w:rsidRPr="00D32A13">
        <w:rPr>
          <w:rFonts w:ascii="Inter" w:hAnsi="Inter"/>
          <w:b/>
          <w:bCs/>
          <w:sz w:val="20"/>
          <w:szCs w:val="20"/>
          <w:lang w:val="en-US"/>
        </w:rPr>
        <w:t>operating result</w:t>
      </w:r>
      <w:r w:rsidRPr="00D32A13">
        <w:rPr>
          <w:rFonts w:ascii="Inter" w:hAnsi="Inter"/>
          <w:sz w:val="20"/>
          <w:szCs w:val="20"/>
          <w:lang w:val="en-US"/>
        </w:rPr>
        <w:t xml:space="preserve"> to stay broadly stable versus 2024, as </w:t>
      </w:r>
      <w:r w:rsidRPr="00D32A13">
        <w:rPr>
          <w:rFonts w:ascii="Inter" w:hAnsi="Inter"/>
          <w:b/>
          <w:bCs/>
          <w:sz w:val="20"/>
          <w:szCs w:val="20"/>
          <w:lang w:val="en-US"/>
        </w:rPr>
        <w:t>net interest income</w:t>
      </w:r>
      <w:r w:rsidRPr="00D32A13">
        <w:rPr>
          <w:rFonts w:ascii="Inter" w:hAnsi="Inter"/>
          <w:sz w:val="20"/>
          <w:szCs w:val="20"/>
          <w:lang w:val="en-US"/>
        </w:rPr>
        <w:t xml:space="preserve"> is projected to remain flat year-on-year, </w:t>
      </w:r>
      <w:r w:rsidRPr="00D32A13">
        <w:rPr>
          <w:rFonts w:ascii="Inter" w:hAnsi="Inter"/>
          <w:b/>
          <w:bCs/>
          <w:sz w:val="20"/>
          <w:szCs w:val="20"/>
          <w:lang w:val="en-US"/>
        </w:rPr>
        <w:t>fee and commission income</w:t>
      </w:r>
      <w:r w:rsidRPr="00D32A13">
        <w:rPr>
          <w:rFonts w:ascii="Inter" w:hAnsi="Inter"/>
          <w:sz w:val="20"/>
          <w:szCs w:val="20"/>
          <w:lang w:val="en-US"/>
        </w:rPr>
        <w:t xml:space="preserve"> to grow by more than 5% (upgrade from prior assumption of about 5% based on development in the first quarter), </w:t>
      </w:r>
      <w:r w:rsidRPr="00D32A13">
        <w:rPr>
          <w:rFonts w:ascii="Inter" w:hAnsi="Inter"/>
          <w:b/>
          <w:bCs/>
          <w:sz w:val="20"/>
          <w:szCs w:val="20"/>
          <w:lang w:val="en-US"/>
        </w:rPr>
        <w:t>net trading and fair result</w:t>
      </w:r>
      <w:r w:rsidRPr="00D32A13">
        <w:rPr>
          <w:rFonts w:ascii="Inter" w:hAnsi="Inter"/>
          <w:sz w:val="20"/>
          <w:szCs w:val="20"/>
          <w:lang w:val="en-US"/>
        </w:rPr>
        <w:t xml:space="preserve"> produces a similar revenue contribution as in 2024, and </w:t>
      </w:r>
      <w:r w:rsidRPr="00D32A13">
        <w:rPr>
          <w:rFonts w:ascii="Inter" w:hAnsi="Inter"/>
          <w:b/>
          <w:bCs/>
          <w:sz w:val="20"/>
          <w:szCs w:val="20"/>
          <w:lang w:val="en-US"/>
        </w:rPr>
        <w:t>operating expenses</w:t>
      </w:r>
      <w:r w:rsidRPr="00D32A13">
        <w:rPr>
          <w:rFonts w:ascii="Inter" w:hAnsi="Inter"/>
          <w:sz w:val="20"/>
          <w:szCs w:val="20"/>
          <w:lang w:val="en-US"/>
        </w:rPr>
        <w:t xml:space="preserve"> grow on the order of 5%. Consequently, the </w:t>
      </w:r>
      <w:r w:rsidRPr="00D32A13">
        <w:rPr>
          <w:rFonts w:ascii="Inter" w:hAnsi="Inter"/>
          <w:b/>
          <w:bCs/>
          <w:sz w:val="20"/>
          <w:szCs w:val="20"/>
          <w:lang w:val="en-US"/>
        </w:rPr>
        <w:t>cost/income ratio</w:t>
      </w:r>
      <w:r w:rsidRPr="00D32A13">
        <w:rPr>
          <w:rFonts w:ascii="Inter" w:hAnsi="Inter"/>
          <w:sz w:val="20"/>
          <w:szCs w:val="20"/>
          <w:lang w:val="en-US"/>
        </w:rPr>
        <w:t xml:space="preserve"> is expected to be below 50%. Thirdly, </w:t>
      </w:r>
      <w:r w:rsidRPr="00D32A13">
        <w:rPr>
          <w:rFonts w:ascii="Inter" w:hAnsi="Inter"/>
          <w:b/>
          <w:bCs/>
          <w:sz w:val="20"/>
          <w:szCs w:val="20"/>
          <w:lang w:val="en-US"/>
        </w:rPr>
        <w:t>risk costs</w:t>
      </w:r>
      <w:r w:rsidRPr="00D32A13">
        <w:rPr>
          <w:rFonts w:ascii="Inter" w:hAnsi="Inter"/>
          <w:sz w:val="20"/>
          <w:szCs w:val="20"/>
          <w:lang w:val="en-US"/>
        </w:rPr>
        <w:t xml:space="preserve"> </w:t>
      </w:r>
      <w:proofErr w:type="spellStart"/>
      <w:r w:rsidRPr="00D32A13">
        <w:rPr>
          <w:rFonts w:ascii="Inter" w:hAnsi="Inter"/>
          <w:sz w:val="20"/>
          <w:szCs w:val="20"/>
          <w:lang w:val="en-US"/>
        </w:rPr>
        <w:t>increase</w:t>
      </w:r>
      <w:proofErr w:type="spellEnd"/>
      <w:r w:rsidRPr="00D32A13">
        <w:rPr>
          <w:rFonts w:ascii="Inter" w:hAnsi="Inter"/>
          <w:sz w:val="20"/>
          <w:szCs w:val="20"/>
          <w:lang w:val="en-US"/>
        </w:rPr>
        <w:t xml:space="preserve"> only slightly to about 25 basis points of average customer loans from levels seen in 2024, as the asset quality environment remains strong across Central and Eastern Europe while only deteriorating moderately in Austria. In </w:t>
      </w:r>
      <w:r w:rsidRPr="00D32A13">
        <w:rPr>
          <w:rFonts w:ascii="Inter" w:hAnsi="Inter"/>
          <w:sz w:val="20"/>
          <w:szCs w:val="20"/>
          <w:lang w:val="en-US"/>
        </w:rPr>
        <w:lastRenderedPageBreak/>
        <w:t>addition, regulatory costs, comprising deposit insurance and resolution fund contributions, banking levies such as banking and financial transaction taxes as well as sector-specific extra profit taxes, and, the cost of supervision, in aggregate, are expected to increase due to an announced increased banking tax in Austria.</w:t>
      </w:r>
    </w:p>
    <w:p w14:paraId="1A889FAE" w14:textId="77777777" w:rsidR="007E1B77" w:rsidRPr="00D32A13" w:rsidRDefault="007E1B77" w:rsidP="007E1B77">
      <w:pPr>
        <w:pStyle w:val="Bezmezer"/>
        <w:spacing w:line="280" w:lineRule="exact"/>
        <w:rPr>
          <w:rFonts w:ascii="Inter" w:hAnsi="Inter"/>
          <w:sz w:val="20"/>
          <w:szCs w:val="20"/>
          <w:lang w:val="en-US"/>
        </w:rPr>
      </w:pPr>
    </w:p>
    <w:p w14:paraId="06629F33" w14:textId="77777777" w:rsidR="007E1B77" w:rsidRPr="00C43EA3" w:rsidRDefault="007E1B77" w:rsidP="007E1B77">
      <w:pPr>
        <w:pStyle w:val="Bezmezer"/>
        <w:spacing w:line="280" w:lineRule="exact"/>
        <w:rPr>
          <w:rFonts w:ascii="Inter" w:hAnsi="Inter"/>
          <w:sz w:val="20"/>
          <w:szCs w:val="20"/>
          <w:lang w:val="en-US"/>
        </w:rPr>
      </w:pPr>
      <w:r w:rsidRPr="00D32A13">
        <w:rPr>
          <w:rFonts w:ascii="Inter" w:hAnsi="Inter"/>
          <w:sz w:val="20"/>
          <w:szCs w:val="20"/>
          <w:lang w:val="en-US"/>
        </w:rPr>
        <w:t xml:space="preserve">In line with the projected strong profit performance, the </w:t>
      </w:r>
      <w:r w:rsidRPr="00D32A13">
        <w:rPr>
          <w:rFonts w:ascii="Inter" w:hAnsi="Inter"/>
          <w:b/>
          <w:bCs/>
          <w:sz w:val="20"/>
          <w:szCs w:val="20"/>
          <w:lang w:val="en-US"/>
        </w:rPr>
        <w:t>CET1 ratio</w:t>
      </w:r>
      <w:r w:rsidRPr="00D32A13">
        <w:rPr>
          <w:rFonts w:ascii="Inter" w:hAnsi="Inter"/>
          <w:sz w:val="20"/>
          <w:szCs w:val="20"/>
          <w:lang w:val="en-US"/>
        </w:rPr>
        <w:t xml:space="preserve"> is expected to increase in 2025, providing enhanced capital return and/or M&amp;A flexibility. </w:t>
      </w:r>
      <w:r w:rsidRPr="00D32A13">
        <w:rPr>
          <w:rFonts w:ascii="Inter" w:hAnsi="Inter" w:cs="Arial"/>
          <w:sz w:val="20"/>
          <w:szCs w:val="20"/>
          <w:lang w:val="en-GB"/>
        </w:rPr>
        <w:t>The adjusted net profit of 2024 (net profit after deduction of AT1-dividends) allows</w:t>
      </w:r>
      <w:r w:rsidRPr="00D32A13">
        <w:rPr>
          <w:rFonts w:ascii="Inter" w:hAnsi="Inter"/>
          <w:sz w:val="20"/>
          <w:lang w:val="en-GB"/>
        </w:rPr>
        <w:t xml:space="preserve"> </w:t>
      </w:r>
      <w:proofErr w:type="spellStart"/>
      <w:r w:rsidRPr="00D32A13">
        <w:rPr>
          <w:rFonts w:ascii="Inter" w:hAnsi="Inter"/>
          <w:sz w:val="20"/>
          <w:lang w:val="en-GB"/>
        </w:rPr>
        <w:t>Erste</w:t>
      </w:r>
      <w:proofErr w:type="spellEnd"/>
      <w:r w:rsidRPr="00D32A13">
        <w:rPr>
          <w:rFonts w:ascii="Inter" w:hAnsi="Inter"/>
          <w:sz w:val="20"/>
          <w:lang w:val="en-GB"/>
        </w:rPr>
        <w:t xml:space="preserve"> Group </w:t>
      </w:r>
      <w:r w:rsidRPr="00D32A13">
        <w:rPr>
          <w:rFonts w:ascii="Inter" w:hAnsi="Inter" w:cs="Arial"/>
          <w:sz w:val="20"/>
          <w:szCs w:val="20"/>
          <w:lang w:val="en-US"/>
        </w:rPr>
        <w:t>to propose a regular dividend of EUR 3.00 per share, as well as the execution of a third share buyback in the amount of EUR 700 million, subject to regulatory approval.</w:t>
      </w:r>
    </w:p>
    <w:p w14:paraId="74FE5980" w14:textId="10820880" w:rsidR="00435013" w:rsidRPr="00A85FA9" w:rsidRDefault="00435013" w:rsidP="00435013">
      <w:pPr>
        <w:pStyle w:val="Bezmezer"/>
        <w:spacing w:line="280" w:lineRule="exact"/>
        <w:rPr>
          <w:rFonts w:ascii="Inter" w:hAnsi="Inter"/>
          <w:sz w:val="20"/>
          <w:szCs w:val="20"/>
          <w:lang w:val="en-US"/>
        </w:rPr>
      </w:pPr>
    </w:p>
    <w:p w14:paraId="5CBC8A12" w14:textId="77777777" w:rsidR="00435013" w:rsidRDefault="00435013" w:rsidP="00435013">
      <w:pPr>
        <w:rPr>
          <w:rFonts w:ascii="Inter" w:hAnsi="Inter"/>
          <w:lang w:val="en-US"/>
        </w:rPr>
      </w:pPr>
    </w:p>
    <w:p w14:paraId="782DAEE1" w14:textId="12598476" w:rsidR="00924544" w:rsidRDefault="00924544">
      <w:pPr>
        <w:spacing w:line="240" w:lineRule="auto"/>
        <w:rPr>
          <w:rFonts w:ascii="Inter" w:hAnsi="Inter"/>
          <w:lang w:val="en-US"/>
        </w:rPr>
      </w:pPr>
      <w:r>
        <w:rPr>
          <w:rFonts w:ascii="Inter" w:hAnsi="Inter"/>
          <w:lang w:val="en-US"/>
        </w:rPr>
        <w:br w:type="page"/>
      </w:r>
    </w:p>
    <w:p w14:paraId="2742CC9F" w14:textId="5934D707" w:rsidR="00924544" w:rsidRPr="00924544" w:rsidRDefault="00924544" w:rsidP="00924544">
      <w:pPr>
        <w:pStyle w:val="Nadpis4"/>
        <w:rPr>
          <w:rFonts w:ascii="Inter" w:hAnsi="Inter" w:cs="Times New Roman (Headings CS)"/>
          <w:color w:val="auto"/>
          <w:sz w:val="22"/>
          <w:szCs w:val="22"/>
          <w:lang w:val="en-US"/>
        </w:rPr>
      </w:pPr>
      <w:r w:rsidRPr="00924544">
        <w:rPr>
          <w:rFonts w:ascii="Inter" w:hAnsi="Inter" w:cs="Times New Roman (Headings CS)"/>
          <w:color w:val="auto"/>
          <w:sz w:val="22"/>
          <w:szCs w:val="22"/>
          <w:lang w:val="en-US"/>
        </w:rPr>
        <w:lastRenderedPageBreak/>
        <w:t>KEY FINANCIAL DATA – Q1 2025</w:t>
      </w:r>
    </w:p>
    <w:p w14:paraId="779D6616" w14:textId="77777777" w:rsidR="00924544" w:rsidRDefault="00924544">
      <w:pPr>
        <w:spacing w:line="240" w:lineRule="auto"/>
        <w:rPr>
          <w:rFonts w:ascii="Inter" w:hAnsi="Inter"/>
          <w:lang w:val="en-US"/>
        </w:rPr>
      </w:pPr>
    </w:p>
    <w:p w14:paraId="0F3B65C8" w14:textId="7B5C729A" w:rsidR="00924544" w:rsidRDefault="00B170B0" w:rsidP="00435013">
      <w:pPr>
        <w:rPr>
          <w:rFonts w:ascii="Inter" w:hAnsi="Inter"/>
          <w:lang w:val="en-US"/>
        </w:rPr>
      </w:pPr>
      <w:r w:rsidRPr="00D32A13">
        <w:rPr>
          <w:rFonts w:ascii="Inter" w:hAnsi="Inter"/>
          <w:noProof/>
          <w:lang w:val="en-US"/>
        </w:rPr>
        <w:drawing>
          <wp:inline distT="0" distB="0" distL="0" distR="0" wp14:anchorId="24A56856" wp14:editId="1F427F49">
            <wp:extent cx="5756910" cy="4918075"/>
            <wp:effectExtent l="0" t="0" r="0" b="0"/>
            <wp:docPr id="1338842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42502" name=""/>
                    <pic:cNvPicPr/>
                  </pic:nvPicPr>
                  <pic:blipFill>
                    <a:blip r:embed="rId11"/>
                    <a:stretch>
                      <a:fillRect/>
                    </a:stretch>
                  </pic:blipFill>
                  <pic:spPr>
                    <a:xfrm>
                      <a:off x="0" y="0"/>
                      <a:ext cx="5756910" cy="4918075"/>
                    </a:xfrm>
                    <a:prstGeom prst="rect">
                      <a:avLst/>
                    </a:prstGeom>
                  </pic:spPr>
                </pic:pic>
              </a:graphicData>
            </a:graphic>
          </wp:inline>
        </w:drawing>
      </w:r>
    </w:p>
    <w:p w14:paraId="4F232544" w14:textId="77777777" w:rsidR="00924544" w:rsidRDefault="00924544" w:rsidP="00435013">
      <w:pPr>
        <w:rPr>
          <w:rFonts w:ascii="Inter" w:hAnsi="Inter"/>
          <w:lang w:val="en-US"/>
        </w:rPr>
      </w:pPr>
    </w:p>
    <w:p w14:paraId="3DFBD3BB" w14:textId="77777777" w:rsidR="00924544" w:rsidRDefault="00924544" w:rsidP="00435013">
      <w:pPr>
        <w:rPr>
          <w:rFonts w:ascii="Inter" w:hAnsi="Inter"/>
          <w:lang w:val="en-US"/>
        </w:rPr>
      </w:pPr>
    </w:p>
    <w:p w14:paraId="0CC289EC" w14:textId="77777777" w:rsidR="00924544" w:rsidRDefault="00924544" w:rsidP="00435013">
      <w:pPr>
        <w:rPr>
          <w:rFonts w:ascii="Inter" w:hAnsi="Inter"/>
          <w:lang w:val="en-US"/>
        </w:rPr>
      </w:pPr>
    </w:p>
    <w:p w14:paraId="7C5AAB9A" w14:textId="77777777" w:rsidR="00924544" w:rsidRDefault="00924544" w:rsidP="00435013">
      <w:pPr>
        <w:rPr>
          <w:rFonts w:ascii="Inter" w:hAnsi="Inter"/>
          <w:lang w:val="en-US"/>
        </w:rPr>
      </w:pPr>
    </w:p>
    <w:p w14:paraId="798E0658" w14:textId="77777777" w:rsidR="00924544" w:rsidRDefault="00924544" w:rsidP="00435013">
      <w:pPr>
        <w:rPr>
          <w:rFonts w:ascii="Inter" w:hAnsi="Inter"/>
          <w:lang w:val="en-US"/>
        </w:rPr>
      </w:pPr>
    </w:p>
    <w:p w14:paraId="1B2075BD" w14:textId="77777777" w:rsidR="00924544" w:rsidRDefault="00924544" w:rsidP="00435013">
      <w:pPr>
        <w:rPr>
          <w:rFonts w:ascii="Inter" w:hAnsi="Inter"/>
          <w:lang w:val="en-US"/>
        </w:rPr>
      </w:pPr>
    </w:p>
    <w:p w14:paraId="30DB2B23" w14:textId="77777777" w:rsidR="00924544" w:rsidRDefault="00924544" w:rsidP="00435013">
      <w:pPr>
        <w:rPr>
          <w:rFonts w:ascii="Inter" w:hAnsi="Inter"/>
          <w:lang w:val="en-US"/>
        </w:rPr>
      </w:pPr>
    </w:p>
    <w:p w14:paraId="270CC9BE" w14:textId="77777777" w:rsidR="00924544" w:rsidRPr="00A85FA9" w:rsidRDefault="00924544" w:rsidP="00435013">
      <w:pPr>
        <w:rPr>
          <w:rFonts w:ascii="Inter" w:hAnsi="Inter"/>
          <w:lang w:val="en-US"/>
        </w:rPr>
      </w:pPr>
    </w:p>
    <w:p w14:paraId="3033562E" w14:textId="6075371A" w:rsidR="00CC18B8" w:rsidRPr="00A85FA9" w:rsidRDefault="00435013" w:rsidP="009844F9">
      <w:pPr>
        <w:rPr>
          <w:rFonts w:ascii="Inter" w:hAnsi="Inter"/>
          <w:lang w:val="en-US"/>
        </w:rPr>
      </w:pPr>
      <w:r w:rsidRPr="00A85FA9">
        <w:rPr>
          <w:rFonts w:ascii="Inter" w:hAnsi="Inter"/>
          <w:noProof/>
        </w:rPr>
        <mc:AlternateContent>
          <mc:Choice Requires="wps">
            <w:drawing>
              <wp:anchor distT="0" distB="0" distL="114300" distR="114300" simplePos="0" relativeHeight="251658240" behindDoc="0" locked="0" layoutInCell="1" allowOverlap="1" wp14:anchorId="37C101E9" wp14:editId="02730F5B">
                <wp:simplePos x="0" y="0"/>
                <wp:positionH relativeFrom="column">
                  <wp:posOffset>-10795</wp:posOffset>
                </wp:positionH>
                <wp:positionV relativeFrom="paragraph">
                  <wp:posOffset>47625</wp:posOffset>
                </wp:positionV>
                <wp:extent cx="5744845" cy="1380671"/>
                <wp:effectExtent l="0" t="0" r="27305" b="12700"/>
                <wp:wrapTopAndBottom/>
                <wp:docPr id="7" name="Rechteck: abgerundete Ecken 605"/>
                <wp:cNvGraphicFramePr/>
                <a:graphic xmlns:a="http://schemas.openxmlformats.org/drawingml/2006/main">
                  <a:graphicData uri="http://schemas.microsoft.com/office/word/2010/wordprocessingShape">
                    <wps:wsp>
                      <wps:cNvSpPr/>
                      <wps:spPr>
                        <a:xfrm>
                          <a:off x="0" y="0"/>
                          <a:ext cx="5744845" cy="1380671"/>
                        </a:xfrm>
                        <a:prstGeom prst="roundRect">
                          <a:avLst>
                            <a:gd name="adj" fmla="val 11495"/>
                          </a:avLst>
                        </a:prstGeom>
                        <a:noFill/>
                        <a:ln w="19050">
                          <a:solidFill>
                            <a:srgbClr val="2870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B4B1B" w14:textId="432FD763" w:rsidR="00435013" w:rsidRPr="00F23AB9" w:rsidRDefault="003F5CD5" w:rsidP="00435013">
                            <w:pPr>
                              <w:ind w:left="-426"/>
                              <w:jc w:val="center"/>
                              <w:rPr>
                                <w:rFonts w:ascii="Inter" w:eastAsia="Arial" w:hAnsi="Inter"/>
                                <w:b/>
                                <w:color w:val="000000" w:themeColor="text1"/>
                                <w:sz w:val="14"/>
                                <w:szCs w:val="14"/>
                                <w:lang w:val="en-US"/>
                              </w:rPr>
                            </w:pPr>
                            <w:r w:rsidRPr="00F23AB9">
                              <w:rPr>
                                <w:rFonts w:ascii="Inter" w:eastAsia="Arial" w:hAnsi="Inter"/>
                                <w:b/>
                                <w:color w:val="000000" w:themeColor="text1"/>
                                <w:sz w:val="14"/>
                                <w:szCs w:val="14"/>
                                <w:shd w:val="clear" w:color="auto" w:fill="auto"/>
                                <w:lang w:val="en-US"/>
                              </w:rPr>
                              <w:t xml:space="preserve">Media </w:t>
                            </w:r>
                            <w:r w:rsidR="00F01CF9" w:rsidRPr="00F23AB9">
                              <w:rPr>
                                <w:rFonts w:ascii="Inter" w:eastAsia="Arial" w:hAnsi="Inter"/>
                                <w:b/>
                                <w:color w:val="000000" w:themeColor="text1"/>
                                <w:sz w:val="14"/>
                                <w:szCs w:val="14"/>
                                <w:shd w:val="clear" w:color="auto" w:fill="auto"/>
                                <w:lang w:val="en-US"/>
                              </w:rPr>
                              <w:t>i</w:t>
                            </w:r>
                            <w:r w:rsidRPr="00F23AB9">
                              <w:rPr>
                                <w:rFonts w:ascii="Inter" w:eastAsia="Arial" w:hAnsi="Inter"/>
                                <w:b/>
                                <w:color w:val="000000" w:themeColor="text1"/>
                                <w:sz w:val="14"/>
                                <w:szCs w:val="14"/>
                                <w:shd w:val="clear" w:color="auto" w:fill="auto"/>
                                <w:lang w:val="en-US"/>
                              </w:rPr>
                              <w:t>nquiries</w:t>
                            </w:r>
                            <w:r w:rsidR="00435013" w:rsidRPr="00F23AB9">
                              <w:rPr>
                                <w:rFonts w:ascii="Inter" w:eastAsia="Arial" w:hAnsi="Inter"/>
                                <w:b/>
                                <w:color w:val="000000" w:themeColor="text1"/>
                                <w:sz w:val="14"/>
                                <w:szCs w:val="14"/>
                                <w:shd w:val="clear" w:color="auto" w:fill="auto"/>
                                <w:lang w:val="en-US"/>
                              </w:rPr>
                              <w:t>:</w:t>
                            </w:r>
                          </w:p>
                          <w:p w14:paraId="018D2A0C" w14:textId="22B45331" w:rsidR="00435013" w:rsidRPr="00F23AB9" w:rsidRDefault="00435013" w:rsidP="00435013">
                            <w:pPr>
                              <w:ind w:left="-426"/>
                              <w:jc w:val="center"/>
                              <w:rPr>
                                <w:rFonts w:ascii="Inter" w:eastAsia="Arial" w:hAnsi="Inter"/>
                                <w:color w:val="000000" w:themeColor="text1"/>
                                <w:sz w:val="14"/>
                                <w:szCs w:val="14"/>
                                <w:lang w:val="en-US"/>
                              </w:rPr>
                            </w:pPr>
                            <w:proofErr w:type="spellStart"/>
                            <w:r w:rsidRPr="00F23AB9">
                              <w:rPr>
                                <w:rFonts w:ascii="Inter" w:eastAsia="Arial" w:hAnsi="Inter"/>
                                <w:color w:val="000000" w:themeColor="text1"/>
                                <w:sz w:val="14"/>
                                <w:szCs w:val="14"/>
                                <w:shd w:val="clear" w:color="auto" w:fill="auto"/>
                                <w:lang w:val="en-US"/>
                              </w:rPr>
                              <w:t>Erste</w:t>
                            </w:r>
                            <w:proofErr w:type="spellEnd"/>
                            <w:r w:rsidRPr="00F23AB9">
                              <w:rPr>
                                <w:rFonts w:ascii="Inter" w:eastAsia="Arial" w:hAnsi="Inter"/>
                                <w:color w:val="000000" w:themeColor="text1"/>
                                <w:sz w:val="14"/>
                                <w:szCs w:val="14"/>
                                <w:shd w:val="clear" w:color="auto" w:fill="auto"/>
                                <w:lang w:val="en-US"/>
                              </w:rPr>
                              <w:t xml:space="preserve"> Group | </w:t>
                            </w:r>
                            <w:r w:rsidR="003F5CD5" w:rsidRPr="00F23AB9">
                              <w:rPr>
                                <w:rFonts w:ascii="Inter" w:eastAsia="Arial" w:hAnsi="Inter"/>
                                <w:color w:val="000000" w:themeColor="text1"/>
                                <w:sz w:val="14"/>
                                <w:szCs w:val="14"/>
                                <w:shd w:val="clear" w:color="auto" w:fill="auto"/>
                                <w:lang w:val="en-US"/>
                              </w:rPr>
                              <w:t>Press Department</w:t>
                            </w:r>
                            <w:r w:rsidRPr="00F23AB9">
                              <w:rPr>
                                <w:rFonts w:ascii="Inter" w:eastAsia="Arial" w:hAnsi="Inter"/>
                                <w:color w:val="000000" w:themeColor="text1"/>
                                <w:sz w:val="14"/>
                                <w:szCs w:val="14"/>
                                <w:shd w:val="clear" w:color="auto" w:fill="auto"/>
                                <w:lang w:val="en-US"/>
                              </w:rPr>
                              <w:t>, Am Belvedere 1, 1100 Wien</w:t>
                            </w:r>
                          </w:p>
                          <w:p w14:paraId="1F92BCAB" w14:textId="77777777" w:rsidR="00435013" w:rsidRPr="003C3BB1" w:rsidRDefault="00435013" w:rsidP="00435013">
                            <w:pPr>
                              <w:ind w:left="-426"/>
                              <w:jc w:val="center"/>
                              <w:rPr>
                                <w:rFonts w:ascii="Inter" w:eastAsia="Arial" w:hAnsi="Inter"/>
                                <w:color w:val="4472C4" w:themeColor="accent1"/>
                                <w:sz w:val="14"/>
                                <w:szCs w:val="14"/>
                                <w:shd w:val="clear" w:color="auto" w:fill="auto"/>
                                <w:lang w:val="en-US"/>
                              </w:rPr>
                            </w:pPr>
                            <w:r>
                              <w:rPr>
                                <w:rFonts w:ascii="Inter" w:eastAsia="Arial" w:hAnsi="Inter"/>
                                <w:color w:val="000000" w:themeColor="text1"/>
                                <w:sz w:val="14"/>
                                <w:szCs w:val="14"/>
                                <w:shd w:val="clear" w:color="auto" w:fill="auto"/>
                                <w:lang w:val="en-US"/>
                              </w:rPr>
                              <w:t xml:space="preserve">Margarita Thiel, 050100 – 13425, E-Mail: </w:t>
                            </w:r>
                            <w:hyperlink r:id="rId12" w:history="1">
                              <w:r w:rsidRPr="003C3BB1">
                                <w:rPr>
                                  <w:rStyle w:val="Hypertextovodkaz"/>
                                  <w:rFonts w:ascii="Inter" w:hAnsi="Inter"/>
                                  <w:color w:val="4472C4" w:themeColor="accent1"/>
                                  <w:lang w:val="en-US"/>
                                </w:rPr>
                                <w:t>margarita.thiel@erstegroup.com</w:t>
                              </w:r>
                            </w:hyperlink>
                          </w:p>
                          <w:p w14:paraId="5B5CA956" w14:textId="77777777" w:rsidR="00435013" w:rsidRPr="00711D5D" w:rsidRDefault="00435013" w:rsidP="00435013">
                            <w:pPr>
                              <w:ind w:left="-426"/>
                              <w:jc w:val="center"/>
                              <w:rPr>
                                <w:rFonts w:ascii="Inter" w:eastAsia="Arial" w:hAnsi="Inter"/>
                                <w:color w:val="000000" w:themeColor="text1"/>
                                <w:sz w:val="14"/>
                                <w:szCs w:val="14"/>
                              </w:rPr>
                            </w:pPr>
                            <w:r w:rsidRPr="00711D5D">
                              <w:rPr>
                                <w:rFonts w:ascii="Inter" w:eastAsia="Arial" w:hAnsi="Inter"/>
                                <w:color w:val="000000" w:themeColor="text1"/>
                                <w:sz w:val="14"/>
                                <w:szCs w:val="14"/>
                                <w:shd w:val="clear" w:color="auto" w:fill="auto"/>
                              </w:rPr>
                              <w:t xml:space="preserve">Martin Sonn-Wende, 050100 - 11680, E-Mail: </w:t>
                            </w:r>
                            <w:hyperlink r:id="rId13" w:history="1">
                              <w:r w:rsidRPr="00711D5D">
                                <w:rPr>
                                  <w:rStyle w:val="Hypertextovodkaz"/>
                                  <w:rFonts w:ascii="Inter" w:hAnsi="Inter"/>
                                  <w:color w:val="2870ED"/>
                                </w:rPr>
                                <w:t>martin.sonn-wende@erstegroup.com</w:t>
                              </w:r>
                            </w:hyperlink>
                            <w:r w:rsidRPr="00711D5D">
                              <w:rPr>
                                <w:rFonts w:ascii="Inter" w:eastAsia="Arial" w:hAnsi="Inter"/>
                                <w:color w:val="2870ED"/>
                                <w:sz w:val="14"/>
                                <w:szCs w:val="14"/>
                              </w:rPr>
                              <w:t xml:space="preserve"> </w:t>
                            </w:r>
                          </w:p>
                          <w:p w14:paraId="0CD93CF2" w14:textId="77777777" w:rsidR="00435013" w:rsidRPr="00711D5D" w:rsidRDefault="00435013" w:rsidP="00435013">
                            <w:pPr>
                              <w:autoSpaceDE w:val="0"/>
                              <w:autoSpaceDN w:val="0"/>
                              <w:adjustRightInd w:val="0"/>
                              <w:ind w:left="-426"/>
                              <w:jc w:val="center"/>
                              <w:rPr>
                                <w:rStyle w:val="Hypertextovodkaz"/>
                                <w:rFonts w:ascii="Inter" w:hAnsi="Inter"/>
                                <w:color w:val="000000" w:themeColor="text1"/>
                              </w:rPr>
                            </w:pPr>
                            <w:r w:rsidRPr="00711D5D">
                              <w:rPr>
                                <w:rFonts w:ascii="Inter" w:eastAsia="Arial" w:hAnsi="Inter"/>
                                <w:color w:val="000000" w:themeColor="text1"/>
                                <w:sz w:val="14"/>
                                <w:szCs w:val="14"/>
                                <w:shd w:val="clear" w:color="auto" w:fill="auto"/>
                              </w:rPr>
                              <w:t xml:space="preserve">Peter Klopf, 050100 - 11676, E-Mail: </w:t>
                            </w:r>
                            <w:hyperlink r:id="rId14" w:history="1">
                              <w:r w:rsidRPr="00711D5D">
                                <w:rPr>
                                  <w:rStyle w:val="Hypertextovodkaz"/>
                                  <w:rFonts w:ascii="Inter" w:hAnsi="Inter"/>
                                  <w:color w:val="2870ED"/>
                                </w:rPr>
                                <w:t>peter.klopf@erstegroup.com</w:t>
                              </w:r>
                            </w:hyperlink>
                          </w:p>
                          <w:p w14:paraId="0503D2FB" w14:textId="77777777" w:rsidR="00435013" w:rsidRPr="00711D5D" w:rsidRDefault="00435013" w:rsidP="00435013">
                            <w:pPr>
                              <w:autoSpaceDE w:val="0"/>
                              <w:autoSpaceDN w:val="0"/>
                              <w:adjustRightInd w:val="0"/>
                              <w:ind w:left="-426"/>
                              <w:jc w:val="center"/>
                              <w:rPr>
                                <w:rFonts w:ascii="Inter" w:eastAsia="Arial" w:hAnsi="Inter"/>
                                <w:color w:val="2870ED"/>
                                <w:sz w:val="14"/>
                                <w:szCs w:val="14"/>
                                <w:shd w:val="clear" w:color="auto" w:fill="auto"/>
                              </w:rPr>
                            </w:pPr>
                            <w:r w:rsidRPr="00711D5D">
                              <w:rPr>
                                <w:rFonts w:ascii="Inter" w:eastAsia="Arial" w:hAnsi="Inter"/>
                                <w:color w:val="000000" w:themeColor="text1"/>
                                <w:sz w:val="14"/>
                                <w:szCs w:val="14"/>
                                <w:shd w:val="clear" w:color="auto" w:fill="auto"/>
                              </w:rPr>
                              <w:t xml:space="preserve">Marvin Aschinger, 050100 – 17689, E-Mail: </w:t>
                            </w:r>
                            <w:hyperlink r:id="rId15" w:history="1">
                              <w:r w:rsidRPr="00711D5D">
                                <w:rPr>
                                  <w:rStyle w:val="Hypertextovodkaz"/>
                                  <w:rFonts w:ascii="Inter" w:hAnsi="Inter"/>
                                  <w:color w:val="2870ED"/>
                                </w:rPr>
                                <w:t>marvin.aschinger@erstegroup.com</w:t>
                              </w:r>
                            </w:hyperlink>
                          </w:p>
                          <w:p w14:paraId="7EC18A19" w14:textId="77777777" w:rsidR="00435013" w:rsidRPr="00711D5D" w:rsidRDefault="00435013" w:rsidP="00435013">
                            <w:pPr>
                              <w:autoSpaceDE w:val="0"/>
                              <w:autoSpaceDN w:val="0"/>
                              <w:adjustRightInd w:val="0"/>
                              <w:rPr>
                                <w:rFonts w:ascii="Inter" w:eastAsia="Arial" w:hAnsi="Inter"/>
                                <w:color w:val="000000" w:themeColor="text1"/>
                                <w:sz w:val="14"/>
                                <w:szCs w:val="14"/>
                                <w:shd w:val="clear" w:color="auto" w:fill="auto"/>
                              </w:rPr>
                            </w:pPr>
                          </w:p>
                          <w:p w14:paraId="46480E44" w14:textId="77777777" w:rsidR="00423C5C" w:rsidRPr="00711D5D" w:rsidRDefault="00423C5C" w:rsidP="00423C5C">
                            <w:pPr>
                              <w:autoSpaceDE w:val="0"/>
                              <w:autoSpaceDN w:val="0"/>
                              <w:adjustRightInd w:val="0"/>
                              <w:ind w:left="-426"/>
                              <w:jc w:val="center"/>
                              <w:rPr>
                                <w:rStyle w:val="Hypertextovodkaz"/>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Text also available on: </w:t>
                            </w:r>
                            <w:hyperlink r:id="rId16">
                              <w:r>
                                <w:rPr>
                                  <w:rStyle w:val="Hypertextovodkaz"/>
                                  <w:rFonts w:ascii="Inter" w:hAnsi="Inter"/>
                                  <w:color w:val="2870ED"/>
                                  <w:lang w:val="en-US"/>
                                </w:rPr>
                                <w:t>https://www.erstegroup.com/en/news-media</w:t>
                              </w:r>
                            </w:hyperlink>
                          </w:p>
                          <w:p w14:paraId="61DBD3A5" w14:textId="77269C89" w:rsidR="00435013" w:rsidRPr="00423C5C" w:rsidRDefault="00423C5C" w:rsidP="00423C5C">
                            <w:pPr>
                              <w:autoSpaceDE w:val="0"/>
                              <w:autoSpaceDN w:val="0"/>
                              <w:adjustRightInd w:val="0"/>
                              <w:ind w:left="-426"/>
                              <w:jc w:val="center"/>
                              <w:rPr>
                                <w:rFonts w:ascii="Inter" w:eastAsia="Arial" w:hAnsi="Inter"/>
                                <w:color w:val="000000" w:themeColor="text1"/>
                                <w:sz w:val="14"/>
                                <w:szCs w:val="14"/>
                                <w:lang w:val="en-US"/>
                              </w:rPr>
                            </w:pPr>
                            <w:r w:rsidRPr="00711D5D">
                              <w:rPr>
                                <w:rStyle w:val="Hypertextovodkaz"/>
                                <w:rFonts w:ascii="Inter" w:hAnsi="Inter"/>
                                <w:color w:val="000000" w:themeColor="text1"/>
                                <w:u w:val="none"/>
                                <w:lang w:val="en-US"/>
                              </w:rPr>
                              <w:t xml:space="preserve">If you do not wish to receive any </w:t>
                            </w:r>
                            <w:r>
                              <w:rPr>
                                <w:rStyle w:val="Hypertextovodkaz"/>
                                <w:rFonts w:ascii="Inter" w:hAnsi="Inter"/>
                                <w:color w:val="000000" w:themeColor="text1"/>
                                <w:u w:val="none"/>
                                <w:lang w:val="en-US"/>
                              </w:rPr>
                              <w:t>media</w:t>
                            </w:r>
                            <w:r w:rsidRPr="00711D5D">
                              <w:rPr>
                                <w:rStyle w:val="Hypertextovodkaz"/>
                                <w:rFonts w:ascii="Inter" w:hAnsi="Inter"/>
                                <w:color w:val="000000" w:themeColor="text1"/>
                                <w:u w:val="none"/>
                                <w:lang w:val="en-US"/>
                              </w:rPr>
                              <w:t xml:space="preserve"> </w:t>
                            </w:r>
                            <w:r>
                              <w:rPr>
                                <w:rStyle w:val="Hypertextovodkaz"/>
                                <w:rFonts w:ascii="Inter" w:hAnsi="Inter"/>
                                <w:color w:val="000000" w:themeColor="text1"/>
                                <w:u w:val="none"/>
                                <w:lang w:val="en-US"/>
                              </w:rPr>
                              <w:t xml:space="preserve">information </w:t>
                            </w:r>
                            <w:r w:rsidRPr="00711D5D">
                              <w:rPr>
                                <w:rStyle w:val="Hypertextovodkaz"/>
                                <w:rFonts w:ascii="Inter" w:hAnsi="Inter"/>
                                <w:color w:val="000000" w:themeColor="text1"/>
                                <w:u w:val="none"/>
                                <w:lang w:val="en-US"/>
                              </w:rPr>
                              <w:t xml:space="preserve">from us in the future, </w:t>
                            </w:r>
                            <w:hyperlink r:id="rId17" w:history="1">
                              <w:r w:rsidRPr="00711D5D">
                                <w:rPr>
                                  <w:rStyle w:val="Hypertextovodkaz"/>
                                  <w:rFonts w:ascii="Inter" w:hAnsi="Inter"/>
                                  <w:color w:val="2870ED"/>
                                  <w:lang w:val="en-US"/>
                                </w:rPr>
                                <w:t>please write an email to presse@erstebank.at</w:t>
                              </w:r>
                            </w:hyperlink>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7C101E9" id="Rechteck: abgerundete Ecken 605" o:spid="_x0000_s1026" style="position:absolute;margin-left:-.85pt;margin-top:3.75pt;width:452.35pt;height:10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" filled="f" strokecolor="#2870ed" strokeweight="1.5pt">
                <v:stroke joinstyle="miter"/>
                <v:textbox style="mso-fit-shape-to-text:t" inset="5mm,,5mm">
                  <w:txbxContent>
                    <w:p w14:paraId="364B4B1B" w14:textId="432FD763" w:rsidR="00435013" w:rsidRPr="00F23AB9" w:rsidRDefault="003F5CD5" w:rsidP="00435013">
                      <w:pPr>
                        <w:ind w:left="-426"/>
                        <w:jc w:val="center"/>
                        <w:rPr>
                          <w:rFonts w:ascii="Inter" w:eastAsia="Arial" w:hAnsi="Inter"/>
                          <w:b/>
                          <w:color w:val="000000" w:themeColor="text1"/>
                          <w:sz w:val="14"/>
                          <w:szCs w:val="14"/>
                          <w:lang w:val="en-US"/>
                        </w:rPr>
                      </w:pPr>
                      <w:r w:rsidRPr="00F23AB9">
                        <w:rPr>
                          <w:rFonts w:ascii="Inter" w:eastAsia="Arial" w:hAnsi="Inter"/>
                          <w:b/>
                          <w:color w:val="000000" w:themeColor="text1"/>
                          <w:sz w:val="14"/>
                          <w:szCs w:val="14"/>
                          <w:shd w:val="clear" w:color="auto" w:fill="auto"/>
                          <w:lang w:val="en-US"/>
                        </w:rPr>
                        <w:t xml:space="preserve">Media </w:t>
                      </w:r>
                      <w:r w:rsidR="00F01CF9" w:rsidRPr="00F23AB9">
                        <w:rPr>
                          <w:rFonts w:ascii="Inter" w:eastAsia="Arial" w:hAnsi="Inter"/>
                          <w:b/>
                          <w:color w:val="000000" w:themeColor="text1"/>
                          <w:sz w:val="14"/>
                          <w:szCs w:val="14"/>
                          <w:shd w:val="clear" w:color="auto" w:fill="auto"/>
                          <w:lang w:val="en-US"/>
                        </w:rPr>
                        <w:t>i</w:t>
                      </w:r>
                      <w:r w:rsidRPr="00F23AB9">
                        <w:rPr>
                          <w:rFonts w:ascii="Inter" w:eastAsia="Arial" w:hAnsi="Inter"/>
                          <w:b/>
                          <w:color w:val="000000" w:themeColor="text1"/>
                          <w:sz w:val="14"/>
                          <w:szCs w:val="14"/>
                          <w:shd w:val="clear" w:color="auto" w:fill="auto"/>
                          <w:lang w:val="en-US"/>
                        </w:rPr>
                        <w:t>nquiries</w:t>
                      </w:r>
                      <w:r w:rsidR="00435013" w:rsidRPr="00F23AB9">
                        <w:rPr>
                          <w:rFonts w:ascii="Inter" w:eastAsia="Arial" w:hAnsi="Inter"/>
                          <w:b/>
                          <w:color w:val="000000" w:themeColor="text1"/>
                          <w:sz w:val="14"/>
                          <w:szCs w:val="14"/>
                          <w:shd w:val="clear" w:color="auto" w:fill="auto"/>
                          <w:lang w:val="en-US"/>
                        </w:rPr>
                        <w:t>:</w:t>
                      </w:r>
                    </w:p>
                    <w:p w14:paraId="018D2A0C" w14:textId="22B45331" w:rsidR="00435013" w:rsidRPr="00F23AB9" w:rsidRDefault="00435013" w:rsidP="00435013">
                      <w:pPr>
                        <w:ind w:left="-426"/>
                        <w:jc w:val="center"/>
                        <w:rPr>
                          <w:rFonts w:ascii="Inter" w:eastAsia="Arial" w:hAnsi="Inter"/>
                          <w:color w:val="000000" w:themeColor="text1"/>
                          <w:sz w:val="14"/>
                          <w:szCs w:val="14"/>
                          <w:lang w:val="en-US"/>
                        </w:rPr>
                      </w:pPr>
                      <w:proofErr w:type="spellStart"/>
                      <w:r w:rsidRPr="00F23AB9">
                        <w:rPr>
                          <w:rFonts w:ascii="Inter" w:eastAsia="Arial" w:hAnsi="Inter"/>
                          <w:color w:val="000000" w:themeColor="text1"/>
                          <w:sz w:val="14"/>
                          <w:szCs w:val="14"/>
                          <w:shd w:val="clear" w:color="auto" w:fill="auto"/>
                          <w:lang w:val="en-US"/>
                        </w:rPr>
                        <w:t>Erste</w:t>
                      </w:r>
                      <w:proofErr w:type="spellEnd"/>
                      <w:r w:rsidRPr="00F23AB9">
                        <w:rPr>
                          <w:rFonts w:ascii="Inter" w:eastAsia="Arial" w:hAnsi="Inter"/>
                          <w:color w:val="000000" w:themeColor="text1"/>
                          <w:sz w:val="14"/>
                          <w:szCs w:val="14"/>
                          <w:shd w:val="clear" w:color="auto" w:fill="auto"/>
                          <w:lang w:val="en-US"/>
                        </w:rPr>
                        <w:t xml:space="preserve"> Group | </w:t>
                      </w:r>
                      <w:r w:rsidR="003F5CD5" w:rsidRPr="00F23AB9">
                        <w:rPr>
                          <w:rFonts w:ascii="Inter" w:eastAsia="Arial" w:hAnsi="Inter"/>
                          <w:color w:val="000000" w:themeColor="text1"/>
                          <w:sz w:val="14"/>
                          <w:szCs w:val="14"/>
                          <w:shd w:val="clear" w:color="auto" w:fill="auto"/>
                          <w:lang w:val="en-US"/>
                        </w:rPr>
                        <w:t>Press Department</w:t>
                      </w:r>
                      <w:r w:rsidRPr="00F23AB9">
                        <w:rPr>
                          <w:rFonts w:ascii="Inter" w:eastAsia="Arial" w:hAnsi="Inter"/>
                          <w:color w:val="000000" w:themeColor="text1"/>
                          <w:sz w:val="14"/>
                          <w:szCs w:val="14"/>
                          <w:shd w:val="clear" w:color="auto" w:fill="auto"/>
                          <w:lang w:val="en-US"/>
                        </w:rPr>
                        <w:t>, Am Belvedere 1, 1100 Wien</w:t>
                      </w:r>
                    </w:p>
                    <w:p w14:paraId="1F92BCAB" w14:textId="77777777" w:rsidR="00435013" w:rsidRPr="003C3BB1" w:rsidRDefault="00435013" w:rsidP="00435013">
                      <w:pPr>
                        <w:ind w:left="-426"/>
                        <w:jc w:val="center"/>
                        <w:rPr>
                          <w:rFonts w:ascii="Inter" w:eastAsia="Arial" w:hAnsi="Inter"/>
                          <w:color w:val="4472C4" w:themeColor="accent1"/>
                          <w:sz w:val="14"/>
                          <w:szCs w:val="14"/>
                          <w:shd w:val="clear" w:color="auto" w:fill="auto"/>
                          <w:lang w:val="en-US"/>
                        </w:rPr>
                      </w:pPr>
                      <w:r>
                        <w:rPr>
                          <w:rFonts w:ascii="Inter" w:eastAsia="Arial" w:hAnsi="Inter"/>
                          <w:color w:val="000000" w:themeColor="text1"/>
                          <w:sz w:val="14"/>
                          <w:szCs w:val="14"/>
                          <w:shd w:val="clear" w:color="auto" w:fill="auto"/>
                          <w:lang w:val="en-US"/>
                        </w:rPr>
                        <w:t xml:space="preserve">Margarita Thiel, 050100 – 13425, E-Mail: </w:t>
                      </w:r>
                      <w:hyperlink r:id="rId18" w:history="1">
                        <w:r w:rsidRPr="003C3BB1">
                          <w:rPr>
                            <w:rStyle w:val="Hypertextovodkaz"/>
                            <w:rFonts w:ascii="Inter" w:hAnsi="Inter"/>
                            <w:color w:val="4472C4" w:themeColor="accent1"/>
                            <w:lang w:val="en-US"/>
                          </w:rPr>
                          <w:t>margarita.thiel@erstegroup.com</w:t>
                        </w:r>
                      </w:hyperlink>
                    </w:p>
                    <w:p w14:paraId="5B5CA956" w14:textId="77777777" w:rsidR="00435013" w:rsidRPr="00711D5D" w:rsidRDefault="00435013" w:rsidP="00435013">
                      <w:pPr>
                        <w:ind w:left="-426"/>
                        <w:jc w:val="center"/>
                        <w:rPr>
                          <w:rFonts w:ascii="Inter" w:eastAsia="Arial" w:hAnsi="Inter"/>
                          <w:color w:val="000000" w:themeColor="text1"/>
                          <w:sz w:val="14"/>
                          <w:szCs w:val="14"/>
                        </w:rPr>
                      </w:pPr>
                      <w:r w:rsidRPr="00711D5D">
                        <w:rPr>
                          <w:rFonts w:ascii="Inter" w:eastAsia="Arial" w:hAnsi="Inter"/>
                          <w:color w:val="000000" w:themeColor="text1"/>
                          <w:sz w:val="14"/>
                          <w:szCs w:val="14"/>
                          <w:shd w:val="clear" w:color="auto" w:fill="auto"/>
                        </w:rPr>
                        <w:t xml:space="preserve">Martin Sonn-Wende, 050100 - 11680, E-Mail: </w:t>
                      </w:r>
                      <w:hyperlink r:id="rId19" w:history="1">
                        <w:r w:rsidRPr="00711D5D">
                          <w:rPr>
                            <w:rStyle w:val="Hypertextovodkaz"/>
                            <w:rFonts w:ascii="Inter" w:hAnsi="Inter"/>
                            <w:color w:val="2870ED"/>
                          </w:rPr>
                          <w:t>martin.sonn-wende@erstegroup.com</w:t>
                        </w:r>
                      </w:hyperlink>
                      <w:r w:rsidRPr="00711D5D">
                        <w:rPr>
                          <w:rFonts w:ascii="Inter" w:eastAsia="Arial" w:hAnsi="Inter"/>
                          <w:color w:val="2870ED"/>
                          <w:sz w:val="14"/>
                          <w:szCs w:val="14"/>
                        </w:rPr>
                        <w:t xml:space="preserve"> </w:t>
                      </w:r>
                    </w:p>
                    <w:p w14:paraId="0CD93CF2" w14:textId="77777777" w:rsidR="00435013" w:rsidRPr="00711D5D" w:rsidRDefault="00435013" w:rsidP="00435013">
                      <w:pPr>
                        <w:autoSpaceDE w:val="0"/>
                        <w:autoSpaceDN w:val="0"/>
                        <w:adjustRightInd w:val="0"/>
                        <w:ind w:left="-426"/>
                        <w:jc w:val="center"/>
                        <w:rPr>
                          <w:rStyle w:val="Hypertextovodkaz"/>
                          <w:rFonts w:ascii="Inter" w:hAnsi="Inter"/>
                          <w:color w:val="000000" w:themeColor="text1"/>
                        </w:rPr>
                      </w:pPr>
                      <w:r w:rsidRPr="00711D5D">
                        <w:rPr>
                          <w:rFonts w:ascii="Inter" w:eastAsia="Arial" w:hAnsi="Inter"/>
                          <w:color w:val="000000" w:themeColor="text1"/>
                          <w:sz w:val="14"/>
                          <w:szCs w:val="14"/>
                          <w:shd w:val="clear" w:color="auto" w:fill="auto"/>
                        </w:rPr>
                        <w:t xml:space="preserve">Peter Klopf, 050100 - 11676, E-Mail: </w:t>
                      </w:r>
                      <w:hyperlink r:id="rId20" w:history="1">
                        <w:r w:rsidRPr="00711D5D">
                          <w:rPr>
                            <w:rStyle w:val="Hypertextovodkaz"/>
                            <w:rFonts w:ascii="Inter" w:hAnsi="Inter"/>
                            <w:color w:val="2870ED"/>
                          </w:rPr>
                          <w:t>peter.klopf@erstegroup.com</w:t>
                        </w:r>
                      </w:hyperlink>
                    </w:p>
                    <w:p w14:paraId="0503D2FB" w14:textId="77777777" w:rsidR="00435013" w:rsidRPr="00711D5D" w:rsidRDefault="00435013" w:rsidP="00435013">
                      <w:pPr>
                        <w:autoSpaceDE w:val="0"/>
                        <w:autoSpaceDN w:val="0"/>
                        <w:adjustRightInd w:val="0"/>
                        <w:ind w:left="-426"/>
                        <w:jc w:val="center"/>
                        <w:rPr>
                          <w:rFonts w:ascii="Inter" w:eastAsia="Arial" w:hAnsi="Inter"/>
                          <w:color w:val="2870ED"/>
                          <w:sz w:val="14"/>
                          <w:szCs w:val="14"/>
                          <w:shd w:val="clear" w:color="auto" w:fill="auto"/>
                        </w:rPr>
                      </w:pPr>
                      <w:r w:rsidRPr="00711D5D">
                        <w:rPr>
                          <w:rFonts w:ascii="Inter" w:eastAsia="Arial" w:hAnsi="Inter"/>
                          <w:color w:val="000000" w:themeColor="text1"/>
                          <w:sz w:val="14"/>
                          <w:szCs w:val="14"/>
                          <w:shd w:val="clear" w:color="auto" w:fill="auto"/>
                        </w:rPr>
                        <w:t xml:space="preserve">Marvin Aschinger, 050100 – 17689, E-Mail: </w:t>
                      </w:r>
                      <w:hyperlink r:id="rId21" w:history="1">
                        <w:r w:rsidRPr="00711D5D">
                          <w:rPr>
                            <w:rStyle w:val="Hypertextovodkaz"/>
                            <w:rFonts w:ascii="Inter" w:hAnsi="Inter"/>
                            <w:color w:val="2870ED"/>
                          </w:rPr>
                          <w:t>marvin.aschinger@erstegroup.com</w:t>
                        </w:r>
                      </w:hyperlink>
                    </w:p>
                    <w:p w14:paraId="7EC18A19" w14:textId="77777777" w:rsidR="00435013" w:rsidRPr="00711D5D" w:rsidRDefault="00435013" w:rsidP="00435013">
                      <w:pPr>
                        <w:autoSpaceDE w:val="0"/>
                        <w:autoSpaceDN w:val="0"/>
                        <w:adjustRightInd w:val="0"/>
                        <w:rPr>
                          <w:rFonts w:ascii="Inter" w:eastAsia="Arial" w:hAnsi="Inter"/>
                          <w:color w:val="000000" w:themeColor="text1"/>
                          <w:sz w:val="14"/>
                          <w:szCs w:val="14"/>
                          <w:shd w:val="clear" w:color="auto" w:fill="auto"/>
                        </w:rPr>
                      </w:pPr>
                    </w:p>
                    <w:p w14:paraId="46480E44" w14:textId="77777777" w:rsidR="00423C5C" w:rsidRPr="00711D5D" w:rsidRDefault="00423C5C" w:rsidP="00423C5C">
                      <w:pPr>
                        <w:autoSpaceDE w:val="0"/>
                        <w:autoSpaceDN w:val="0"/>
                        <w:adjustRightInd w:val="0"/>
                        <w:ind w:left="-426"/>
                        <w:jc w:val="center"/>
                        <w:rPr>
                          <w:rStyle w:val="Hypertextovodkaz"/>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Text also available on: </w:t>
                      </w:r>
                      <w:hyperlink r:id="rId22">
                        <w:r>
                          <w:rPr>
                            <w:rStyle w:val="Hypertextovodkaz"/>
                            <w:rFonts w:ascii="Inter" w:hAnsi="Inter"/>
                            <w:color w:val="2870ED"/>
                            <w:lang w:val="en-US"/>
                          </w:rPr>
                          <w:t>https://www.erstegroup.com/en/news-media</w:t>
                        </w:r>
                      </w:hyperlink>
                    </w:p>
                    <w:p w14:paraId="61DBD3A5" w14:textId="77269C89" w:rsidR="00435013" w:rsidRPr="00423C5C" w:rsidRDefault="00423C5C" w:rsidP="00423C5C">
                      <w:pPr>
                        <w:autoSpaceDE w:val="0"/>
                        <w:autoSpaceDN w:val="0"/>
                        <w:adjustRightInd w:val="0"/>
                        <w:ind w:left="-426"/>
                        <w:jc w:val="center"/>
                        <w:rPr>
                          <w:rFonts w:ascii="Inter" w:eastAsia="Arial" w:hAnsi="Inter"/>
                          <w:color w:val="000000" w:themeColor="text1"/>
                          <w:sz w:val="14"/>
                          <w:szCs w:val="14"/>
                          <w:lang w:val="en-US"/>
                        </w:rPr>
                      </w:pPr>
                      <w:r w:rsidRPr="00711D5D">
                        <w:rPr>
                          <w:rStyle w:val="Hypertextovodkaz"/>
                          <w:rFonts w:ascii="Inter" w:hAnsi="Inter"/>
                          <w:color w:val="000000" w:themeColor="text1"/>
                          <w:u w:val="none"/>
                          <w:lang w:val="en-US"/>
                        </w:rPr>
                        <w:t xml:space="preserve">If you do not wish to receive any </w:t>
                      </w:r>
                      <w:r>
                        <w:rPr>
                          <w:rStyle w:val="Hypertextovodkaz"/>
                          <w:rFonts w:ascii="Inter" w:hAnsi="Inter"/>
                          <w:color w:val="000000" w:themeColor="text1"/>
                          <w:u w:val="none"/>
                          <w:lang w:val="en-US"/>
                        </w:rPr>
                        <w:t>media</w:t>
                      </w:r>
                      <w:r w:rsidRPr="00711D5D">
                        <w:rPr>
                          <w:rStyle w:val="Hypertextovodkaz"/>
                          <w:rFonts w:ascii="Inter" w:hAnsi="Inter"/>
                          <w:color w:val="000000" w:themeColor="text1"/>
                          <w:u w:val="none"/>
                          <w:lang w:val="en-US"/>
                        </w:rPr>
                        <w:t xml:space="preserve"> </w:t>
                      </w:r>
                      <w:r>
                        <w:rPr>
                          <w:rStyle w:val="Hypertextovodkaz"/>
                          <w:rFonts w:ascii="Inter" w:hAnsi="Inter"/>
                          <w:color w:val="000000" w:themeColor="text1"/>
                          <w:u w:val="none"/>
                          <w:lang w:val="en-US"/>
                        </w:rPr>
                        <w:t xml:space="preserve">information </w:t>
                      </w:r>
                      <w:r w:rsidRPr="00711D5D">
                        <w:rPr>
                          <w:rStyle w:val="Hypertextovodkaz"/>
                          <w:rFonts w:ascii="Inter" w:hAnsi="Inter"/>
                          <w:color w:val="000000" w:themeColor="text1"/>
                          <w:u w:val="none"/>
                          <w:lang w:val="en-US"/>
                        </w:rPr>
                        <w:t xml:space="preserve">from us in the future, </w:t>
                      </w:r>
                      <w:hyperlink r:id="rId23" w:history="1">
                        <w:r w:rsidRPr="00711D5D">
                          <w:rPr>
                            <w:rStyle w:val="Hypertextovodkaz"/>
                            <w:rFonts w:ascii="Inter" w:hAnsi="Inter"/>
                            <w:color w:val="2870ED"/>
                            <w:lang w:val="en-US"/>
                          </w:rPr>
                          <w:t>please write an email to presse@erstebank.at</w:t>
                        </w:r>
                      </w:hyperlink>
                    </w:p>
                  </w:txbxContent>
                </v:textbox>
                <w10:wrap type="topAndBottom"/>
              </v:roundrect>
            </w:pict>
          </mc:Fallback>
        </mc:AlternateContent>
      </w:r>
    </w:p>
    <w:sectPr w:rsidR="00CC18B8" w:rsidRPr="00A85FA9" w:rsidSect="00785CBB">
      <w:headerReference w:type="default" r:id="rId24"/>
      <w:headerReference w:type="first" r:id="rId25"/>
      <w:footerReference w:type="first" r:id="rId26"/>
      <w:pgSz w:w="11900" w:h="16840"/>
      <w:pgMar w:top="2268" w:right="1417" w:bottom="1276"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A623" w14:textId="77777777" w:rsidR="00136920" w:rsidRDefault="00136920" w:rsidP="009844F9">
      <w:r>
        <w:separator/>
      </w:r>
    </w:p>
  </w:endnote>
  <w:endnote w:type="continuationSeparator" w:id="0">
    <w:p w14:paraId="2BD9B52C" w14:textId="77777777" w:rsidR="00136920" w:rsidRDefault="00136920" w:rsidP="009844F9">
      <w:r>
        <w:continuationSeparator/>
      </w:r>
    </w:p>
  </w:endnote>
  <w:endnote w:type="continuationNotice" w:id="1">
    <w:p w14:paraId="0287F465" w14:textId="77777777" w:rsidR="00136920" w:rsidRDefault="001369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IX Two Text">
    <w:charset w:val="00"/>
    <w:family w:val="auto"/>
    <w:pitch w:val="variable"/>
    <w:sig w:usb0="A00002FF" w:usb1="0000001F" w:usb2="00000000" w:usb3="00000000" w:csb0="0000019F" w:csb1="00000000"/>
  </w:font>
  <w:font w:name="Inter">
    <w:panose1 w:val="02000503000000020004"/>
    <w:charset w:val="00"/>
    <w:family w:val="modern"/>
    <w:notTrueType/>
    <w:pitch w:val="variable"/>
    <w:sig w:usb0="E0000AFF" w:usb1="5200A1FF" w:usb2="00000021" w:usb3="00000000" w:csb0="0000019F" w:csb1="00000000"/>
  </w:font>
  <w:font w:name="Times New Roman (Headings CS)">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2745" w14:textId="77777777" w:rsidR="0069608C" w:rsidRDefault="00553F90" w:rsidP="0069608C">
    <w:pPr>
      <w:ind w:left="-426"/>
      <w:jc w:val="center"/>
      <w:rPr>
        <w:rFonts w:eastAsia="Arial"/>
        <w:b/>
        <w:bCs/>
        <w:sz w:val="14"/>
        <w:szCs w:val="14"/>
      </w:rPr>
    </w:pPr>
    <w:r w:rsidRPr="00553F90">
      <w:rPr>
        <w:rFonts w:eastAsia="Arial"/>
        <w:noProof/>
        <w:sz w:val="14"/>
        <w:szCs w:val="14"/>
        <w:shd w:val="clear" w:color="auto" w:fill="auto"/>
      </w:rPr>
      <mc:AlternateContent>
        <mc:Choice Requires="wps">
          <w:drawing>
            <wp:anchor distT="0" distB="0" distL="114300" distR="114300" simplePos="0" relativeHeight="251658242" behindDoc="0" locked="0" layoutInCell="1" allowOverlap="1" wp14:anchorId="0047806B" wp14:editId="5216280A">
              <wp:simplePos x="0" y="0"/>
              <wp:positionH relativeFrom="column">
                <wp:posOffset>-890905</wp:posOffset>
              </wp:positionH>
              <wp:positionV relativeFrom="paragraph">
                <wp:posOffset>362162</wp:posOffset>
              </wp:positionV>
              <wp:extent cx="7543800" cy="270933"/>
              <wp:effectExtent l="0" t="0" r="0" b="0"/>
              <wp:wrapNone/>
              <wp:docPr id="4" name="Rechteck 4"/>
              <wp:cNvGraphicFramePr/>
              <a:graphic xmlns:a="http://schemas.openxmlformats.org/drawingml/2006/main">
                <a:graphicData uri="http://schemas.microsoft.com/office/word/2010/wordprocessingShape">
                  <wps:wsp>
                    <wps:cNvSpPr/>
                    <wps:spPr>
                      <a:xfrm>
                        <a:off x="0" y="0"/>
                        <a:ext cx="7543800" cy="270933"/>
                      </a:xfrm>
                      <a:prstGeom prst="rect">
                        <a:avLst/>
                      </a:prstGeom>
                      <a:solidFill>
                        <a:srgbClr val="0077B3"/>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7C946A56" id="Rechteck 4" o:spid="_x0000_s1026" style="position:absolute;margin-left:-70.15pt;margin-top:28.5pt;width:594pt;height:2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" fillcolor="#0077b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33C6" w14:textId="77777777" w:rsidR="00136920" w:rsidRDefault="00136920" w:rsidP="009844F9">
      <w:r>
        <w:separator/>
      </w:r>
    </w:p>
  </w:footnote>
  <w:footnote w:type="continuationSeparator" w:id="0">
    <w:p w14:paraId="2B4A127B" w14:textId="77777777" w:rsidR="00136920" w:rsidRDefault="00136920" w:rsidP="009844F9">
      <w:r>
        <w:continuationSeparator/>
      </w:r>
    </w:p>
  </w:footnote>
  <w:footnote w:type="continuationNotice" w:id="1">
    <w:p w14:paraId="31DA304C" w14:textId="77777777" w:rsidR="00136920" w:rsidRDefault="001369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0376" w14:textId="77777777" w:rsidR="00897B52" w:rsidRPr="00E57665" w:rsidRDefault="002B44FF" w:rsidP="0005724A">
    <w:pPr>
      <w:pStyle w:val="Zhlav"/>
    </w:pPr>
    <w:r w:rsidRPr="0066165B">
      <w:rPr>
        <w:noProof/>
        <w:highlight w:val="blue"/>
      </w:rPr>
      <w:drawing>
        <wp:anchor distT="0" distB="0" distL="114300" distR="114300" simplePos="0" relativeHeight="251658243" behindDoc="0" locked="0" layoutInCell="1" allowOverlap="1" wp14:anchorId="1D2BB956" wp14:editId="3171D9CE">
          <wp:simplePos x="0" y="0"/>
          <wp:positionH relativeFrom="column">
            <wp:posOffset>-747</wp:posOffset>
          </wp:positionH>
          <wp:positionV relativeFrom="paragraph">
            <wp:posOffset>123190</wp:posOffset>
          </wp:positionV>
          <wp:extent cx="987136" cy="469323"/>
          <wp:effectExtent l="0" t="0" r="3810" b="63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87136" cy="469323"/>
                  </a:xfrm>
                  <a:prstGeom prst="rect">
                    <a:avLst/>
                  </a:prstGeom>
                </pic:spPr>
              </pic:pic>
            </a:graphicData>
          </a:graphic>
          <wp14:sizeRelH relativeFrom="margin">
            <wp14:pctWidth>0</wp14:pctWidth>
          </wp14:sizeRelH>
          <wp14:sizeRelV relativeFrom="margin">
            <wp14:pctHeight>0</wp14:pctHeight>
          </wp14:sizeRelV>
        </wp:anchor>
      </w:drawing>
    </w:r>
    <w:r w:rsidRPr="0066165B">
      <w:rPr>
        <w:noProof/>
        <w:highlight w:val="blue"/>
      </w:rPr>
      <mc:AlternateContent>
        <mc:Choice Requires="wps">
          <w:drawing>
            <wp:anchor distT="0" distB="0" distL="114300" distR="114300" simplePos="0" relativeHeight="251658244" behindDoc="1" locked="1" layoutInCell="1" allowOverlap="1" wp14:anchorId="77BD8B33" wp14:editId="3D921BCA">
              <wp:simplePos x="0" y="0"/>
              <wp:positionH relativeFrom="page">
                <wp:posOffset>427355</wp:posOffset>
              </wp:positionH>
              <wp:positionV relativeFrom="page">
                <wp:posOffset>260985</wp:posOffset>
              </wp:positionV>
              <wp:extent cx="6767830" cy="755650"/>
              <wp:effectExtent l="0" t="0" r="1270" b="6350"/>
              <wp:wrapNone/>
              <wp:docPr id="589" name="Rechteck: abgerundete Ecken 589"/>
              <wp:cNvGraphicFramePr/>
              <a:graphic xmlns:a="http://schemas.openxmlformats.org/drawingml/2006/main">
                <a:graphicData uri="http://schemas.microsoft.com/office/word/2010/wordprocessingShape">
                  <wps:wsp>
                    <wps:cNvSpPr/>
                    <wps:spPr>
                      <a:xfrm>
                        <a:off x="0" y="0"/>
                        <a:ext cx="6767830" cy="755650"/>
                      </a:xfrm>
                      <a:prstGeom prst="roundRect">
                        <a:avLst>
                          <a:gd name="adj" fmla="val 9377"/>
                        </a:avLst>
                      </a:prstGeom>
                      <a:solidFill>
                        <a:srgbClr val="2870ED"/>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454B2" w14:textId="20B90243" w:rsidR="001D07BC" w:rsidRPr="00F064B6" w:rsidRDefault="00D2183A"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sidR="00990655">
                            <w:rPr>
                              <w:rFonts w:ascii="Inter" w:hAnsi="Inter"/>
                              <w:color w:val="FFFFFF" w:themeColor="background1"/>
                              <w:sz w:val="18"/>
                              <w:szCs w:val="32"/>
                            </w:rPr>
                            <w:t>30 April 2025</w:t>
                          </w:r>
                        </w:p>
                        <w:p w14:paraId="0392233C" w14:textId="77777777" w:rsidR="002B44FF" w:rsidRPr="00962EBC" w:rsidRDefault="002B44FF" w:rsidP="001D07B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D8B33" id="Rechteck: abgerundete Ecken 589" o:spid="_x0000_s1027" style="position:absolute;margin-left:33.65pt;margin-top:20.55pt;width:532.9pt;height: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" fillcolor="#2870ed" stroked="f" strokeweight=".25pt">
              <v:stroke joinstyle="miter"/>
              <v:textbox>
                <w:txbxContent>
                  <w:p w14:paraId="65E454B2" w14:textId="20B90243" w:rsidR="001D07BC" w:rsidRPr="00F064B6" w:rsidRDefault="00D2183A"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sidR="00990655">
                      <w:rPr>
                        <w:rFonts w:ascii="Inter" w:hAnsi="Inter"/>
                        <w:color w:val="FFFFFF" w:themeColor="background1"/>
                        <w:sz w:val="18"/>
                        <w:szCs w:val="32"/>
                      </w:rPr>
                      <w:t>30 April 2025</w:t>
                    </w:r>
                  </w:p>
                  <w:p w14:paraId="0392233C" w14:textId="77777777" w:rsidR="002B44FF" w:rsidRPr="00962EBC" w:rsidRDefault="002B44FF" w:rsidP="001D07BC">
                    <w:pPr>
                      <w:rPr>
                        <w:lang w:val="en-US"/>
                      </w:rPr>
                    </w:pPr>
                  </w:p>
                </w:txbxContent>
              </v:textbox>
              <w10:wrap anchorx="page" anchory="page"/>
              <w10:anchorlock/>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3A4E" w14:textId="77777777" w:rsidR="009844F9" w:rsidRDefault="00E67431">
    <w:pPr>
      <w:pStyle w:val="Zhlav"/>
    </w:pPr>
    <w:r w:rsidRPr="00E67431">
      <w:rPr>
        <w:noProof/>
      </w:rPr>
      <w:drawing>
        <wp:anchor distT="0" distB="0" distL="114300" distR="114300" simplePos="0" relativeHeight="251658241" behindDoc="1" locked="0" layoutInCell="1" allowOverlap="1" wp14:anchorId="2940DC64" wp14:editId="3853B129">
          <wp:simplePos x="0" y="0"/>
          <wp:positionH relativeFrom="column">
            <wp:posOffset>3363595</wp:posOffset>
          </wp:positionH>
          <wp:positionV relativeFrom="paragraph">
            <wp:posOffset>146897</wp:posOffset>
          </wp:positionV>
          <wp:extent cx="2904490" cy="520700"/>
          <wp:effectExtent l="0" t="0" r="3810" b="0"/>
          <wp:wrapTight wrapText="bothSides">
            <wp:wrapPolygon edited="0">
              <wp:start x="0" y="0"/>
              <wp:lineTo x="0" y="21073"/>
              <wp:lineTo x="21534" y="21073"/>
              <wp:lineTo x="21534" y="0"/>
              <wp:lineTo x="0" y="0"/>
            </wp:wrapPolygon>
          </wp:wrapTight>
          <wp:docPr id="22" name="Grafik 22" descr="P:\01980394\OE0394\OE_ORD\PRESSE\E. ADMINISTRATION\Logos\Erste Bank\a_NEUE LOGOs ab Okt 2017\EBSPK_office_external-mate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1980394\OE0394\OE_ORD\PRESSE\E. ADMINISTRATION\Logos\Erste Bank\a_NEUE LOGOs ab Okt 2017\EBSPK_office_external-mater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449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431">
      <w:rPr>
        <w:noProof/>
      </w:rPr>
      <mc:AlternateContent>
        <mc:Choice Requires="wps">
          <w:drawing>
            <wp:anchor distT="0" distB="0" distL="114300" distR="114300" simplePos="0" relativeHeight="251658240" behindDoc="1" locked="0" layoutInCell="1" allowOverlap="1" wp14:anchorId="7DC03AA5" wp14:editId="5296DA74">
              <wp:simplePos x="0" y="0"/>
              <wp:positionH relativeFrom="page">
                <wp:posOffset>19262</wp:posOffset>
              </wp:positionH>
              <wp:positionV relativeFrom="page">
                <wp:posOffset>3387</wp:posOffset>
              </wp:positionV>
              <wp:extent cx="7560310" cy="1218565"/>
              <wp:effectExtent l="0" t="0" r="0" b="63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18565"/>
                      </a:xfrm>
                      <a:prstGeom prst="rect">
                        <a:avLst/>
                      </a:prstGeom>
                      <a:solidFill>
                        <a:srgbClr val="BCE4FA"/>
                      </a:solidFill>
                      <a:ln>
                        <a:noFill/>
                      </a:ln>
                    </wps:spPr>
                    <wps:txbx>
                      <w:txbxContent>
                        <w:p w14:paraId="77438913" w14:textId="77777777" w:rsidR="00E67431" w:rsidRDefault="00E67431" w:rsidP="00E67431">
                          <w:pPr>
                            <w:rPr>
                              <w:rFonts w:ascii="Open Sans" w:eastAsia="Arial" w:hAnsi="Open Sans" w:cs="Open Sans"/>
                              <w:b/>
                              <w:bCs/>
                              <w:color w:val="00497C"/>
                              <w:sz w:val="28"/>
                              <w:szCs w:val="28"/>
                            </w:rPr>
                          </w:pPr>
                        </w:p>
                        <w:p w14:paraId="74EE9B08" w14:textId="77777777" w:rsidR="00E67431" w:rsidRDefault="00E67431" w:rsidP="00E67431">
                          <w:pPr>
                            <w:rPr>
                              <w:rFonts w:ascii="Open Sans" w:eastAsia="Arial" w:hAnsi="Open Sans" w:cs="Open Sans"/>
                              <w:b/>
                              <w:bCs/>
                              <w:color w:val="00497C"/>
                              <w:sz w:val="28"/>
                              <w:szCs w:val="28"/>
                            </w:rPr>
                          </w:pPr>
                        </w:p>
                        <w:p w14:paraId="00BE68C9"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23C6A9A2" w14:textId="568BA702"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DB2D1E">
                            <w:rPr>
                              <w:noProof/>
                            </w:rPr>
                            <w:t>29. April 2025</w:t>
                          </w:r>
                          <w:r w:rsidRPr="003C10C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03AA5" id="Rechteck 2" o:spid="_x0000_s1028" style="position:absolute;margin-left:1.5pt;margin-top:.25pt;width:595.3pt;height:9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" fillcolor="#bce4fa" stroked="f">
              <v:textbox>
                <w:txbxContent>
                  <w:p w14:paraId="77438913" w14:textId="77777777" w:rsidR="00E67431" w:rsidRDefault="00E67431" w:rsidP="00E67431">
                    <w:pPr>
                      <w:rPr>
                        <w:rFonts w:ascii="Open Sans" w:eastAsia="Arial" w:hAnsi="Open Sans" w:cs="Open Sans"/>
                        <w:b/>
                        <w:bCs/>
                        <w:color w:val="00497C"/>
                        <w:sz w:val="28"/>
                        <w:szCs w:val="28"/>
                      </w:rPr>
                    </w:pPr>
                  </w:p>
                  <w:p w14:paraId="74EE9B08" w14:textId="77777777" w:rsidR="00E67431" w:rsidRDefault="00E67431" w:rsidP="00E67431">
                    <w:pPr>
                      <w:rPr>
                        <w:rFonts w:ascii="Open Sans" w:eastAsia="Arial" w:hAnsi="Open Sans" w:cs="Open Sans"/>
                        <w:b/>
                        <w:bCs/>
                        <w:color w:val="00497C"/>
                        <w:sz w:val="28"/>
                        <w:szCs w:val="28"/>
                      </w:rPr>
                    </w:pPr>
                  </w:p>
                  <w:p w14:paraId="00BE68C9"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23C6A9A2" w14:textId="568BA702"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DB2D1E">
                      <w:rPr>
                        <w:noProof/>
                      </w:rPr>
                      <w:t>29. April 2025</w:t>
                    </w:r>
                    <w:r w:rsidRPr="003C10CD">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65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4D9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04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4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2D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A2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EC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EC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C6D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61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71B67"/>
    <w:multiLevelType w:val="hybridMultilevel"/>
    <w:tmpl w:val="6CC6400A"/>
    <w:lvl w:ilvl="0" w:tplc="858842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736232"/>
    <w:multiLevelType w:val="multilevel"/>
    <w:tmpl w:val="DFD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3643A"/>
    <w:multiLevelType w:val="hybridMultilevel"/>
    <w:tmpl w:val="80BA015E"/>
    <w:lvl w:ilvl="0" w:tplc="BABC3774">
      <w:start w:val="1"/>
      <w:numFmt w:val="bullet"/>
      <w:pStyle w:val="Odstavecseseznamem"/>
      <w:lvlText w:val=""/>
      <w:lvlJc w:val="left"/>
      <w:pPr>
        <w:ind w:left="36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7E34BE"/>
    <w:multiLevelType w:val="hybridMultilevel"/>
    <w:tmpl w:val="B1C45F4E"/>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200" w:hanging="360"/>
      </w:pPr>
      <w:rPr>
        <w:rFonts w:ascii="Courier New" w:hAnsi="Courier New" w:cs="Courier New" w:hint="default"/>
      </w:rPr>
    </w:lvl>
    <w:lvl w:ilvl="2" w:tplc="0C070005" w:tentative="1">
      <w:start w:val="1"/>
      <w:numFmt w:val="bullet"/>
      <w:lvlText w:val=""/>
      <w:lvlJc w:val="left"/>
      <w:pPr>
        <w:ind w:left="1920" w:hanging="360"/>
      </w:pPr>
      <w:rPr>
        <w:rFonts w:ascii="Wingdings" w:hAnsi="Wingdings" w:hint="default"/>
      </w:rPr>
    </w:lvl>
    <w:lvl w:ilvl="3" w:tplc="0C070001" w:tentative="1">
      <w:start w:val="1"/>
      <w:numFmt w:val="bullet"/>
      <w:lvlText w:val=""/>
      <w:lvlJc w:val="left"/>
      <w:pPr>
        <w:ind w:left="2640" w:hanging="360"/>
      </w:pPr>
      <w:rPr>
        <w:rFonts w:ascii="Symbol" w:hAnsi="Symbol" w:hint="default"/>
      </w:rPr>
    </w:lvl>
    <w:lvl w:ilvl="4" w:tplc="0C070003" w:tentative="1">
      <w:start w:val="1"/>
      <w:numFmt w:val="bullet"/>
      <w:lvlText w:val="o"/>
      <w:lvlJc w:val="left"/>
      <w:pPr>
        <w:ind w:left="3360" w:hanging="360"/>
      </w:pPr>
      <w:rPr>
        <w:rFonts w:ascii="Courier New" w:hAnsi="Courier New" w:cs="Courier New" w:hint="default"/>
      </w:rPr>
    </w:lvl>
    <w:lvl w:ilvl="5" w:tplc="0C070005" w:tentative="1">
      <w:start w:val="1"/>
      <w:numFmt w:val="bullet"/>
      <w:lvlText w:val=""/>
      <w:lvlJc w:val="left"/>
      <w:pPr>
        <w:ind w:left="4080" w:hanging="360"/>
      </w:pPr>
      <w:rPr>
        <w:rFonts w:ascii="Wingdings" w:hAnsi="Wingdings" w:hint="default"/>
      </w:rPr>
    </w:lvl>
    <w:lvl w:ilvl="6" w:tplc="0C070001" w:tentative="1">
      <w:start w:val="1"/>
      <w:numFmt w:val="bullet"/>
      <w:lvlText w:val=""/>
      <w:lvlJc w:val="left"/>
      <w:pPr>
        <w:ind w:left="4800" w:hanging="360"/>
      </w:pPr>
      <w:rPr>
        <w:rFonts w:ascii="Symbol" w:hAnsi="Symbol" w:hint="default"/>
      </w:rPr>
    </w:lvl>
    <w:lvl w:ilvl="7" w:tplc="0C070003" w:tentative="1">
      <w:start w:val="1"/>
      <w:numFmt w:val="bullet"/>
      <w:lvlText w:val="o"/>
      <w:lvlJc w:val="left"/>
      <w:pPr>
        <w:ind w:left="5520" w:hanging="360"/>
      </w:pPr>
      <w:rPr>
        <w:rFonts w:ascii="Courier New" w:hAnsi="Courier New" w:cs="Courier New" w:hint="default"/>
      </w:rPr>
    </w:lvl>
    <w:lvl w:ilvl="8" w:tplc="0C070005" w:tentative="1">
      <w:start w:val="1"/>
      <w:numFmt w:val="bullet"/>
      <w:lvlText w:val=""/>
      <w:lvlJc w:val="left"/>
      <w:pPr>
        <w:ind w:left="6240" w:hanging="360"/>
      </w:pPr>
      <w:rPr>
        <w:rFonts w:ascii="Wingdings" w:hAnsi="Wingdings" w:hint="default"/>
      </w:rPr>
    </w:lvl>
  </w:abstractNum>
  <w:abstractNum w:abstractNumId="14" w15:restartNumberingAfterBreak="0">
    <w:nsid w:val="5D3B6693"/>
    <w:multiLevelType w:val="hybridMultilevel"/>
    <w:tmpl w:val="139499B8"/>
    <w:lvl w:ilvl="0" w:tplc="1920532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5B587E"/>
    <w:multiLevelType w:val="multilevel"/>
    <w:tmpl w:val="57B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C7D64"/>
    <w:multiLevelType w:val="multilevel"/>
    <w:tmpl w:val="5384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785675">
    <w:abstractNumId w:val="10"/>
  </w:num>
  <w:num w:numId="2" w16cid:durableId="1860122392">
    <w:abstractNumId w:val="13"/>
  </w:num>
  <w:num w:numId="3" w16cid:durableId="1735354434">
    <w:abstractNumId w:val="0"/>
  </w:num>
  <w:num w:numId="4" w16cid:durableId="508643064">
    <w:abstractNumId w:val="1"/>
  </w:num>
  <w:num w:numId="5" w16cid:durableId="418527854">
    <w:abstractNumId w:val="2"/>
  </w:num>
  <w:num w:numId="6" w16cid:durableId="1965647766">
    <w:abstractNumId w:val="3"/>
  </w:num>
  <w:num w:numId="7" w16cid:durableId="1981376145">
    <w:abstractNumId w:val="8"/>
  </w:num>
  <w:num w:numId="8" w16cid:durableId="1782987482">
    <w:abstractNumId w:val="4"/>
  </w:num>
  <w:num w:numId="9" w16cid:durableId="853035032">
    <w:abstractNumId w:val="5"/>
  </w:num>
  <w:num w:numId="10" w16cid:durableId="1113014336">
    <w:abstractNumId w:val="6"/>
  </w:num>
  <w:num w:numId="11" w16cid:durableId="777916835">
    <w:abstractNumId w:val="7"/>
  </w:num>
  <w:num w:numId="12" w16cid:durableId="64883177">
    <w:abstractNumId w:val="9"/>
  </w:num>
  <w:num w:numId="13" w16cid:durableId="1041590433">
    <w:abstractNumId w:val="12"/>
  </w:num>
  <w:num w:numId="14" w16cid:durableId="677580120">
    <w:abstractNumId w:val="14"/>
  </w:num>
  <w:num w:numId="15" w16cid:durableId="238491641">
    <w:abstractNumId w:val="12"/>
    <w:lvlOverride w:ilvl="0">
      <w:startOverride w:val="1"/>
    </w:lvlOverride>
  </w:num>
  <w:num w:numId="16" w16cid:durableId="426997840">
    <w:abstractNumId w:val="12"/>
    <w:lvlOverride w:ilvl="0">
      <w:startOverride w:val="1"/>
    </w:lvlOverride>
  </w:num>
  <w:num w:numId="17" w16cid:durableId="1815221451">
    <w:abstractNumId w:val="12"/>
    <w:lvlOverride w:ilvl="0">
      <w:startOverride w:val="1"/>
    </w:lvlOverride>
  </w:num>
  <w:num w:numId="18" w16cid:durableId="1296914770">
    <w:abstractNumId w:val="16"/>
  </w:num>
  <w:num w:numId="19" w16cid:durableId="461581737">
    <w:abstractNumId w:val="11"/>
  </w:num>
  <w:num w:numId="20" w16cid:durableId="601033376">
    <w:abstractNumId w:val="15"/>
  </w:num>
  <w:num w:numId="21" w16cid:durableId="1003095755">
    <w:abstractNumId w:val="12"/>
  </w:num>
  <w:num w:numId="22" w16cid:durableId="11668980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51"/>
    <w:rsid w:val="00027A28"/>
    <w:rsid w:val="00030D0C"/>
    <w:rsid w:val="0005668A"/>
    <w:rsid w:val="0005724A"/>
    <w:rsid w:val="00060161"/>
    <w:rsid w:val="000639E7"/>
    <w:rsid w:val="00067770"/>
    <w:rsid w:val="00071C74"/>
    <w:rsid w:val="0007302D"/>
    <w:rsid w:val="000746A8"/>
    <w:rsid w:val="00080652"/>
    <w:rsid w:val="0008090D"/>
    <w:rsid w:val="00097080"/>
    <w:rsid w:val="000A5343"/>
    <w:rsid w:val="000B694D"/>
    <w:rsid w:val="000C16B6"/>
    <w:rsid w:val="000C7445"/>
    <w:rsid w:val="000C7C0C"/>
    <w:rsid w:val="000D1AFA"/>
    <w:rsid w:val="000D4287"/>
    <w:rsid w:val="000D7320"/>
    <w:rsid w:val="000E509A"/>
    <w:rsid w:val="000F23A3"/>
    <w:rsid w:val="001006BB"/>
    <w:rsid w:val="001072B6"/>
    <w:rsid w:val="00113355"/>
    <w:rsid w:val="0011768D"/>
    <w:rsid w:val="00117FB4"/>
    <w:rsid w:val="00131718"/>
    <w:rsid w:val="001323A7"/>
    <w:rsid w:val="00134865"/>
    <w:rsid w:val="00136920"/>
    <w:rsid w:val="00152EBF"/>
    <w:rsid w:val="001668A6"/>
    <w:rsid w:val="00167E7A"/>
    <w:rsid w:val="001739E1"/>
    <w:rsid w:val="00191778"/>
    <w:rsid w:val="0019465C"/>
    <w:rsid w:val="00196F27"/>
    <w:rsid w:val="0019748B"/>
    <w:rsid w:val="001A2803"/>
    <w:rsid w:val="001C5B42"/>
    <w:rsid w:val="001D07BC"/>
    <w:rsid w:val="001D4FE8"/>
    <w:rsid w:val="001D6751"/>
    <w:rsid w:val="001D6A7F"/>
    <w:rsid w:val="001D730C"/>
    <w:rsid w:val="001D745F"/>
    <w:rsid w:val="001E5EB6"/>
    <w:rsid w:val="00210420"/>
    <w:rsid w:val="00224C8A"/>
    <w:rsid w:val="0025182E"/>
    <w:rsid w:val="002539DD"/>
    <w:rsid w:val="00260790"/>
    <w:rsid w:val="002661DB"/>
    <w:rsid w:val="00280154"/>
    <w:rsid w:val="00291755"/>
    <w:rsid w:val="002977DF"/>
    <w:rsid w:val="002A0D59"/>
    <w:rsid w:val="002A220D"/>
    <w:rsid w:val="002A27C0"/>
    <w:rsid w:val="002B44FF"/>
    <w:rsid w:val="002B49C0"/>
    <w:rsid w:val="002B7D0C"/>
    <w:rsid w:val="002C18D8"/>
    <w:rsid w:val="002D10B2"/>
    <w:rsid w:val="002D5D4F"/>
    <w:rsid w:val="002D73C5"/>
    <w:rsid w:val="002F1CBD"/>
    <w:rsid w:val="002F3D38"/>
    <w:rsid w:val="002F71C4"/>
    <w:rsid w:val="00302879"/>
    <w:rsid w:val="00315858"/>
    <w:rsid w:val="00323F53"/>
    <w:rsid w:val="0033172B"/>
    <w:rsid w:val="003521DB"/>
    <w:rsid w:val="00356651"/>
    <w:rsid w:val="00366377"/>
    <w:rsid w:val="00380EDD"/>
    <w:rsid w:val="00393B6C"/>
    <w:rsid w:val="003A7138"/>
    <w:rsid w:val="003B3C0A"/>
    <w:rsid w:val="003C10CD"/>
    <w:rsid w:val="003E2823"/>
    <w:rsid w:val="003E5DAD"/>
    <w:rsid w:val="003E7F90"/>
    <w:rsid w:val="003F420F"/>
    <w:rsid w:val="003F5CD5"/>
    <w:rsid w:val="00422422"/>
    <w:rsid w:val="00423C5C"/>
    <w:rsid w:val="00426162"/>
    <w:rsid w:val="004307B6"/>
    <w:rsid w:val="00431C8D"/>
    <w:rsid w:val="0043306E"/>
    <w:rsid w:val="00435013"/>
    <w:rsid w:val="00437697"/>
    <w:rsid w:val="004479C8"/>
    <w:rsid w:val="00454508"/>
    <w:rsid w:val="004547D8"/>
    <w:rsid w:val="00455E1D"/>
    <w:rsid w:val="004602D2"/>
    <w:rsid w:val="004677D1"/>
    <w:rsid w:val="00470F63"/>
    <w:rsid w:val="004B2716"/>
    <w:rsid w:val="004C0253"/>
    <w:rsid w:val="004E4798"/>
    <w:rsid w:val="004F1AB5"/>
    <w:rsid w:val="00506C14"/>
    <w:rsid w:val="00512320"/>
    <w:rsid w:val="0052487D"/>
    <w:rsid w:val="0054376A"/>
    <w:rsid w:val="005503D9"/>
    <w:rsid w:val="00550881"/>
    <w:rsid w:val="005530C3"/>
    <w:rsid w:val="00553F90"/>
    <w:rsid w:val="00555D69"/>
    <w:rsid w:val="00556CEB"/>
    <w:rsid w:val="00557FF6"/>
    <w:rsid w:val="005611EC"/>
    <w:rsid w:val="0056412E"/>
    <w:rsid w:val="0057621C"/>
    <w:rsid w:val="00580D9F"/>
    <w:rsid w:val="00583F36"/>
    <w:rsid w:val="00584B98"/>
    <w:rsid w:val="00587FBD"/>
    <w:rsid w:val="00592FE0"/>
    <w:rsid w:val="00597A2D"/>
    <w:rsid w:val="005A4A85"/>
    <w:rsid w:val="005C139E"/>
    <w:rsid w:val="005C34A1"/>
    <w:rsid w:val="005C77CE"/>
    <w:rsid w:val="005D0010"/>
    <w:rsid w:val="005D155B"/>
    <w:rsid w:val="005D2D7A"/>
    <w:rsid w:val="005D40A0"/>
    <w:rsid w:val="005D5601"/>
    <w:rsid w:val="005E1A12"/>
    <w:rsid w:val="0060593E"/>
    <w:rsid w:val="00607AA1"/>
    <w:rsid w:val="0061228C"/>
    <w:rsid w:val="00612440"/>
    <w:rsid w:val="00615FF0"/>
    <w:rsid w:val="006215BD"/>
    <w:rsid w:val="00630EAE"/>
    <w:rsid w:val="00636FF7"/>
    <w:rsid w:val="00644CC0"/>
    <w:rsid w:val="0064757E"/>
    <w:rsid w:val="006613AF"/>
    <w:rsid w:val="0066165B"/>
    <w:rsid w:val="00663059"/>
    <w:rsid w:val="00664280"/>
    <w:rsid w:val="00687982"/>
    <w:rsid w:val="0069608C"/>
    <w:rsid w:val="006A051E"/>
    <w:rsid w:val="006A141D"/>
    <w:rsid w:val="006A3622"/>
    <w:rsid w:val="006A47C9"/>
    <w:rsid w:val="006C4B16"/>
    <w:rsid w:val="006D2313"/>
    <w:rsid w:val="006D6B2A"/>
    <w:rsid w:val="006E5BEE"/>
    <w:rsid w:val="006F1F39"/>
    <w:rsid w:val="00711293"/>
    <w:rsid w:val="007112BD"/>
    <w:rsid w:val="00711920"/>
    <w:rsid w:val="00711D5D"/>
    <w:rsid w:val="00711FD9"/>
    <w:rsid w:val="00713181"/>
    <w:rsid w:val="0071615B"/>
    <w:rsid w:val="007263E4"/>
    <w:rsid w:val="00736C4C"/>
    <w:rsid w:val="00745D18"/>
    <w:rsid w:val="007571EA"/>
    <w:rsid w:val="00757CC0"/>
    <w:rsid w:val="00764969"/>
    <w:rsid w:val="007711B0"/>
    <w:rsid w:val="00774E0D"/>
    <w:rsid w:val="0077704D"/>
    <w:rsid w:val="00781B84"/>
    <w:rsid w:val="00781C80"/>
    <w:rsid w:val="00785CBB"/>
    <w:rsid w:val="007A12A6"/>
    <w:rsid w:val="007B3D66"/>
    <w:rsid w:val="007C241A"/>
    <w:rsid w:val="007C4195"/>
    <w:rsid w:val="007D4273"/>
    <w:rsid w:val="007E1B77"/>
    <w:rsid w:val="007E45B9"/>
    <w:rsid w:val="007E4B3F"/>
    <w:rsid w:val="007E59D6"/>
    <w:rsid w:val="007E7419"/>
    <w:rsid w:val="007E7492"/>
    <w:rsid w:val="0080247D"/>
    <w:rsid w:val="00820694"/>
    <w:rsid w:val="0082079A"/>
    <w:rsid w:val="00831ED7"/>
    <w:rsid w:val="008355F4"/>
    <w:rsid w:val="0085607C"/>
    <w:rsid w:val="008568D5"/>
    <w:rsid w:val="00866234"/>
    <w:rsid w:val="008674C9"/>
    <w:rsid w:val="00890B7D"/>
    <w:rsid w:val="00897B52"/>
    <w:rsid w:val="008A4E98"/>
    <w:rsid w:val="008A539B"/>
    <w:rsid w:val="008B419D"/>
    <w:rsid w:val="008E1FA8"/>
    <w:rsid w:val="008F4334"/>
    <w:rsid w:val="008F568D"/>
    <w:rsid w:val="009170AC"/>
    <w:rsid w:val="00920859"/>
    <w:rsid w:val="009238C5"/>
    <w:rsid w:val="00924544"/>
    <w:rsid w:val="009247A0"/>
    <w:rsid w:val="009408FA"/>
    <w:rsid w:val="00947639"/>
    <w:rsid w:val="00951C91"/>
    <w:rsid w:val="00962EBC"/>
    <w:rsid w:val="00974B5B"/>
    <w:rsid w:val="009826C8"/>
    <w:rsid w:val="009844F9"/>
    <w:rsid w:val="00990655"/>
    <w:rsid w:val="009955F5"/>
    <w:rsid w:val="009C06BB"/>
    <w:rsid w:val="009C57D6"/>
    <w:rsid w:val="009C7387"/>
    <w:rsid w:val="009C7D32"/>
    <w:rsid w:val="009D3F4C"/>
    <w:rsid w:val="009E0111"/>
    <w:rsid w:val="009E059C"/>
    <w:rsid w:val="009E4B98"/>
    <w:rsid w:val="00A00816"/>
    <w:rsid w:val="00A10285"/>
    <w:rsid w:val="00A1759F"/>
    <w:rsid w:val="00A239C0"/>
    <w:rsid w:val="00A23F87"/>
    <w:rsid w:val="00A24B0B"/>
    <w:rsid w:val="00A25DAA"/>
    <w:rsid w:val="00A315E1"/>
    <w:rsid w:val="00A32B4D"/>
    <w:rsid w:val="00A3785C"/>
    <w:rsid w:val="00A4641A"/>
    <w:rsid w:val="00A55FE4"/>
    <w:rsid w:val="00A6002A"/>
    <w:rsid w:val="00A73A09"/>
    <w:rsid w:val="00A76FEF"/>
    <w:rsid w:val="00A84C1A"/>
    <w:rsid w:val="00A85FA9"/>
    <w:rsid w:val="00A871C5"/>
    <w:rsid w:val="00A876E6"/>
    <w:rsid w:val="00A97970"/>
    <w:rsid w:val="00A97F87"/>
    <w:rsid w:val="00AA1D47"/>
    <w:rsid w:val="00AB0A61"/>
    <w:rsid w:val="00AB12A4"/>
    <w:rsid w:val="00AC2BDF"/>
    <w:rsid w:val="00AC3985"/>
    <w:rsid w:val="00AD6212"/>
    <w:rsid w:val="00AE2C02"/>
    <w:rsid w:val="00AE6275"/>
    <w:rsid w:val="00AF1580"/>
    <w:rsid w:val="00AF6E36"/>
    <w:rsid w:val="00B16425"/>
    <w:rsid w:val="00B16D68"/>
    <w:rsid w:val="00B170B0"/>
    <w:rsid w:val="00B2305D"/>
    <w:rsid w:val="00B27117"/>
    <w:rsid w:val="00B3111E"/>
    <w:rsid w:val="00B368BB"/>
    <w:rsid w:val="00B36E02"/>
    <w:rsid w:val="00B46719"/>
    <w:rsid w:val="00B6218A"/>
    <w:rsid w:val="00B7318C"/>
    <w:rsid w:val="00B74C56"/>
    <w:rsid w:val="00B938F2"/>
    <w:rsid w:val="00B97411"/>
    <w:rsid w:val="00BA2B75"/>
    <w:rsid w:val="00BB1981"/>
    <w:rsid w:val="00BC24BB"/>
    <w:rsid w:val="00BC4088"/>
    <w:rsid w:val="00BC5E2E"/>
    <w:rsid w:val="00BC7769"/>
    <w:rsid w:val="00BC7DF6"/>
    <w:rsid w:val="00BD61C2"/>
    <w:rsid w:val="00BD6D0D"/>
    <w:rsid w:val="00BE1673"/>
    <w:rsid w:val="00BF0011"/>
    <w:rsid w:val="00BF0F8E"/>
    <w:rsid w:val="00BF52E2"/>
    <w:rsid w:val="00C31F96"/>
    <w:rsid w:val="00C359D1"/>
    <w:rsid w:val="00C50C0C"/>
    <w:rsid w:val="00C53995"/>
    <w:rsid w:val="00C5551A"/>
    <w:rsid w:val="00C5786B"/>
    <w:rsid w:val="00C63738"/>
    <w:rsid w:val="00C67350"/>
    <w:rsid w:val="00C71EFA"/>
    <w:rsid w:val="00C76836"/>
    <w:rsid w:val="00C83853"/>
    <w:rsid w:val="00C87B53"/>
    <w:rsid w:val="00C93B0D"/>
    <w:rsid w:val="00C94C4E"/>
    <w:rsid w:val="00CA4B96"/>
    <w:rsid w:val="00CB126C"/>
    <w:rsid w:val="00CB3528"/>
    <w:rsid w:val="00CB4815"/>
    <w:rsid w:val="00CC0BF7"/>
    <w:rsid w:val="00CC18B8"/>
    <w:rsid w:val="00CC3F85"/>
    <w:rsid w:val="00CC6626"/>
    <w:rsid w:val="00CD519A"/>
    <w:rsid w:val="00CE05CE"/>
    <w:rsid w:val="00CE1435"/>
    <w:rsid w:val="00CF58BD"/>
    <w:rsid w:val="00CF67B6"/>
    <w:rsid w:val="00CF6A41"/>
    <w:rsid w:val="00CF7AA4"/>
    <w:rsid w:val="00D021AE"/>
    <w:rsid w:val="00D2183A"/>
    <w:rsid w:val="00D3103F"/>
    <w:rsid w:val="00D32A13"/>
    <w:rsid w:val="00D55211"/>
    <w:rsid w:val="00D5643A"/>
    <w:rsid w:val="00D71087"/>
    <w:rsid w:val="00D71BDB"/>
    <w:rsid w:val="00D75F8E"/>
    <w:rsid w:val="00D77402"/>
    <w:rsid w:val="00D86268"/>
    <w:rsid w:val="00D879FD"/>
    <w:rsid w:val="00D91525"/>
    <w:rsid w:val="00D95C9A"/>
    <w:rsid w:val="00D975B2"/>
    <w:rsid w:val="00DA2BED"/>
    <w:rsid w:val="00DB2D1E"/>
    <w:rsid w:val="00DC3127"/>
    <w:rsid w:val="00DC6F1B"/>
    <w:rsid w:val="00DD75B2"/>
    <w:rsid w:val="00DF2271"/>
    <w:rsid w:val="00E01C1E"/>
    <w:rsid w:val="00E0385E"/>
    <w:rsid w:val="00E1269F"/>
    <w:rsid w:val="00E271CE"/>
    <w:rsid w:val="00E3288D"/>
    <w:rsid w:val="00E51DEB"/>
    <w:rsid w:val="00E53567"/>
    <w:rsid w:val="00E5507D"/>
    <w:rsid w:val="00E57665"/>
    <w:rsid w:val="00E630E9"/>
    <w:rsid w:val="00E66A6D"/>
    <w:rsid w:val="00E67431"/>
    <w:rsid w:val="00E77A46"/>
    <w:rsid w:val="00E809BC"/>
    <w:rsid w:val="00E837D9"/>
    <w:rsid w:val="00E95F2B"/>
    <w:rsid w:val="00EB0D7D"/>
    <w:rsid w:val="00EB2F91"/>
    <w:rsid w:val="00ED59B1"/>
    <w:rsid w:val="00EE1DAD"/>
    <w:rsid w:val="00EE1E32"/>
    <w:rsid w:val="00EE2893"/>
    <w:rsid w:val="00F01CF9"/>
    <w:rsid w:val="00F03E0B"/>
    <w:rsid w:val="00F047C7"/>
    <w:rsid w:val="00F064B6"/>
    <w:rsid w:val="00F21C96"/>
    <w:rsid w:val="00F234FE"/>
    <w:rsid w:val="00F23AB9"/>
    <w:rsid w:val="00F3095B"/>
    <w:rsid w:val="00F32690"/>
    <w:rsid w:val="00F56C8E"/>
    <w:rsid w:val="00F65DD2"/>
    <w:rsid w:val="00F664E7"/>
    <w:rsid w:val="00F734F9"/>
    <w:rsid w:val="00F7399E"/>
    <w:rsid w:val="00F8607D"/>
    <w:rsid w:val="00FA4505"/>
    <w:rsid w:val="00FB3B2E"/>
    <w:rsid w:val="00FB6F12"/>
    <w:rsid w:val="00FB6F87"/>
    <w:rsid w:val="00FC1F9B"/>
    <w:rsid w:val="00FC2EF2"/>
    <w:rsid w:val="00FC3A18"/>
    <w:rsid w:val="00FC7C1A"/>
    <w:rsid w:val="00FD1B49"/>
    <w:rsid w:val="00FE02FC"/>
    <w:rsid w:val="169AD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E45EF"/>
  <w15:chartTrackingRefBased/>
  <w15:docId w15:val="{D0616308-F47D-45B1-8403-A18955F3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9844F9"/>
    <w:pPr>
      <w:spacing w:line="288" w:lineRule="auto"/>
    </w:pPr>
    <w:rPr>
      <w:rFonts w:ascii="Arial" w:hAnsi="Arial" w:cs="Arial"/>
      <w:sz w:val="20"/>
      <w:szCs w:val="20"/>
      <w:shd w:val="clear" w:color="auto" w:fill="FFFFFF"/>
      <w:lang w:val="de-AT" w:eastAsia="de-DE"/>
    </w:rPr>
  </w:style>
  <w:style w:type="paragraph" w:styleId="Nadpis1">
    <w:name w:val="heading 1"/>
    <w:basedOn w:val="Nzev"/>
    <w:next w:val="Normln"/>
    <w:link w:val="Nadpis1Char"/>
    <w:uiPriority w:val="9"/>
    <w:qFormat/>
    <w:rsid w:val="002B7D0C"/>
    <w:pPr>
      <w:outlineLvl w:val="0"/>
    </w:pPr>
    <w:rPr>
      <w:sz w:val="56"/>
      <w:szCs w:val="56"/>
    </w:rPr>
  </w:style>
  <w:style w:type="paragraph" w:styleId="Nadpis2">
    <w:name w:val="heading 2"/>
    <w:basedOn w:val="Normln"/>
    <w:next w:val="Normln"/>
    <w:link w:val="Nadpis2Char"/>
    <w:uiPriority w:val="9"/>
    <w:unhideWhenUsed/>
    <w:qFormat/>
    <w:rsid w:val="002B7D0C"/>
    <w:pPr>
      <w:keepNext/>
      <w:keepLines/>
      <w:spacing w:before="40" w:after="120"/>
      <w:outlineLvl w:val="1"/>
    </w:pPr>
    <w:rPr>
      <w:rFonts w:eastAsiaTheme="majorEastAsia" w:cstheme="majorBidi"/>
      <w:b/>
      <w:bCs/>
      <w:color w:val="00497B"/>
      <w:sz w:val="40"/>
      <w:szCs w:val="40"/>
    </w:rPr>
  </w:style>
  <w:style w:type="paragraph" w:styleId="Nadpis3">
    <w:name w:val="heading 3"/>
    <w:basedOn w:val="Nadpis2"/>
    <w:next w:val="Normln"/>
    <w:link w:val="Nadpis3Char"/>
    <w:uiPriority w:val="9"/>
    <w:unhideWhenUsed/>
    <w:qFormat/>
    <w:rsid w:val="002B7D0C"/>
    <w:pPr>
      <w:outlineLvl w:val="2"/>
    </w:pPr>
    <w:rPr>
      <w:sz w:val="32"/>
      <w:szCs w:val="32"/>
    </w:rPr>
  </w:style>
  <w:style w:type="paragraph" w:styleId="Nadpis4">
    <w:name w:val="heading 4"/>
    <w:basedOn w:val="Nadpis3"/>
    <w:next w:val="Normln"/>
    <w:link w:val="Nadpis4Char"/>
    <w:uiPriority w:val="9"/>
    <w:unhideWhenUsed/>
    <w:qFormat/>
    <w:rsid w:val="002B7D0C"/>
    <w:p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qFormat/>
    <w:rsid w:val="00553F90"/>
    <w:rPr>
      <w:rFonts w:eastAsia="Arial"/>
      <w:color w:val="00497C"/>
      <w:sz w:val="14"/>
      <w:szCs w:val="14"/>
      <w:u w:val="single"/>
      <w:shd w:val="clear" w:color="auto" w:fill="auto"/>
    </w:rPr>
  </w:style>
  <w:style w:type="paragraph" w:styleId="Zhlav">
    <w:name w:val="header"/>
    <w:basedOn w:val="Normln"/>
    <w:link w:val="ZhlavChar"/>
    <w:uiPriority w:val="99"/>
    <w:unhideWhenUsed/>
    <w:rsid w:val="00897B52"/>
    <w:pPr>
      <w:tabs>
        <w:tab w:val="center" w:pos="4536"/>
        <w:tab w:val="right" w:pos="9072"/>
      </w:tabs>
    </w:pPr>
  </w:style>
  <w:style w:type="character" w:customStyle="1" w:styleId="ZhlavChar">
    <w:name w:val="Záhlaví Char"/>
    <w:basedOn w:val="Standardnpsmoodstavce"/>
    <w:link w:val="Zhlav"/>
    <w:uiPriority w:val="99"/>
    <w:rsid w:val="00897B52"/>
    <w:rPr>
      <w:noProof/>
      <w:lang w:val="de-AT"/>
    </w:rPr>
  </w:style>
  <w:style w:type="paragraph" w:styleId="Zpat">
    <w:name w:val="footer"/>
    <w:basedOn w:val="Normln"/>
    <w:link w:val="ZpatChar"/>
    <w:uiPriority w:val="99"/>
    <w:unhideWhenUsed/>
    <w:rsid w:val="00897B52"/>
    <w:pPr>
      <w:tabs>
        <w:tab w:val="center" w:pos="4536"/>
        <w:tab w:val="right" w:pos="9072"/>
      </w:tabs>
    </w:pPr>
  </w:style>
  <w:style w:type="character" w:customStyle="1" w:styleId="ZpatChar">
    <w:name w:val="Zápatí Char"/>
    <w:basedOn w:val="Standardnpsmoodstavce"/>
    <w:link w:val="Zpat"/>
    <w:uiPriority w:val="99"/>
    <w:rsid w:val="00897B52"/>
    <w:rPr>
      <w:noProof/>
      <w:lang w:val="de-AT"/>
    </w:rPr>
  </w:style>
  <w:style w:type="paragraph" w:styleId="Nzev">
    <w:name w:val="Title"/>
    <w:basedOn w:val="Normln"/>
    <w:next w:val="Normln"/>
    <w:link w:val="NzevChar"/>
    <w:uiPriority w:val="10"/>
    <w:qFormat/>
    <w:rsid w:val="00224C8A"/>
    <w:pPr>
      <w:tabs>
        <w:tab w:val="left" w:pos="4067"/>
      </w:tabs>
    </w:pPr>
    <w:rPr>
      <w:b/>
      <w:bCs/>
      <w:color w:val="00497B"/>
      <w:sz w:val="50"/>
      <w:szCs w:val="50"/>
    </w:rPr>
  </w:style>
  <w:style w:type="character" w:customStyle="1" w:styleId="NzevChar">
    <w:name w:val="Název Char"/>
    <w:basedOn w:val="Standardnpsmoodstavce"/>
    <w:link w:val="Nzev"/>
    <w:uiPriority w:val="10"/>
    <w:rsid w:val="00224C8A"/>
    <w:rPr>
      <w:rFonts w:ascii="Arial" w:hAnsi="Arial" w:cs="Arial"/>
      <w:b/>
      <w:bCs/>
      <w:noProof/>
      <w:color w:val="00497B"/>
      <w:sz w:val="50"/>
      <w:szCs w:val="50"/>
      <w:lang w:val="de-AT"/>
    </w:rPr>
  </w:style>
  <w:style w:type="character" w:customStyle="1" w:styleId="Nadpis2Char">
    <w:name w:val="Nadpis 2 Char"/>
    <w:basedOn w:val="Standardnpsmoodstavce"/>
    <w:link w:val="Nadpis2"/>
    <w:uiPriority w:val="9"/>
    <w:rsid w:val="002B7D0C"/>
    <w:rPr>
      <w:rFonts w:ascii="Arial" w:eastAsiaTheme="majorEastAsia" w:hAnsi="Arial" w:cstheme="majorBidi"/>
      <w:b/>
      <w:bCs/>
      <w:noProof/>
      <w:color w:val="00497B"/>
      <w:sz w:val="40"/>
      <w:szCs w:val="40"/>
      <w:lang w:val="de-AT" w:eastAsia="de-DE"/>
    </w:rPr>
  </w:style>
  <w:style w:type="character" w:customStyle="1" w:styleId="Nadpis1Char">
    <w:name w:val="Nadpis 1 Char"/>
    <w:basedOn w:val="Standardnpsmoodstavce"/>
    <w:link w:val="Nadpis1"/>
    <w:uiPriority w:val="9"/>
    <w:rsid w:val="002B7D0C"/>
    <w:rPr>
      <w:rFonts w:ascii="Arial" w:hAnsi="Arial" w:cs="Arial"/>
      <w:b/>
      <w:bCs/>
      <w:noProof/>
      <w:color w:val="00497B"/>
      <w:sz w:val="56"/>
      <w:szCs w:val="56"/>
      <w:lang w:val="de-AT" w:eastAsia="de-DE"/>
    </w:rPr>
  </w:style>
  <w:style w:type="character" w:customStyle="1" w:styleId="Nadpis3Char">
    <w:name w:val="Nadpis 3 Char"/>
    <w:basedOn w:val="Standardnpsmoodstavce"/>
    <w:link w:val="Nadpis3"/>
    <w:uiPriority w:val="9"/>
    <w:rsid w:val="002B7D0C"/>
    <w:rPr>
      <w:rFonts w:ascii="Arial" w:eastAsiaTheme="majorEastAsia" w:hAnsi="Arial" w:cstheme="majorBidi"/>
      <w:b/>
      <w:bCs/>
      <w:noProof/>
      <w:color w:val="00497B"/>
      <w:sz w:val="32"/>
      <w:szCs w:val="32"/>
      <w:lang w:val="de-AT" w:eastAsia="de-DE"/>
    </w:rPr>
  </w:style>
  <w:style w:type="paragraph" w:customStyle="1" w:styleId="berschrift3mitHintergrund">
    <w:name w:val="Überschrift 3 mit Hintergrund"/>
    <w:basedOn w:val="Nadpis3"/>
    <w:qFormat/>
    <w:rsid w:val="00E57665"/>
    <w:pPr>
      <w:shd w:val="clear" w:color="auto" w:fill="A3C0D7"/>
    </w:pPr>
  </w:style>
  <w:style w:type="paragraph" w:styleId="Vrazncitt">
    <w:name w:val="Intense Quote"/>
    <w:basedOn w:val="Normln"/>
    <w:next w:val="Normln"/>
    <w:link w:val="VrazncittChar"/>
    <w:uiPriority w:val="30"/>
    <w:qFormat/>
    <w:rsid w:val="00E576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E57665"/>
    <w:rPr>
      <w:rFonts w:ascii="Arial" w:hAnsi="Arial" w:cs="Arial"/>
      <w:i/>
      <w:iCs/>
      <w:noProof/>
      <w:color w:val="4472C4" w:themeColor="accent1"/>
      <w:sz w:val="20"/>
      <w:szCs w:val="20"/>
      <w:lang w:val="de-AT" w:eastAsia="de-DE"/>
    </w:rPr>
  </w:style>
  <w:style w:type="paragraph" w:styleId="Odstavecseseznamem">
    <w:name w:val="List Paragraph"/>
    <w:basedOn w:val="Normln"/>
    <w:uiPriority w:val="34"/>
    <w:qFormat/>
    <w:rsid w:val="00AC3985"/>
    <w:pPr>
      <w:numPr>
        <w:numId w:val="13"/>
      </w:numPr>
      <w:ind w:right="986"/>
      <w:contextualSpacing/>
    </w:pPr>
    <w:rPr>
      <w:sz w:val="24"/>
      <w:szCs w:val="24"/>
    </w:rPr>
  </w:style>
  <w:style w:type="table" w:styleId="Mkatabulky">
    <w:name w:val="Table Grid"/>
    <w:basedOn w:val="Normlntabulka"/>
    <w:uiPriority w:val="39"/>
    <w:rsid w:val="002B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2B7D0C"/>
    <w:rPr>
      <w:rFonts w:ascii="Arial" w:eastAsiaTheme="majorEastAsia" w:hAnsi="Arial" w:cstheme="majorBidi"/>
      <w:b/>
      <w:bCs/>
      <w:noProof/>
      <w:color w:val="00497B"/>
      <w:lang w:val="de-AT" w:eastAsia="de-DE"/>
    </w:rPr>
  </w:style>
  <w:style w:type="character" w:styleId="Nevyeenzmnka">
    <w:name w:val="Unresolved Mention"/>
    <w:basedOn w:val="Standardnpsmoodstavce"/>
    <w:uiPriority w:val="99"/>
    <w:rsid w:val="005A4A85"/>
    <w:rPr>
      <w:color w:val="605E5C"/>
      <w:shd w:val="clear" w:color="auto" w:fill="E1DFDD"/>
    </w:rPr>
  </w:style>
  <w:style w:type="paragraph" w:customStyle="1" w:styleId="Aufzhlung">
    <w:name w:val="Aufzählung"/>
    <w:basedOn w:val="Normln"/>
    <w:uiPriority w:val="1"/>
    <w:qFormat/>
    <w:rsid w:val="00E67431"/>
    <w:pPr>
      <w:spacing w:line="320" w:lineRule="atLeast"/>
      <w:jc w:val="both"/>
    </w:pPr>
    <w:rPr>
      <w:rFonts w:ascii="Helvetica" w:eastAsia="Helvetica" w:hAnsi="Helvetica" w:cs="Helvetica"/>
      <w:sz w:val="24"/>
      <w:szCs w:val="24"/>
      <w:shd w:val="clear" w:color="auto" w:fill="auto"/>
      <w:lang w:eastAsia="de-AT" w:bidi="de-AT"/>
      <w14:ligatures w14:val="standardContextual"/>
    </w:rPr>
  </w:style>
  <w:style w:type="paragraph" w:styleId="Textkomente">
    <w:name w:val="annotation text"/>
    <w:basedOn w:val="Normln"/>
    <w:link w:val="TextkomenteChar"/>
    <w:uiPriority w:val="99"/>
    <w:unhideWhenUsed/>
    <w:rsid w:val="00E67431"/>
    <w:pPr>
      <w:spacing w:line="240" w:lineRule="auto"/>
    </w:pPr>
    <w:rPr>
      <w:rFonts w:eastAsia="Calibri" w:cs="Times New Roman"/>
      <w:shd w:val="clear" w:color="auto" w:fill="auto"/>
      <w:lang w:eastAsia="en-US"/>
    </w:rPr>
  </w:style>
  <w:style w:type="character" w:customStyle="1" w:styleId="TextkomenteChar">
    <w:name w:val="Text komentáře Char"/>
    <w:basedOn w:val="Standardnpsmoodstavce"/>
    <w:link w:val="Textkomente"/>
    <w:uiPriority w:val="99"/>
    <w:rsid w:val="00E67431"/>
    <w:rPr>
      <w:rFonts w:ascii="Arial" w:eastAsia="Calibri" w:hAnsi="Arial" w:cs="Times New Roman"/>
      <w:sz w:val="20"/>
      <w:szCs w:val="20"/>
      <w:lang w:val="de-AT"/>
    </w:rPr>
  </w:style>
  <w:style w:type="character" w:styleId="Siln">
    <w:name w:val="Strong"/>
    <w:basedOn w:val="Standardnpsmoodstavce"/>
    <w:uiPriority w:val="22"/>
    <w:qFormat/>
    <w:rsid w:val="0069608C"/>
    <w:rPr>
      <w:b/>
      <w:bCs/>
    </w:rPr>
  </w:style>
  <w:style w:type="character" w:styleId="Sledovanodkaz">
    <w:name w:val="FollowedHyperlink"/>
    <w:basedOn w:val="Hypertextovodkaz"/>
    <w:uiPriority w:val="99"/>
    <w:unhideWhenUsed/>
    <w:rsid w:val="00553F90"/>
    <w:rPr>
      <w:rFonts w:eastAsia="Arial"/>
      <w:color w:val="00497C"/>
      <w:sz w:val="14"/>
      <w:szCs w:val="14"/>
      <w:u w:val="single"/>
      <w:shd w:val="clear" w:color="auto" w:fill="auto"/>
    </w:rPr>
  </w:style>
  <w:style w:type="character" w:styleId="Odkaznakoment">
    <w:name w:val="annotation reference"/>
    <w:basedOn w:val="Standardnpsmoodstavce"/>
    <w:uiPriority w:val="99"/>
    <w:semiHidden/>
    <w:unhideWhenUsed/>
    <w:rsid w:val="00553F90"/>
    <w:rPr>
      <w:sz w:val="16"/>
      <w:szCs w:val="16"/>
    </w:rPr>
  </w:style>
  <w:style w:type="paragraph" w:styleId="Datum">
    <w:name w:val="Date"/>
    <w:basedOn w:val="Normln"/>
    <w:next w:val="Normln"/>
    <w:link w:val="DatumChar"/>
    <w:autoRedefine/>
    <w:uiPriority w:val="99"/>
    <w:unhideWhenUsed/>
    <w:rsid w:val="00711920"/>
    <w:pPr>
      <w:ind w:left="567"/>
    </w:pPr>
    <w:rPr>
      <w:color w:val="00497B"/>
      <w:shd w:val="clear" w:color="auto" w:fill="auto"/>
    </w:rPr>
  </w:style>
  <w:style w:type="character" w:customStyle="1" w:styleId="DatumChar">
    <w:name w:val="Datum Char"/>
    <w:basedOn w:val="Standardnpsmoodstavce"/>
    <w:link w:val="Datum"/>
    <w:uiPriority w:val="99"/>
    <w:rsid w:val="00711920"/>
    <w:rPr>
      <w:rFonts w:ascii="Arial" w:hAnsi="Arial" w:cs="Arial"/>
      <w:noProof/>
      <w:color w:val="00497B"/>
      <w:sz w:val="20"/>
      <w:szCs w:val="20"/>
      <w:lang w:val="de-AT" w:eastAsia="de-DE"/>
    </w:rPr>
  </w:style>
  <w:style w:type="paragraph" w:customStyle="1" w:styleId="Zitat1">
    <w:name w:val="Zitat1"/>
    <w:basedOn w:val="Normln"/>
    <w:qFormat/>
    <w:rsid w:val="00745D18"/>
    <w:pPr>
      <w:spacing w:line="312" w:lineRule="auto"/>
      <w:ind w:left="459" w:right="312"/>
    </w:pPr>
    <w:rPr>
      <w:i/>
      <w:iCs/>
      <w:color w:val="00497C"/>
      <w:shd w:val="clear" w:color="auto" w:fill="auto"/>
    </w:rPr>
  </w:style>
  <w:style w:type="paragraph" w:customStyle="1" w:styleId="QuoteIn-Text">
    <w:name w:val="Quote In-Text"/>
    <w:basedOn w:val="Normln"/>
    <w:next w:val="Normln"/>
    <w:link w:val="QuoteIn-TextZchn"/>
    <w:qFormat/>
    <w:rsid w:val="00AC3985"/>
    <w:rPr>
      <w:i/>
      <w:iCs/>
      <w:color w:val="000000" w:themeColor="text1"/>
      <w:shd w:val="clear" w:color="auto" w:fill="auto"/>
    </w:rPr>
  </w:style>
  <w:style w:type="character" w:customStyle="1" w:styleId="QuoteIn-TextZchn">
    <w:name w:val="Quote In-Text Zchn"/>
    <w:basedOn w:val="Standardnpsmoodstavce"/>
    <w:link w:val="QuoteIn-Text"/>
    <w:rsid w:val="00AC3985"/>
    <w:rPr>
      <w:rFonts w:ascii="Arial" w:hAnsi="Arial" w:cs="Arial"/>
      <w:i/>
      <w:iCs/>
      <w:noProof/>
      <w:color w:val="000000" w:themeColor="text1"/>
      <w:sz w:val="20"/>
      <w:szCs w:val="20"/>
      <w:lang w:val="de-AT" w:eastAsia="de-DE"/>
    </w:rPr>
  </w:style>
  <w:style w:type="paragraph" w:customStyle="1" w:styleId="Default">
    <w:name w:val="Default"/>
    <w:rsid w:val="005503D9"/>
    <w:pPr>
      <w:autoSpaceDE w:val="0"/>
      <w:autoSpaceDN w:val="0"/>
      <w:adjustRightInd w:val="0"/>
    </w:pPr>
    <w:rPr>
      <w:rFonts w:ascii="Arial" w:hAnsi="Arial" w:cs="Arial"/>
      <w:color w:val="000000"/>
    </w:rPr>
  </w:style>
  <w:style w:type="paragraph" w:customStyle="1" w:styleId="Externer-Hyperlink">
    <w:name w:val="Externer-Hyperlink"/>
    <w:basedOn w:val="Normln"/>
    <w:qFormat/>
    <w:rsid w:val="005C34A1"/>
    <w:rPr>
      <w:b/>
      <w:bCs/>
      <w:color w:val="00497C"/>
      <w:u w:val="single"/>
    </w:rPr>
  </w:style>
  <w:style w:type="paragraph" w:customStyle="1" w:styleId="Credits">
    <w:name w:val="Credits"/>
    <w:basedOn w:val="Normln"/>
    <w:qFormat/>
    <w:rsid w:val="005C34A1"/>
    <w:rPr>
      <w:sz w:val="16"/>
      <w:szCs w:val="16"/>
    </w:rPr>
  </w:style>
  <w:style w:type="paragraph" w:customStyle="1" w:styleId="berschrift-Kopfzeile">
    <w:name w:val="Überschrift-Kopfzeile"/>
    <w:basedOn w:val="Nadpis3"/>
    <w:qFormat/>
    <w:rsid w:val="00584B98"/>
    <w:pPr>
      <w:spacing w:after="40"/>
      <w:ind w:left="567" w:right="556"/>
    </w:pPr>
    <w:rPr>
      <w:shd w:val="clear" w:color="auto" w:fill="auto"/>
    </w:rPr>
  </w:style>
  <w:style w:type="paragraph" w:customStyle="1" w:styleId="ListenabsatzFliesstext">
    <w:name w:val="Listenabsatz Fliesstext"/>
    <w:basedOn w:val="Odstavecseseznamem"/>
    <w:qFormat/>
    <w:rsid w:val="00AC3985"/>
    <w:rPr>
      <w:sz w:val="20"/>
      <w:szCs w:val="20"/>
    </w:rPr>
  </w:style>
  <w:style w:type="paragraph" w:styleId="Bezmezer">
    <w:name w:val="No Spacing"/>
    <w:uiPriority w:val="1"/>
    <w:qFormat/>
    <w:rsid w:val="00A23F87"/>
    <w:rPr>
      <w:rFonts w:ascii="Arial" w:eastAsia="Calibri" w:hAnsi="Arial" w:cs="Times New Roman"/>
      <w:sz w:val="22"/>
      <w:szCs w:val="22"/>
      <w:lang w:val="de-AT"/>
    </w:rPr>
  </w:style>
  <w:style w:type="paragraph" w:customStyle="1" w:styleId="Info">
    <w:name w:val="Info"/>
    <w:basedOn w:val="Normln"/>
    <w:uiPriority w:val="11"/>
    <w:qFormat/>
    <w:rsid w:val="001D07BC"/>
    <w:pPr>
      <w:spacing w:line="169" w:lineRule="exact"/>
    </w:pPr>
    <w:rPr>
      <w:rFonts w:asciiTheme="minorHAnsi" w:hAnsiTheme="minorHAnsi" w:cstheme="minorBidi"/>
      <w:color w:val="000000" w:themeColor="text1"/>
      <w:sz w:val="13"/>
      <w:szCs w:val="22"/>
      <w:shd w:val="clear" w:color="auto" w:fill="auto"/>
      <w:lang w:val="en-GB" w:eastAsia="en-US"/>
    </w:rPr>
  </w:style>
  <w:style w:type="paragraph" w:styleId="Pedmtkomente">
    <w:name w:val="annotation subject"/>
    <w:basedOn w:val="Textkomente"/>
    <w:next w:val="Textkomente"/>
    <w:link w:val="PedmtkomenteChar"/>
    <w:uiPriority w:val="99"/>
    <w:semiHidden/>
    <w:unhideWhenUsed/>
    <w:rsid w:val="00EE1E32"/>
    <w:rPr>
      <w:rFonts w:eastAsiaTheme="minorHAnsi" w:cs="Arial"/>
      <w:b/>
      <w:bCs/>
      <w:noProof/>
      <w:shd w:val="clear" w:color="auto" w:fill="FFFFFF"/>
      <w:lang w:eastAsia="de-DE"/>
    </w:rPr>
  </w:style>
  <w:style w:type="character" w:customStyle="1" w:styleId="PedmtkomenteChar">
    <w:name w:val="Předmět komentáře Char"/>
    <w:basedOn w:val="TextkomenteChar"/>
    <w:link w:val="Pedmtkomente"/>
    <w:uiPriority w:val="99"/>
    <w:semiHidden/>
    <w:rsid w:val="00EE1E32"/>
    <w:rPr>
      <w:rFonts w:ascii="Arial" w:eastAsia="Calibri" w:hAnsi="Arial" w:cs="Arial"/>
      <w:b/>
      <w:bCs/>
      <w:noProof/>
      <w:sz w:val="20"/>
      <w:szCs w:val="20"/>
      <w:lang w:val="de-AT" w:eastAsia="de-DE"/>
    </w:rPr>
  </w:style>
  <w:style w:type="paragraph" w:styleId="Revize">
    <w:name w:val="Revision"/>
    <w:hidden/>
    <w:uiPriority w:val="99"/>
    <w:semiHidden/>
    <w:rsid w:val="0011768D"/>
    <w:rPr>
      <w:rFonts w:ascii="Arial" w:hAnsi="Arial" w:cs="Arial"/>
      <w:noProof/>
      <w:sz w:val="20"/>
      <w:szCs w:val="20"/>
      <w:shd w:val="clear" w:color="auto" w:fill="FFFFFF"/>
      <w:lang w:val="de-AT" w:eastAsia="de-DE"/>
    </w:rPr>
  </w:style>
  <w:style w:type="character" w:customStyle="1" w:styleId="FettimText">
    <w:name w:val="Fett im Text"/>
    <w:uiPriority w:val="1"/>
    <w:qFormat/>
    <w:rsid w:val="00C53995"/>
    <w:rPr>
      <w:rFonts w:ascii="STIX Two Text" w:hAnsi="STIX Two Tex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482">
      <w:bodyDiv w:val="1"/>
      <w:marLeft w:val="0"/>
      <w:marRight w:val="0"/>
      <w:marTop w:val="0"/>
      <w:marBottom w:val="0"/>
      <w:divBdr>
        <w:top w:val="none" w:sz="0" w:space="0" w:color="auto"/>
        <w:left w:val="none" w:sz="0" w:space="0" w:color="auto"/>
        <w:bottom w:val="none" w:sz="0" w:space="0" w:color="auto"/>
        <w:right w:val="none" w:sz="0" w:space="0" w:color="auto"/>
      </w:divBdr>
    </w:div>
    <w:div w:id="158086030">
      <w:bodyDiv w:val="1"/>
      <w:marLeft w:val="0"/>
      <w:marRight w:val="0"/>
      <w:marTop w:val="0"/>
      <w:marBottom w:val="0"/>
      <w:divBdr>
        <w:top w:val="none" w:sz="0" w:space="0" w:color="auto"/>
        <w:left w:val="none" w:sz="0" w:space="0" w:color="auto"/>
        <w:bottom w:val="none" w:sz="0" w:space="0" w:color="auto"/>
        <w:right w:val="none" w:sz="0" w:space="0" w:color="auto"/>
      </w:divBdr>
    </w:div>
    <w:div w:id="174882318">
      <w:bodyDiv w:val="1"/>
      <w:marLeft w:val="0"/>
      <w:marRight w:val="0"/>
      <w:marTop w:val="0"/>
      <w:marBottom w:val="0"/>
      <w:divBdr>
        <w:top w:val="none" w:sz="0" w:space="0" w:color="auto"/>
        <w:left w:val="none" w:sz="0" w:space="0" w:color="auto"/>
        <w:bottom w:val="none" w:sz="0" w:space="0" w:color="auto"/>
        <w:right w:val="none" w:sz="0" w:space="0" w:color="auto"/>
      </w:divBdr>
      <w:divsChild>
        <w:div w:id="1659383571">
          <w:marLeft w:val="0"/>
          <w:marRight w:val="0"/>
          <w:marTop w:val="0"/>
          <w:marBottom w:val="0"/>
          <w:divBdr>
            <w:top w:val="none" w:sz="0" w:space="0" w:color="auto"/>
            <w:left w:val="none" w:sz="0" w:space="0" w:color="auto"/>
            <w:bottom w:val="none" w:sz="0" w:space="0" w:color="auto"/>
            <w:right w:val="none" w:sz="0" w:space="0" w:color="auto"/>
          </w:divBdr>
        </w:div>
      </w:divsChild>
    </w:div>
    <w:div w:id="198008732">
      <w:bodyDiv w:val="1"/>
      <w:marLeft w:val="0"/>
      <w:marRight w:val="0"/>
      <w:marTop w:val="0"/>
      <w:marBottom w:val="0"/>
      <w:divBdr>
        <w:top w:val="none" w:sz="0" w:space="0" w:color="auto"/>
        <w:left w:val="none" w:sz="0" w:space="0" w:color="auto"/>
        <w:bottom w:val="none" w:sz="0" w:space="0" w:color="auto"/>
        <w:right w:val="none" w:sz="0" w:space="0" w:color="auto"/>
      </w:divBdr>
    </w:div>
    <w:div w:id="446706568">
      <w:bodyDiv w:val="1"/>
      <w:marLeft w:val="0"/>
      <w:marRight w:val="0"/>
      <w:marTop w:val="0"/>
      <w:marBottom w:val="0"/>
      <w:divBdr>
        <w:top w:val="none" w:sz="0" w:space="0" w:color="auto"/>
        <w:left w:val="none" w:sz="0" w:space="0" w:color="auto"/>
        <w:bottom w:val="none" w:sz="0" w:space="0" w:color="auto"/>
        <w:right w:val="none" w:sz="0" w:space="0" w:color="auto"/>
      </w:divBdr>
    </w:div>
    <w:div w:id="532963368">
      <w:bodyDiv w:val="1"/>
      <w:marLeft w:val="0"/>
      <w:marRight w:val="0"/>
      <w:marTop w:val="0"/>
      <w:marBottom w:val="0"/>
      <w:divBdr>
        <w:top w:val="none" w:sz="0" w:space="0" w:color="auto"/>
        <w:left w:val="none" w:sz="0" w:space="0" w:color="auto"/>
        <w:bottom w:val="none" w:sz="0" w:space="0" w:color="auto"/>
        <w:right w:val="none" w:sz="0" w:space="0" w:color="auto"/>
      </w:divBdr>
    </w:div>
    <w:div w:id="579875465">
      <w:bodyDiv w:val="1"/>
      <w:marLeft w:val="0"/>
      <w:marRight w:val="0"/>
      <w:marTop w:val="0"/>
      <w:marBottom w:val="0"/>
      <w:divBdr>
        <w:top w:val="none" w:sz="0" w:space="0" w:color="auto"/>
        <w:left w:val="none" w:sz="0" w:space="0" w:color="auto"/>
        <w:bottom w:val="none" w:sz="0" w:space="0" w:color="auto"/>
        <w:right w:val="none" w:sz="0" w:space="0" w:color="auto"/>
      </w:divBdr>
    </w:div>
    <w:div w:id="650522625">
      <w:bodyDiv w:val="1"/>
      <w:marLeft w:val="0"/>
      <w:marRight w:val="0"/>
      <w:marTop w:val="0"/>
      <w:marBottom w:val="0"/>
      <w:divBdr>
        <w:top w:val="none" w:sz="0" w:space="0" w:color="auto"/>
        <w:left w:val="none" w:sz="0" w:space="0" w:color="auto"/>
        <w:bottom w:val="none" w:sz="0" w:space="0" w:color="auto"/>
        <w:right w:val="none" w:sz="0" w:space="0" w:color="auto"/>
      </w:divBdr>
    </w:div>
    <w:div w:id="810901684">
      <w:bodyDiv w:val="1"/>
      <w:marLeft w:val="0"/>
      <w:marRight w:val="0"/>
      <w:marTop w:val="0"/>
      <w:marBottom w:val="0"/>
      <w:divBdr>
        <w:top w:val="none" w:sz="0" w:space="0" w:color="auto"/>
        <w:left w:val="none" w:sz="0" w:space="0" w:color="auto"/>
        <w:bottom w:val="none" w:sz="0" w:space="0" w:color="auto"/>
        <w:right w:val="none" w:sz="0" w:space="0" w:color="auto"/>
      </w:divBdr>
    </w:div>
    <w:div w:id="833105308">
      <w:bodyDiv w:val="1"/>
      <w:marLeft w:val="0"/>
      <w:marRight w:val="0"/>
      <w:marTop w:val="0"/>
      <w:marBottom w:val="0"/>
      <w:divBdr>
        <w:top w:val="none" w:sz="0" w:space="0" w:color="auto"/>
        <w:left w:val="none" w:sz="0" w:space="0" w:color="auto"/>
        <w:bottom w:val="none" w:sz="0" w:space="0" w:color="auto"/>
        <w:right w:val="none" w:sz="0" w:space="0" w:color="auto"/>
      </w:divBdr>
    </w:div>
    <w:div w:id="850293339">
      <w:bodyDiv w:val="1"/>
      <w:marLeft w:val="0"/>
      <w:marRight w:val="0"/>
      <w:marTop w:val="0"/>
      <w:marBottom w:val="0"/>
      <w:divBdr>
        <w:top w:val="none" w:sz="0" w:space="0" w:color="auto"/>
        <w:left w:val="none" w:sz="0" w:space="0" w:color="auto"/>
        <w:bottom w:val="none" w:sz="0" w:space="0" w:color="auto"/>
        <w:right w:val="none" w:sz="0" w:space="0" w:color="auto"/>
      </w:divBdr>
    </w:div>
    <w:div w:id="870607147">
      <w:bodyDiv w:val="1"/>
      <w:marLeft w:val="0"/>
      <w:marRight w:val="0"/>
      <w:marTop w:val="0"/>
      <w:marBottom w:val="0"/>
      <w:divBdr>
        <w:top w:val="none" w:sz="0" w:space="0" w:color="auto"/>
        <w:left w:val="none" w:sz="0" w:space="0" w:color="auto"/>
        <w:bottom w:val="none" w:sz="0" w:space="0" w:color="auto"/>
        <w:right w:val="none" w:sz="0" w:space="0" w:color="auto"/>
      </w:divBdr>
    </w:div>
    <w:div w:id="885874511">
      <w:bodyDiv w:val="1"/>
      <w:marLeft w:val="0"/>
      <w:marRight w:val="0"/>
      <w:marTop w:val="0"/>
      <w:marBottom w:val="0"/>
      <w:divBdr>
        <w:top w:val="none" w:sz="0" w:space="0" w:color="auto"/>
        <w:left w:val="none" w:sz="0" w:space="0" w:color="auto"/>
        <w:bottom w:val="none" w:sz="0" w:space="0" w:color="auto"/>
        <w:right w:val="none" w:sz="0" w:space="0" w:color="auto"/>
      </w:divBdr>
    </w:div>
    <w:div w:id="998004098">
      <w:bodyDiv w:val="1"/>
      <w:marLeft w:val="0"/>
      <w:marRight w:val="0"/>
      <w:marTop w:val="0"/>
      <w:marBottom w:val="0"/>
      <w:divBdr>
        <w:top w:val="none" w:sz="0" w:space="0" w:color="auto"/>
        <w:left w:val="none" w:sz="0" w:space="0" w:color="auto"/>
        <w:bottom w:val="none" w:sz="0" w:space="0" w:color="auto"/>
        <w:right w:val="none" w:sz="0" w:space="0" w:color="auto"/>
      </w:divBdr>
    </w:div>
    <w:div w:id="1025444768">
      <w:bodyDiv w:val="1"/>
      <w:marLeft w:val="0"/>
      <w:marRight w:val="0"/>
      <w:marTop w:val="0"/>
      <w:marBottom w:val="0"/>
      <w:divBdr>
        <w:top w:val="none" w:sz="0" w:space="0" w:color="auto"/>
        <w:left w:val="none" w:sz="0" w:space="0" w:color="auto"/>
        <w:bottom w:val="none" w:sz="0" w:space="0" w:color="auto"/>
        <w:right w:val="none" w:sz="0" w:space="0" w:color="auto"/>
      </w:divBdr>
    </w:div>
    <w:div w:id="1027756082">
      <w:bodyDiv w:val="1"/>
      <w:marLeft w:val="0"/>
      <w:marRight w:val="0"/>
      <w:marTop w:val="0"/>
      <w:marBottom w:val="0"/>
      <w:divBdr>
        <w:top w:val="none" w:sz="0" w:space="0" w:color="auto"/>
        <w:left w:val="none" w:sz="0" w:space="0" w:color="auto"/>
        <w:bottom w:val="none" w:sz="0" w:space="0" w:color="auto"/>
        <w:right w:val="none" w:sz="0" w:space="0" w:color="auto"/>
      </w:divBdr>
    </w:div>
    <w:div w:id="1034888608">
      <w:bodyDiv w:val="1"/>
      <w:marLeft w:val="0"/>
      <w:marRight w:val="0"/>
      <w:marTop w:val="0"/>
      <w:marBottom w:val="0"/>
      <w:divBdr>
        <w:top w:val="none" w:sz="0" w:space="0" w:color="auto"/>
        <w:left w:val="none" w:sz="0" w:space="0" w:color="auto"/>
        <w:bottom w:val="none" w:sz="0" w:space="0" w:color="auto"/>
        <w:right w:val="none" w:sz="0" w:space="0" w:color="auto"/>
      </w:divBdr>
    </w:div>
    <w:div w:id="1060514768">
      <w:bodyDiv w:val="1"/>
      <w:marLeft w:val="0"/>
      <w:marRight w:val="0"/>
      <w:marTop w:val="0"/>
      <w:marBottom w:val="0"/>
      <w:divBdr>
        <w:top w:val="none" w:sz="0" w:space="0" w:color="auto"/>
        <w:left w:val="none" w:sz="0" w:space="0" w:color="auto"/>
        <w:bottom w:val="none" w:sz="0" w:space="0" w:color="auto"/>
        <w:right w:val="none" w:sz="0" w:space="0" w:color="auto"/>
      </w:divBdr>
    </w:div>
    <w:div w:id="1082991499">
      <w:bodyDiv w:val="1"/>
      <w:marLeft w:val="0"/>
      <w:marRight w:val="0"/>
      <w:marTop w:val="0"/>
      <w:marBottom w:val="0"/>
      <w:divBdr>
        <w:top w:val="none" w:sz="0" w:space="0" w:color="auto"/>
        <w:left w:val="none" w:sz="0" w:space="0" w:color="auto"/>
        <w:bottom w:val="none" w:sz="0" w:space="0" w:color="auto"/>
        <w:right w:val="none" w:sz="0" w:space="0" w:color="auto"/>
      </w:divBdr>
    </w:div>
    <w:div w:id="1155293602">
      <w:bodyDiv w:val="1"/>
      <w:marLeft w:val="0"/>
      <w:marRight w:val="0"/>
      <w:marTop w:val="0"/>
      <w:marBottom w:val="0"/>
      <w:divBdr>
        <w:top w:val="none" w:sz="0" w:space="0" w:color="auto"/>
        <w:left w:val="none" w:sz="0" w:space="0" w:color="auto"/>
        <w:bottom w:val="none" w:sz="0" w:space="0" w:color="auto"/>
        <w:right w:val="none" w:sz="0" w:space="0" w:color="auto"/>
      </w:divBdr>
    </w:div>
    <w:div w:id="1156724760">
      <w:bodyDiv w:val="1"/>
      <w:marLeft w:val="0"/>
      <w:marRight w:val="0"/>
      <w:marTop w:val="0"/>
      <w:marBottom w:val="0"/>
      <w:divBdr>
        <w:top w:val="none" w:sz="0" w:space="0" w:color="auto"/>
        <w:left w:val="none" w:sz="0" w:space="0" w:color="auto"/>
        <w:bottom w:val="none" w:sz="0" w:space="0" w:color="auto"/>
        <w:right w:val="none" w:sz="0" w:space="0" w:color="auto"/>
      </w:divBdr>
    </w:div>
    <w:div w:id="1157378452">
      <w:bodyDiv w:val="1"/>
      <w:marLeft w:val="0"/>
      <w:marRight w:val="0"/>
      <w:marTop w:val="0"/>
      <w:marBottom w:val="0"/>
      <w:divBdr>
        <w:top w:val="none" w:sz="0" w:space="0" w:color="auto"/>
        <w:left w:val="none" w:sz="0" w:space="0" w:color="auto"/>
        <w:bottom w:val="none" w:sz="0" w:space="0" w:color="auto"/>
        <w:right w:val="none" w:sz="0" w:space="0" w:color="auto"/>
      </w:divBdr>
    </w:div>
    <w:div w:id="1225675191">
      <w:bodyDiv w:val="1"/>
      <w:marLeft w:val="0"/>
      <w:marRight w:val="0"/>
      <w:marTop w:val="0"/>
      <w:marBottom w:val="0"/>
      <w:divBdr>
        <w:top w:val="none" w:sz="0" w:space="0" w:color="auto"/>
        <w:left w:val="none" w:sz="0" w:space="0" w:color="auto"/>
        <w:bottom w:val="none" w:sz="0" w:space="0" w:color="auto"/>
        <w:right w:val="none" w:sz="0" w:space="0" w:color="auto"/>
      </w:divBdr>
    </w:div>
    <w:div w:id="1241603192">
      <w:bodyDiv w:val="1"/>
      <w:marLeft w:val="0"/>
      <w:marRight w:val="0"/>
      <w:marTop w:val="0"/>
      <w:marBottom w:val="0"/>
      <w:divBdr>
        <w:top w:val="none" w:sz="0" w:space="0" w:color="auto"/>
        <w:left w:val="none" w:sz="0" w:space="0" w:color="auto"/>
        <w:bottom w:val="none" w:sz="0" w:space="0" w:color="auto"/>
        <w:right w:val="none" w:sz="0" w:space="0" w:color="auto"/>
      </w:divBdr>
    </w:div>
    <w:div w:id="1249652756">
      <w:bodyDiv w:val="1"/>
      <w:marLeft w:val="0"/>
      <w:marRight w:val="0"/>
      <w:marTop w:val="0"/>
      <w:marBottom w:val="0"/>
      <w:divBdr>
        <w:top w:val="none" w:sz="0" w:space="0" w:color="auto"/>
        <w:left w:val="none" w:sz="0" w:space="0" w:color="auto"/>
        <w:bottom w:val="none" w:sz="0" w:space="0" w:color="auto"/>
        <w:right w:val="none" w:sz="0" w:space="0" w:color="auto"/>
      </w:divBdr>
    </w:div>
    <w:div w:id="1280338018">
      <w:bodyDiv w:val="1"/>
      <w:marLeft w:val="0"/>
      <w:marRight w:val="0"/>
      <w:marTop w:val="0"/>
      <w:marBottom w:val="0"/>
      <w:divBdr>
        <w:top w:val="none" w:sz="0" w:space="0" w:color="auto"/>
        <w:left w:val="none" w:sz="0" w:space="0" w:color="auto"/>
        <w:bottom w:val="none" w:sz="0" w:space="0" w:color="auto"/>
        <w:right w:val="none" w:sz="0" w:space="0" w:color="auto"/>
      </w:divBdr>
    </w:div>
    <w:div w:id="1348021163">
      <w:bodyDiv w:val="1"/>
      <w:marLeft w:val="0"/>
      <w:marRight w:val="0"/>
      <w:marTop w:val="0"/>
      <w:marBottom w:val="0"/>
      <w:divBdr>
        <w:top w:val="none" w:sz="0" w:space="0" w:color="auto"/>
        <w:left w:val="none" w:sz="0" w:space="0" w:color="auto"/>
        <w:bottom w:val="none" w:sz="0" w:space="0" w:color="auto"/>
        <w:right w:val="none" w:sz="0" w:space="0" w:color="auto"/>
      </w:divBdr>
    </w:div>
    <w:div w:id="1387997230">
      <w:bodyDiv w:val="1"/>
      <w:marLeft w:val="0"/>
      <w:marRight w:val="0"/>
      <w:marTop w:val="0"/>
      <w:marBottom w:val="0"/>
      <w:divBdr>
        <w:top w:val="none" w:sz="0" w:space="0" w:color="auto"/>
        <w:left w:val="none" w:sz="0" w:space="0" w:color="auto"/>
        <w:bottom w:val="none" w:sz="0" w:space="0" w:color="auto"/>
        <w:right w:val="none" w:sz="0" w:space="0" w:color="auto"/>
      </w:divBdr>
    </w:div>
    <w:div w:id="1494223197">
      <w:bodyDiv w:val="1"/>
      <w:marLeft w:val="0"/>
      <w:marRight w:val="0"/>
      <w:marTop w:val="0"/>
      <w:marBottom w:val="0"/>
      <w:divBdr>
        <w:top w:val="none" w:sz="0" w:space="0" w:color="auto"/>
        <w:left w:val="none" w:sz="0" w:space="0" w:color="auto"/>
        <w:bottom w:val="none" w:sz="0" w:space="0" w:color="auto"/>
        <w:right w:val="none" w:sz="0" w:space="0" w:color="auto"/>
      </w:divBdr>
    </w:div>
    <w:div w:id="1510944110">
      <w:bodyDiv w:val="1"/>
      <w:marLeft w:val="0"/>
      <w:marRight w:val="0"/>
      <w:marTop w:val="0"/>
      <w:marBottom w:val="0"/>
      <w:divBdr>
        <w:top w:val="none" w:sz="0" w:space="0" w:color="auto"/>
        <w:left w:val="none" w:sz="0" w:space="0" w:color="auto"/>
        <w:bottom w:val="none" w:sz="0" w:space="0" w:color="auto"/>
        <w:right w:val="none" w:sz="0" w:space="0" w:color="auto"/>
      </w:divBdr>
    </w:div>
    <w:div w:id="1524636067">
      <w:bodyDiv w:val="1"/>
      <w:marLeft w:val="0"/>
      <w:marRight w:val="0"/>
      <w:marTop w:val="0"/>
      <w:marBottom w:val="0"/>
      <w:divBdr>
        <w:top w:val="none" w:sz="0" w:space="0" w:color="auto"/>
        <w:left w:val="none" w:sz="0" w:space="0" w:color="auto"/>
        <w:bottom w:val="none" w:sz="0" w:space="0" w:color="auto"/>
        <w:right w:val="none" w:sz="0" w:space="0" w:color="auto"/>
      </w:divBdr>
    </w:div>
    <w:div w:id="1586764372">
      <w:bodyDiv w:val="1"/>
      <w:marLeft w:val="0"/>
      <w:marRight w:val="0"/>
      <w:marTop w:val="0"/>
      <w:marBottom w:val="0"/>
      <w:divBdr>
        <w:top w:val="none" w:sz="0" w:space="0" w:color="auto"/>
        <w:left w:val="none" w:sz="0" w:space="0" w:color="auto"/>
        <w:bottom w:val="none" w:sz="0" w:space="0" w:color="auto"/>
        <w:right w:val="none" w:sz="0" w:space="0" w:color="auto"/>
      </w:divBdr>
    </w:div>
    <w:div w:id="1601833889">
      <w:bodyDiv w:val="1"/>
      <w:marLeft w:val="0"/>
      <w:marRight w:val="0"/>
      <w:marTop w:val="0"/>
      <w:marBottom w:val="0"/>
      <w:divBdr>
        <w:top w:val="none" w:sz="0" w:space="0" w:color="auto"/>
        <w:left w:val="none" w:sz="0" w:space="0" w:color="auto"/>
        <w:bottom w:val="none" w:sz="0" w:space="0" w:color="auto"/>
        <w:right w:val="none" w:sz="0" w:space="0" w:color="auto"/>
      </w:divBdr>
    </w:div>
    <w:div w:id="1636642320">
      <w:bodyDiv w:val="1"/>
      <w:marLeft w:val="0"/>
      <w:marRight w:val="0"/>
      <w:marTop w:val="0"/>
      <w:marBottom w:val="0"/>
      <w:divBdr>
        <w:top w:val="none" w:sz="0" w:space="0" w:color="auto"/>
        <w:left w:val="none" w:sz="0" w:space="0" w:color="auto"/>
        <w:bottom w:val="none" w:sz="0" w:space="0" w:color="auto"/>
        <w:right w:val="none" w:sz="0" w:space="0" w:color="auto"/>
      </w:divBdr>
    </w:div>
    <w:div w:id="1654792353">
      <w:bodyDiv w:val="1"/>
      <w:marLeft w:val="0"/>
      <w:marRight w:val="0"/>
      <w:marTop w:val="0"/>
      <w:marBottom w:val="0"/>
      <w:divBdr>
        <w:top w:val="none" w:sz="0" w:space="0" w:color="auto"/>
        <w:left w:val="none" w:sz="0" w:space="0" w:color="auto"/>
        <w:bottom w:val="none" w:sz="0" w:space="0" w:color="auto"/>
        <w:right w:val="none" w:sz="0" w:space="0" w:color="auto"/>
      </w:divBdr>
    </w:div>
    <w:div w:id="1686402383">
      <w:bodyDiv w:val="1"/>
      <w:marLeft w:val="0"/>
      <w:marRight w:val="0"/>
      <w:marTop w:val="0"/>
      <w:marBottom w:val="0"/>
      <w:divBdr>
        <w:top w:val="none" w:sz="0" w:space="0" w:color="auto"/>
        <w:left w:val="none" w:sz="0" w:space="0" w:color="auto"/>
        <w:bottom w:val="none" w:sz="0" w:space="0" w:color="auto"/>
        <w:right w:val="none" w:sz="0" w:space="0" w:color="auto"/>
      </w:divBdr>
    </w:div>
    <w:div w:id="1701978243">
      <w:bodyDiv w:val="1"/>
      <w:marLeft w:val="0"/>
      <w:marRight w:val="0"/>
      <w:marTop w:val="0"/>
      <w:marBottom w:val="0"/>
      <w:divBdr>
        <w:top w:val="none" w:sz="0" w:space="0" w:color="auto"/>
        <w:left w:val="none" w:sz="0" w:space="0" w:color="auto"/>
        <w:bottom w:val="none" w:sz="0" w:space="0" w:color="auto"/>
        <w:right w:val="none" w:sz="0" w:space="0" w:color="auto"/>
      </w:divBdr>
    </w:div>
    <w:div w:id="1706518267">
      <w:bodyDiv w:val="1"/>
      <w:marLeft w:val="0"/>
      <w:marRight w:val="0"/>
      <w:marTop w:val="0"/>
      <w:marBottom w:val="0"/>
      <w:divBdr>
        <w:top w:val="none" w:sz="0" w:space="0" w:color="auto"/>
        <w:left w:val="none" w:sz="0" w:space="0" w:color="auto"/>
        <w:bottom w:val="none" w:sz="0" w:space="0" w:color="auto"/>
        <w:right w:val="none" w:sz="0" w:space="0" w:color="auto"/>
      </w:divBdr>
    </w:div>
    <w:div w:id="1732533104">
      <w:bodyDiv w:val="1"/>
      <w:marLeft w:val="0"/>
      <w:marRight w:val="0"/>
      <w:marTop w:val="0"/>
      <w:marBottom w:val="0"/>
      <w:divBdr>
        <w:top w:val="none" w:sz="0" w:space="0" w:color="auto"/>
        <w:left w:val="none" w:sz="0" w:space="0" w:color="auto"/>
        <w:bottom w:val="none" w:sz="0" w:space="0" w:color="auto"/>
        <w:right w:val="none" w:sz="0" w:space="0" w:color="auto"/>
      </w:divBdr>
    </w:div>
    <w:div w:id="1754550903">
      <w:bodyDiv w:val="1"/>
      <w:marLeft w:val="0"/>
      <w:marRight w:val="0"/>
      <w:marTop w:val="0"/>
      <w:marBottom w:val="0"/>
      <w:divBdr>
        <w:top w:val="none" w:sz="0" w:space="0" w:color="auto"/>
        <w:left w:val="none" w:sz="0" w:space="0" w:color="auto"/>
        <w:bottom w:val="none" w:sz="0" w:space="0" w:color="auto"/>
        <w:right w:val="none" w:sz="0" w:space="0" w:color="auto"/>
      </w:divBdr>
    </w:div>
    <w:div w:id="1831754005">
      <w:bodyDiv w:val="1"/>
      <w:marLeft w:val="0"/>
      <w:marRight w:val="0"/>
      <w:marTop w:val="0"/>
      <w:marBottom w:val="0"/>
      <w:divBdr>
        <w:top w:val="none" w:sz="0" w:space="0" w:color="auto"/>
        <w:left w:val="none" w:sz="0" w:space="0" w:color="auto"/>
        <w:bottom w:val="none" w:sz="0" w:space="0" w:color="auto"/>
        <w:right w:val="none" w:sz="0" w:space="0" w:color="auto"/>
      </w:divBdr>
    </w:div>
    <w:div w:id="1841315077">
      <w:bodyDiv w:val="1"/>
      <w:marLeft w:val="0"/>
      <w:marRight w:val="0"/>
      <w:marTop w:val="0"/>
      <w:marBottom w:val="0"/>
      <w:divBdr>
        <w:top w:val="none" w:sz="0" w:space="0" w:color="auto"/>
        <w:left w:val="none" w:sz="0" w:space="0" w:color="auto"/>
        <w:bottom w:val="none" w:sz="0" w:space="0" w:color="auto"/>
        <w:right w:val="none" w:sz="0" w:space="0" w:color="auto"/>
      </w:divBdr>
    </w:div>
    <w:div w:id="1953975443">
      <w:bodyDiv w:val="1"/>
      <w:marLeft w:val="0"/>
      <w:marRight w:val="0"/>
      <w:marTop w:val="0"/>
      <w:marBottom w:val="0"/>
      <w:divBdr>
        <w:top w:val="none" w:sz="0" w:space="0" w:color="auto"/>
        <w:left w:val="none" w:sz="0" w:space="0" w:color="auto"/>
        <w:bottom w:val="none" w:sz="0" w:space="0" w:color="auto"/>
        <w:right w:val="none" w:sz="0" w:space="0" w:color="auto"/>
      </w:divBdr>
    </w:div>
    <w:div w:id="1964531514">
      <w:bodyDiv w:val="1"/>
      <w:marLeft w:val="0"/>
      <w:marRight w:val="0"/>
      <w:marTop w:val="0"/>
      <w:marBottom w:val="0"/>
      <w:divBdr>
        <w:top w:val="none" w:sz="0" w:space="0" w:color="auto"/>
        <w:left w:val="none" w:sz="0" w:space="0" w:color="auto"/>
        <w:bottom w:val="none" w:sz="0" w:space="0" w:color="auto"/>
        <w:right w:val="none" w:sz="0" w:space="0" w:color="auto"/>
      </w:divBdr>
    </w:div>
    <w:div w:id="2045476201">
      <w:bodyDiv w:val="1"/>
      <w:marLeft w:val="0"/>
      <w:marRight w:val="0"/>
      <w:marTop w:val="0"/>
      <w:marBottom w:val="0"/>
      <w:divBdr>
        <w:top w:val="none" w:sz="0" w:space="0" w:color="auto"/>
        <w:left w:val="none" w:sz="0" w:space="0" w:color="auto"/>
        <w:bottom w:val="none" w:sz="0" w:space="0" w:color="auto"/>
        <w:right w:val="none" w:sz="0" w:space="0" w:color="auto"/>
      </w:divBdr>
    </w:div>
    <w:div w:id="2083873206">
      <w:bodyDiv w:val="1"/>
      <w:marLeft w:val="0"/>
      <w:marRight w:val="0"/>
      <w:marTop w:val="0"/>
      <w:marBottom w:val="0"/>
      <w:divBdr>
        <w:top w:val="none" w:sz="0" w:space="0" w:color="auto"/>
        <w:left w:val="none" w:sz="0" w:space="0" w:color="auto"/>
        <w:bottom w:val="none" w:sz="0" w:space="0" w:color="auto"/>
        <w:right w:val="none" w:sz="0" w:space="0" w:color="auto"/>
      </w:divBdr>
    </w:div>
    <w:div w:id="21193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sonn-wende@erstegroup.com" TargetMode="External"/><Relationship Id="rId18" Type="http://schemas.openxmlformats.org/officeDocument/2006/relationships/hyperlink" Target="mailto:margarita.thiel@erstegroup.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arvin.aschinger@erstegroup.com" TargetMode="External"/><Relationship Id="rId7" Type="http://schemas.openxmlformats.org/officeDocument/2006/relationships/settings" Target="settings.xml"/><Relationship Id="rId12" Type="http://schemas.openxmlformats.org/officeDocument/2006/relationships/hyperlink" Target="mailto:margarita.thiel@erstegroup.com" TargetMode="External"/><Relationship Id="rId17" Type="http://schemas.openxmlformats.org/officeDocument/2006/relationships/hyperlink" Target="mailto:presse@erstebank.a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rstegroup.com/en/news-media" TargetMode="External"/><Relationship Id="rId20" Type="http://schemas.openxmlformats.org/officeDocument/2006/relationships/hyperlink" Target="mailto:peter.klopf@erste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rvin.aschinger@erstegroup.com" TargetMode="External"/><Relationship Id="rId23" Type="http://schemas.openxmlformats.org/officeDocument/2006/relationships/hyperlink" Target="mailto:presse@erstebank.a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tin.sonn-wende@erste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klopf@erstegroup.com" TargetMode="External"/><Relationship Id="rId22" Type="http://schemas.openxmlformats.org/officeDocument/2006/relationships/hyperlink" Target="https://www.erstegroup.com/en/news-medi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_ip_UnifiedCompliancePolicyProperties xmlns="http://schemas.microsoft.com/sharepoint/v3" xsi:nil="true"/>
    <TaxCatchAll xmlns="c2323869-9312-41a6-b73b-7b8186d7ec70" xsi:nil="true"/>
    <lcf76f155ced4ddcb4097134ff3c332f xmlns="4fbe574a-ea71-4a7a-8b6c-7f8379c27a3b">
      <Terms xmlns="http://schemas.microsoft.com/office/infopath/2007/PartnerControls"/>
    </lcf76f155ced4ddcb4097134ff3c332f>
    <cwdf xmlns="4fbe574a-ea71-4a7a-8b6c-7f8379c27a3b">
      <UserInfo>
        <DisplayName/>
        <AccountId xsi:nil="true"/>
        <AccountType/>
      </UserInfo>
    </cwdf>
    <Ordnertyp xmlns="4fbe574a-ea71-4a7a-8b6c-7f8379c27a3b">Projektordner</Ordnertyp>
    <Ordnerart xmlns="4fbe574a-ea71-4a7a-8b6c-7f8379c27a3b">Projektordner</Ordnerar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EF6D673F6C444A56AD1A69ED879D5" ma:contentTypeVersion="27" ma:contentTypeDescription="Create a new document." ma:contentTypeScope="" ma:versionID="6d4daa362aadb486fb41c4cc955efebe">
  <xsd:schema xmlns:xsd="http://www.w3.org/2001/XMLSchema" xmlns:xs="http://www.w3.org/2001/XMLSchema" xmlns:p="http://schemas.microsoft.com/office/2006/metadata/properties" xmlns:ns1="http://schemas.microsoft.com/sharepoint/v3" xmlns:ns2="4fbe574a-ea71-4a7a-8b6c-7f8379c27a3b" xmlns:ns3="c2323869-9312-41a6-b73b-7b8186d7ec70" xmlns:ns4="http://schemas.microsoft.com/sharepoint/v4" targetNamespace="http://schemas.microsoft.com/office/2006/metadata/properties" ma:root="true" ma:fieldsID="d83ecdb2d50dd7884806a39175ce36bf" ns1:_="" ns2:_="" ns3:_="" ns4:_="">
    <xsd:import namespace="http://schemas.microsoft.com/sharepoint/v3"/>
    <xsd:import namespace="4fbe574a-ea71-4a7a-8b6c-7f8379c27a3b"/>
    <xsd:import namespace="c2323869-9312-41a6-b73b-7b8186d7ec7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IconOverlay"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element ref="ns2:cwdf" minOccurs="0"/>
                <xsd:element ref="ns2:MediaServiceBillingMetadata" minOccurs="0"/>
                <xsd:element ref="ns2:Ordnerart" minOccurs="0"/>
                <xsd:element ref="ns2:Ordner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574a-ea71-4a7a-8b6c-7f8379c2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e7e5b6c-b918-456f-bde5-0dbd0052d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wdf" ma:index="29" nillable="true" ma:displayName="cwdf" ma:description="GR" ma:format="Dropdown" ma:list="UserInfo" ma:SharePointGroup="0" ma:internalName="cwd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0" nillable="true" ma:displayName="MediaServiceBillingMetadata" ma:hidden="true" ma:internalName="MediaServiceBillingMetadata" ma:readOnly="true">
      <xsd:simpleType>
        <xsd:restriction base="dms:Note"/>
      </xsd:simpleType>
    </xsd:element>
    <xsd:element name="Ordnerart" ma:index="31" nillable="true" ma:displayName="Ordnerart" ma:default="Projektordner" ma:format="Dropdown" ma:internalName="Ordnerart">
      <xsd:simpleType>
        <xsd:restriction base="dms:Choice">
          <xsd:enumeration value="Genereller Ordner"/>
          <xsd:enumeration value="Projektordner"/>
          <xsd:enumeration value="Jahresordner"/>
        </xsd:restriction>
      </xsd:simpleType>
    </xsd:element>
    <xsd:element name="Ordnertyp" ma:index="32" nillable="true" ma:displayName="Ordnertyp" ma:default="Projektordner" ma:format="RadioButtons" ma:internalName="Ordnertyp">
      <xsd:simpleType>
        <xsd:restriction base="dms:Choice">
          <xsd:enumeration value="Projektordner"/>
          <xsd:enumeration value="Jahresordner"/>
          <xsd:enumeration value="Genereller Ordner"/>
        </xsd:restriction>
      </xsd:simpleType>
    </xsd:element>
  </xsd:schema>
  <xsd:schema xmlns:xsd="http://www.w3.org/2001/XMLSchema" xmlns:xs="http://www.w3.org/2001/XMLSchema" xmlns:dms="http://schemas.microsoft.com/office/2006/documentManagement/types" xmlns:pc="http://schemas.microsoft.com/office/infopath/2007/PartnerControls" targetNamespace="c2323869-9312-41a6-b73b-7b8186d7ec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d8366b5-4854-423f-9ece-b76b9890fd11}" ma:internalName="TaxCatchAll" ma:showField="CatchAllData" ma:web="c2323869-9312-41a6-b73b-7b8186d7ec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4E33-DEAC-4DAA-9AD4-412F9ADAD9CC}">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c2323869-9312-41a6-b73b-7b8186d7ec70"/>
    <ds:schemaRef ds:uri="4fbe574a-ea71-4a7a-8b6c-7f8379c27a3b"/>
  </ds:schemaRefs>
</ds:datastoreItem>
</file>

<file path=customXml/itemProps2.xml><?xml version="1.0" encoding="utf-8"?>
<ds:datastoreItem xmlns:ds="http://schemas.openxmlformats.org/officeDocument/2006/customXml" ds:itemID="{12265506-BF73-4BA7-AE85-D7D92B6E8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e574a-ea71-4a7a-8b6c-7f8379c27a3b"/>
    <ds:schemaRef ds:uri="c2323869-9312-41a6-b73b-7b8186d7ec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C5707-1DCB-4AAC-9DE9-802E974CD6A8}">
  <ds:schemaRefs>
    <ds:schemaRef ds:uri="http://schemas.microsoft.com/sharepoint/v3/contenttype/forms"/>
  </ds:schemaRefs>
</ds:datastoreItem>
</file>

<file path=customXml/itemProps4.xml><?xml version="1.0" encoding="utf-8"?>
<ds:datastoreItem xmlns:ds="http://schemas.openxmlformats.org/officeDocument/2006/customXml" ds:itemID="{DB57B6C5-9615-D344-958A-8002CE0E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1478</Words>
  <Characters>8722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10180</CharactersWithSpaces>
  <SharedDoc>false</SharedDoc>
  <HLinks>
    <vt:vector size="36" baseType="variant">
      <vt:variant>
        <vt:i4>1310774</vt:i4>
      </vt:variant>
      <vt:variant>
        <vt:i4>15</vt:i4>
      </vt:variant>
      <vt:variant>
        <vt:i4>0</vt:i4>
      </vt:variant>
      <vt:variant>
        <vt:i4>5</vt:i4>
      </vt:variant>
      <vt:variant>
        <vt:lpwstr>mailto:presse@erstebank.at</vt:lpwstr>
      </vt:variant>
      <vt:variant>
        <vt:lpwstr/>
      </vt:variant>
      <vt:variant>
        <vt:i4>786444</vt:i4>
      </vt:variant>
      <vt:variant>
        <vt:i4>12</vt:i4>
      </vt:variant>
      <vt:variant>
        <vt:i4>0</vt:i4>
      </vt:variant>
      <vt:variant>
        <vt:i4>5</vt:i4>
      </vt:variant>
      <vt:variant>
        <vt:lpwstr>https://www.erstegroup.com/en/news-media</vt:lpwstr>
      </vt:variant>
      <vt:variant>
        <vt:lpwstr/>
      </vt:variant>
      <vt:variant>
        <vt:i4>1704056</vt:i4>
      </vt:variant>
      <vt:variant>
        <vt:i4>9</vt:i4>
      </vt:variant>
      <vt:variant>
        <vt:i4>0</vt:i4>
      </vt:variant>
      <vt:variant>
        <vt:i4>5</vt:i4>
      </vt:variant>
      <vt:variant>
        <vt:lpwstr>mailto:marvin.aschinger@erstegroup.com</vt:lpwstr>
      </vt:variant>
      <vt:variant>
        <vt:lpwstr/>
      </vt:variant>
      <vt:variant>
        <vt:i4>4390949</vt:i4>
      </vt:variant>
      <vt:variant>
        <vt:i4>6</vt:i4>
      </vt:variant>
      <vt:variant>
        <vt:i4>0</vt:i4>
      </vt:variant>
      <vt:variant>
        <vt:i4>5</vt:i4>
      </vt:variant>
      <vt:variant>
        <vt:lpwstr>mailto:peter.klopf@erstegroup.com</vt:lpwstr>
      </vt:variant>
      <vt:variant>
        <vt:lpwstr/>
      </vt:variant>
      <vt:variant>
        <vt:i4>7471197</vt:i4>
      </vt:variant>
      <vt:variant>
        <vt:i4>3</vt:i4>
      </vt:variant>
      <vt:variant>
        <vt:i4>0</vt:i4>
      </vt:variant>
      <vt:variant>
        <vt:i4>5</vt:i4>
      </vt:variant>
      <vt:variant>
        <vt:lpwstr>mailto:martin.sonn-wende@erstegroup.com</vt:lpwstr>
      </vt:variant>
      <vt:variant>
        <vt:lpwstr/>
      </vt:variant>
      <vt:variant>
        <vt:i4>5242932</vt:i4>
      </vt:variant>
      <vt:variant>
        <vt:i4>0</vt:i4>
      </vt:variant>
      <vt:variant>
        <vt:i4>0</vt:i4>
      </vt:variant>
      <vt:variant>
        <vt:i4>5</vt:i4>
      </vt:variant>
      <vt:variant>
        <vt:lpwstr>mailto:margarita.thiel@erstegroup.com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Klopf</dc:creator>
  <cp:keywords/>
  <dc:description/>
  <cp:lastModifiedBy>Bouc František</cp:lastModifiedBy>
  <cp:revision>2</cp:revision>
  <cp:lastPrinted>2025-04-25T16:19:00Z</cp:lastPrinted>
  <dcterms:created xsi:type="dcterms:W3CDTF">2025-04-29T16:10:00Z</dcterms:created>
  <dcterms:modified xsi:type="dcterms:W3CDTF">2025-04-29T16:10:00Z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0x010100409EF6D673F6C444A56AD1A69ED879D5</vt:lpwstr>
  </property>
  <property fmtid="{D5CDD505-2E9C-101B-9397-08002B2CF9AE}" pid="3" name="MediaServiceImageTags">
    <vt:lpwstr/>
  </property>
  <property fmtid="{D5CDD505-2E9C-101B-9397-08002B2CF9AE}" pid="4" name="MSIP_Label_38939b85-7e40-4a1d-91e1-0e84c3b219d7_Enabled">
    <vt:lpwstr>true</vt:lpwstr>
  </property>
  <property fmtid="{D5CDD505-2E9C-101B-9397-08002B2CF9AE}" pid="5" name="MSIP_Label_38939b85-7e40-4a1d-91e1-0e84c3b219d7_SetDate">
    <vt:lpwstr>2025-04-28T08:50:59Z</vt:lpwstr>
  </property>
  <property fmtid="{D5CDD505-2E9C-101B-9397-08002B2CF9AE}" pid="6" name="MSIP_Label_38939b85-7e40-4a1d-91e1-0e84c3b219d7_Method">
    <vt:lpwstr>Privileged</vt:lpwstr>
  </property>
  <property fmtid="{D5CDD505-2E9C-101B-9397-08002B2CF9AE}" pid="7" name="MSIP_Label_38939b85-7e40-4a1d-91e1-0e84c3b219d7_Name">
    <vt:lpwstr>38939b85-7e40-4a1d-91e1-0e84c3b219d7</vt:lpwstr>
  </property>
  <property fmtid="{D5CDD505-2E9C-101B-9397-08002B2CF9AE}" pid="8" name="MSIP_Label_38939b85-7e40-4a1d-91e1-0e84c3b219d7_SiteId">
    <vt:lpwstr>3ad0376a-54d3-49a6-9e20-52de0a92fc89</vt:lpwstr>
  </property>
  <property fmtid="{D5CDD505-2E9C-101B-9397-08002B2CF9AE}" pid="9" name="MSIP_Label_38939b85-7e40-4a1d-91e1-0e84c3b219d7_ActionId">
    <vt:lpwstr>4ea7e129-8015-4c13-8b39-d95537ec838d</vt:lpwstr>
  </property>
  <property fmtid="{D5CDD505-2E9C-101B-9397-08002B2CF9AE}" pid="10" name="MSIP_Label_38939b85-7e40-4a1d-91e1-0e84c3b219d7_ContentBits">
    <vt:lpwstr>0</vt:lpwstr>
  </property>
  <property fmtid="{D5CDD505-2E9C-101B-9397-08002B2CF9AE}" pid="11" name="MSIP_Label_38939b85-7e40-4a1d-91e1-0e84c3b219d7_Tag">
    <vt:lpwstr>50, 0, 1, 1</vt:lpwstr>
  </property>
</Properties>
</file>