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F00E" w14:textId="4747370B" w:rsidR="00A23F87" w:rsidRPr="003061AD" w:rsidRDefault="00D8467A" w:rsidP="00A23F87">
      <w:pPr>
        <w:pStyle w:val="Nadpis2"/>
        <w:rPr>
          <w:rStyle w:val="Siln"/>
          <w:rFonts w:ascii="Inter" w:hAnsi="Inter"/>
          <w:b/>
          <w:bCs/>
          <w:color w:val="auto"/>
          <w:lang w:val="cs-CZ"/>
        </w:rPr>
      </w:pPr>
      <w:r>
        <w:rPr>
          <w:rFonts w:ascii="Inter" w:eastAsia="Inter" w:hAnsi="Inter" w:cs="Inter"/>
          <w:color w:val="auto"/>
          <w:lang w:val="cs-CZ" w:bidi="cs-CZ"/>
        </w:rPr>
        <w:t>Silné</w:t>
      </w:r>
      <w:r w:rsidR="0061228C" w:rsidRPr="003061AD">
        <w:rPr>
          <w:rFonts w:ascii="Inter" w:eastAsia="Inter" w:hAnsi="Inter" w:cs="Inter"/>
          <w:color w:val="auto"/>
          <w:lang w:val="cs-CZ" w:bidi="cs-CZ"/>
        </w:rPr>
        <w:t xml:space="preserve"> provozní výsledky v prvním čtvrtletí –čistý výsledek</w:t>
      </w:r>
      <w:r w:rsidRPr="00D8467A">
        <w:rPr>
          <w:rFonts w:ascii="Inter" w:eastAsia="Inter" w:hAnsi="Inter" w:cs="Inter"/>
          <w:color w:val="auto"/>
          <w:lang w:val="cs-CZ" w:bidi="cs-CZ"/>
        </w:rPr>
        <w:t xml:space="preserve"> </w:t>
      </w:r>
      <w:r>
        <w:rPr>
          <w:rFonts w:ascii="Inter" w:eastAsia="Inter" w:hAnsi="Inter" w:cs="Inter"/>
          <w:color w:val="auto"/>
          <w:lang w:val="cs-CZ" w:bidi="cs-CZ"/>
        </w:rPr>
        <w:t xml:space="preserve">ovlivňují </w:t>
      </w:r>
      <w:r w:rsidRPr="003061AD">
        <w:rPr>
          <w:rFonts w:ascii="Inter" w:eastAsia="Inter" w:hAnsi="Inter" w:cs="Inter"/>
          <w:color w:val="auto"/>
          <w:lang w:val="cs-CZ" w:bidi="cs-CZ"/>
        </w:rPr>
        <w:t>bankovní da</w:t>
      </w:r>
      <w:r>
        <w:rPr>
          <w:rFonts w:ascii="Inter" w:eastAsia="Inter" w:hAnsi="Inter" w:cs="Inter"/>
          <w:color w:val="auto"/>
          <w:lang w:val="cs-CZ" w:bidi="cs-CZ"/>
        </w:rPr>
        <w:t>ně</w:t>
      </w:r>
    </w:p>
    <w:p w14:paraId="71811860" w14:textId="344FE082" w:rsidR="00A23F87" w:rsidRPr="003061AD" w:rsidRDefault="00C5551A" w:rsidP="00A23F87">
      <w:pPr>
        <w:pStyle w:val="Odstavecseseznamem"/>
        <w:numPr>
          <w:ilvl w:val="0"/>
          <w:numId w:val="21"/>
        </w:numPr>
        <w:shd w:val="clear" w:color="auto" w:fill="FFFFFF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lang w:val="cs-CZ" w:bidi="cs-CZ"/>
        </w:rPr>
        <w:t>Kvalita zisku se meziročně zvýšila díky vyšším čistým výnosům z poplatků a provizí (+9,5 %) a čistým úrokovým výnosům (+1,1 %)</w:t>
      </w:r>
    </w:p>
    <w:p w14:paraId="0091104B" w14:textId="6EC5ADE9" w:rsidR="00A23F87" w:rsidRPr="003061AD" w:rsidRDefault="000D4287" w:rsidP="00A23F87">
      <w:pPr>
        <w:pStyle w:val="Odstavecseseznamem"/>
        <w:numPr>
          <w:ilvl w:val="0"/>
          <w:numId w:val="21"/>
        </w:numPr>
        <w:shd w:val="clear" w:color="auto" w:fill="FFFFFF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lang w:val="cs-CZ" w:bidi="cs-CZ"/>
        </w:rPr>
        <w:t xml:space="preserve">Čistý výsledek je nižší v důsledku vyšších bankovních </w:t>
      </w:r>
      <w:r w:rsidR="00D8467A">
        <w:rPr>
          <w:rFonts w:ascii="Inter" w:eastAsia="Inter" w:hAnsi="Inter" w:cs="Inter"/>
          <w:lang w:val="cs-CZ" w:bidi="cs-CZ"/>
        </w:rPr>
        <w:t>daní</w:t>
      </w:r>
      <w:r w:rsidRPr="003061AD">
        <w:rPr>
          <w:rFonts w:ascii="Inter" w:eastAsia="Inter" w:hAnsi="Inter" w:cs="Inter"/>
          <w:lang w:val="cs-CZ" w:bidi="cs-CZ"/>
        </w:rPr>
        <w:t xml:space="preserve"> a zvýšení nákladů v důsledku kolektivní smlouvy</w:t>
      </w:r>
    </w:p>
    <w:p w14:paraId="582AB2A2" w14:textId="6D7DF79B" w:rsidR="00A23F87" w:rsidRPr="003061AD" w:rsidRDefault="00060161" w:rsidP="00A23F87">
      <w:pPr>
        <w:pStyle w:val="Odstavecseseznamem"/>
        <w:numPr>
          <w:ilvl w:val="0"/>
          <w:numId w:val="21"/>
        </w:numPr>
        <w:shd w:val="clear" w:color="auto" w:fill="FFFFFF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lang w:val="cs-CZ" w:bidi="cs-CZ"/>
        </w:rPr>
        <w:t>Objem úvěrů od začátku roku vzrostl o +0,9 % a objem vkladů pak o +1,9 %</w:t>
      </w:r>
    </w:p>
    <w:p w14:paraId="73E3634D" w14:textId="0961C814" w:rsidR="000C7445" w:rsidRPr="003061AD" w:rsidRDefault="00BB1981" w:rsidP="00A23F87">
      <w:pPr>
        <w:pStyle w:val="Odstavecseseznamem"/>
        <w:numPr>
          <w:ilvl w:val="0"/>
          <w:numId w:val="21"/>
        </w:numPr>
        <w:shd w:val="clear" w:color="auto" w:fill="FFFFFF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lang w:val="cs-CZ" w:bidi="cs-CZ"/>
        </w:rPr>
        <w:t>Náklady na riziko klesly (meziročně o -9,9 %) díky zlepšené kvalitě aktiv</w:t>
      </w:r>
    </w:p>
    <w:p w14:paraId="7913E331" w14:textId="77777777" w:rsidR="00A23F87" w:rsidRPr="003061AD" w:rsidRDefault="00A23F87" w:rsidP="00A23F87">
      <w:pPr>
        <w:rPr>
          <w:rFonts w:ascii="Inter" w:hAnsi="Inter"/>
          <w:lang w:val="cs-CZ"/>
        </w:rPr>
      </w:pPr>
    </w:p>
    <w:p w14:paraId="0AFFBB27" w14:textId="125E642A" w:rsidR="00A23F87" w:rsidRPr="00D8467A" w:rsidRDefault="00E0385E" w:rsidP="00A23F87">
      <w:pPr>
        <w:spacing w:line="280" w:lineRule="exact"/>
        <w:rPr>
          <w:rFonts w:ascii="Inter" w:eastAsia="Inter" w:hAnsi="Inter" w:cs="Inter"/>
          <w:b/>
          <w:lang w:val="cs-CZ" w:bidi="cs-CZ"/>
        </w:rPr>
      </w:pPr>
      <w:proofErr w:type="spellStart"/>
      <w:r w:rsidRPr="003061AD">
        <w:rPr>
          <w:rFonts w:ascii="Inter" w:eastAsia="Inter" w:hAnsi="Inter" w:cs="Inter"/>
          <w:b/>
          <w:lang w:val="cs-CZ" w:bidi="cs-CZ"/>
        </w:rPr>
        <w:t>Erste</w:t>
      </w:r>
      <w:proofErr w:type="spellEnd"/>
      <w:r w:rsidRPr="003061AD">
        <w:rPr>
          <w:rFonts w:ascii="Inter" w:eastAsia="Inter" w:hAnsi="Inter" w:cs="Inter"/>
          <w:b/>
          <w:lang w:val="cs-CZ" w:bidi="cs-CZ"/>
        </w:rPr>
        <w:t xml:space="preserve"> Group Bank AG dosáhla v prvním čtvrtletí roku 2025 dobrých provozních výsledků ve své hlavní činnosti. Čisté úrokové výnosy meziročně mírně vzrostly o 1,1 % na 1,87 mld. EUR (1. čtvrtletí 2024: 1,85 mld. EUR), zatímco čisté výnosy z poplatků a provizí vzrostly o 9,5 % na 780 mil. EUR (1. čtvrtletí 2024: 712 mil. EUR).   K růstu výnosů z poplatků přispěla zejména silnější poptávka po produktech kapitálového trhu a po platebních transakcích. Provozní výnosy meziročně vzrostly o 0,5 % na 2,80 mld. EUR (1. čtvrtletí 2024: 2,79 mld. EUR), ačkoli ve stejném čtvrtletí předchozího roku se projevily jednorázové příznivé vlivy.  Provozní výsledek se v prvním čtvrtletí roku 2025 snížil o 3,2 % na 1,46 mld. EUR (1. čtvrtletí 2024: 1,51 mld. EUR).  Pokles je způsoben především nárůstem nákladů na zaměstnance v důsledku navýšení v kolektivní smlouvě)</w:t>
      </w:r>
      <w:r w:rsidR="00D8467A">
        <w:rPr>
          <w:rFonts w:ascii="Inter" w:eastAsia="Inter" w:hAnsi="Inter" w:cs="Inter"/>
          <w:b/>
          <w:lang w:val="cs-CZ" w:bidi="cs-CZ"/>
        </w:rPr>
        <w:t xml:space="preserve"> a také nákladů na IT</w:t>
      </w:r>
      <w:r w:rsidRPr="003061AD">
        <w:rPr>
          <w:rFonts w:ascii="Inter" w:eastAsia="Inter" w:hAnsi="Inter" w:cs="Inter"/>
          <w:b/>
          <w:lang w:val="cs-CZ" w:bidi="cs-CZ"/>
        </w:rPr>
        <w:t xml:space="preserve">.  Náklady na riziko se meziročně i mezičtvrtletně snížily a v prvním čtvrtletí činily 85 mil. EUR (1. čtvrtletí 2024: 95 mil. EUR).  To bylo způsobeno především lepšími výsledky obchodní činnosti v Rakousku, kde bylo v prvním čtvrtletí roku 2025 zaznamenáno méně případů neplnění. Bankovní </w:t>
      </w:r>
      <w:r w:rsidR="00D8467A">
        <w:rPr>
          <w:rFonts w:ascii="Inter" w:eastAsia="Inter" w:hAnsi="Inter" w:cs="Inter"/>
          <w:b/>
          <w:lang w:val="cs-CZ" w:bidi="cs-CZ"/>
        </w:rPr>
        <w:t>daně</w:t>
      </w:r>
      <w:r w:rsidRPr="003061AD">
        <w:rPr>
          <w:rFonts w:ascii="Inter" w:eastAsia="Inter" w:hAnsi="Inter" w:cs="Inter"/>
          <w:b/>
          <w:lang w:val="cs-CZ" w:bidi="cs-CZ"/>
        </w:rPr>
        <w:t xml:space="preserve"> se meziročně zvýšily o 41 % na 121 mil. EUR (1. čtvrtletí 2024: 86 mil. EUR).  Čistý výsledek se proto snížil na 743 mil. EUR, což je meziročně o 5,1 % méně (1. čtvrtletí 2024: 783 mil. EUR).  Objem úvěrů na konci prvního čtvrtletí roku 2025 činil 220,1 mld. EUR, což představuje nárůst o 0,9 % od počátku roku, zejména díky růstu úvěrů v České republice</w:t>
      </w:r>
      <w:r w:rsidR="00D8467A">
        <w:rPr>
          <w:rFonts w:ascii="Inter" w:eastAsia="Inter" w:hAnsi="Inter" w:cs="Inter"/>
          <w:b/>
          <w:lang w:val="cs-CZ" w:bidi="cs-CZ"/>
        </w:rPr>
        <w:t xml:space="preserve"> a Chorvatsku</w:t>
      </w:r>
      <w:r w:rsidRPr="003061AD">
        <w:rPr>
          <w:rFonts w:ascii="Inter" w:eastAsia="Inter" w:hAnsi="Inter" w:cs="Inter"/>
          <w:b/>
          <w:lang w:val="cs-CZ" w:bidi="cs-CZ"/>
        </w:rPr>
        <w:t xml:space="preserve">. Meziročně vzrostl objem úvěrů o 5,8 %, a nárůst tak vůbec poprvé od druhého čtvrtletí roku 2023 překročil pětiprocentní hranici. Objem vkladů také mezičtvrtletně vzrostl o 1,9 % na 246,1 mld. EUR, což odpovídá meziročnímu nárůstu o 4,6 %. Poměr vlastního kapitálu na bázi </w:t>
      </w:r>
      <w:proofErr w:type="spellStart"/>
      <w:r w:rsidRPr="003061AD">
        <w:rPr>
          <w:rFonts w:ascii="Inter" w:eastAsia="Inter" w:hAnsi="Inter" w:cs="Inter"/>
          <w:b/>
          <w:lang w:val="cs-CZ" w:bidi="cs-CZ"/>
        </w:rPr>
        <w:t>Tier</w:t>
      </w:r>
      <w:proofErr w:type="spellEnd"/>
      <w:r w:rsidRPr="003061AD">
        <w:rPr>
          <w:rFonts w:ascii="Inter" w:eastAsia="Inter" w:hAnsi="Inter" w:cs="Inter"/>
          <w:b/>
          <w:lang w:val="cs-CZ" w:bidi="cs-CZ"/>
        </w:rPr>
        <w:t xml:space="preserve"> 1 (ukazatel CET1, pro forma)</w:t>
      </w:r>
      <w:r w:rsidR="00D8467A">
        <w:rPr>
          <w:rFonts w:ascii="Inter" w:eastAsia="Inter" w:hAnsi="Inter" w:cs="Inter"/>
          <w:b/>
          <w:lang w:val="cs-CZ" w:bidi="cs-CZ"/>
        </w:rPr>
        <w:t xml:space="preserve"> výrazně překonal cíl </w:t>
      </w:r>
      <w:proofErr w:type="spellStart"/>
      <w:r w:rsidR="00D8467A">
        <w:rPr>
          <w:rFonts w:ascii="Inter" w:eastAsia="Inter" w:hAnsi="Inter" w:cs="Inter"/>
          <w:b/>
          <w:lang w:val="cs-CZ" w:bidi="cs-CZ"/>
        </w:rPr>
        <w:t>Erste</w:t>
      </w:r>
      <w:proofErr w:type="spellEnd"/>
      <w:r w:rsidR="00D8467A">
        <w:rPr>
          <w:rFonts w:ascii="Inter" w:eastAsia="Inter" w:hAnsi="Inter" w:cs="Inter"/>
          <w:b/>
          <w:lang w:val="cs-CZ" w:bidi="cs-CZ"/>
        </w:rPr>
        <w:t xml:space="preserve"> Group a</w:t>
      </w:r>
      <w:r w:rsidRPr="003061AD">
        <w:rPr>
          <w:rFonts w:ascii="Inter" w:eastAsia="Inter" w:hAnsi="Inter" w:cs="Inter"/>
          <w:b/>
          <w:lang w:val="cs-CZ" w:bidi="cs-CZ"/>
        </w:rPr>
        <w:t xml:space="preserve"> činil 16,2 % díky dobrým provozním výsledkům a pozitivním účinkům implementace nařízení </w:t>
      </w:r>
      <w:proofErr w:type="spellStart"/>
      <w:r w:rsidRPr="003061AD">
        <w:rPr>
          <w:rFonts w:ascii="Inter" w:eastAsia="Inter" w:hAnsi="Inter" w:cs="Inter"/>
          <w:b/>
          <w:lang w:val="cs-CZ" w:bidi="cs-CZ"/>
        </w:rPr>
        <w:t>Basel</w:t>
      </w:r>
      <w:proofErr w:type="spellEnd"/>
      <w:r w:rsidRPr="003061AD">
        <w:rPr>
          <w:rFonts w:ascii="Inter" w:eastAsia="Inter" w:hAnsi="Inter" w:cs="Inter"/>
          <w:b/>
          <w:lang w:val="cs-CZ" w:bidi="cs-CZ"/>
        </w:rPr>
        <w:t xml:space="preserve"> IV.</w:t>
      </w:r>
    </w:p>
    <w:p w14:paraId="0FBB6D4F" w14:textId="77777777" w:rsidR="00711D5D" w:rsidRPr="003061AD" w:rsidRDefault="00711D5D" w:rsidP="00A23F87">
      <w:pPr>
        <w:rPr>
          <w:rFonts w:ascii="Inter" w:hAnsi="Inter"/>
          <w:color w:val="FFFFFF" w:themeColor="background1"/>
          <w:lang w:val="cs-CZ"/>
        </w:rPr>
      </w:pPr>
    </w:p>
    <w:p w14:paraId="245D34A3" w14:textId="1674A753" w:rsidR="00C71EFA" w:rsidRPr="003061AD" w:rsidRDefault="00C71EFA" w:rsidP="00C71EFA">
      <w:pPr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i/>
          <w:lang w:val="cs-CZ" w:bidi="cs-CZ"/>
        </w:rPr>
        <w:t xml:space="preserve">„V těchto časech je důležitá spolehlivost a naše výsledky to podtrhují. Podařilo se nám zlepšit kvalitu výsledků a udržet nízké náklady na riziko. Zároveň jsme zaznamenali růst objemu úvěrů i vkladů a zůstáváme i nadále spolehlivým partnerem našich klientů. Kromě toho jsme dále posílili naši kapitálovou pozici, což nám </w:t>
      </w:r>
      <w:proofErr w:type="gramStart"/>
      <w:r w:rsidRPr="003061AD">
        <w:rPr>
          <w:rFonts w:ascii="Inter" w:eastAsia="Inter" w:hAnsi="Inter" w:cs="Inter"/>
          <w:i/>
          <w:lang w:val="cs-CZ" w:bidi="cs-CZ"/>
        </w:rPr>
        <w:t>umožňuje</w:t>
      </w:r>
      <w:proofErr w:type="gramEnd"/>
      <w:r w:rsidRPr="003061AD">
        <w:rPr>
          <w:rFonts w:ascii="Inter" w:eastAsia="Inter" w:hAnsi="Inter" w:cs="Inter"/>
          <w:i/>
          <w:lang w:val="cs-CZ" w:bidi="cs-CZ"/>
        </w:rPr>
        <w:t xml:space="preserve"> jak čelit výzvám dynamického tržního prostředí, tak maximálně využívat příležitostí, které se objeví,“</w:t>
      </w:r>
      <w:r w:rsidRPr="003061AD">
        <w:rPr>
          <w:rFonts w:ascii="Inter" w:eastAsia="Inter" w:hAnsi="Inter" w:cs="Inter"/>
          <w:lang w:val="cs-CZ" w:bidi="cs-CZ"/>
        </w:rPr>
        <w:t xml:space="preserve"> uvádí </w:t>
      </w:r>
      <w:r w:rsidRPr="003061AD">
        <w:rPr>
          <w:rFonts w:ascii="Inter" w:eastAsia="Inter" w:hAnsi="Inter" w:cs="Inter"/>
          <w:b/>
          <w:lang w:val="cs-CZ" w:bidi="cs-CZ"/>
        </w:rPr>
        <w:t xml:space="preserve">Peter </w:t>
      </w:r>
      <w:proofErr w:type="spellStart"/>
      <w:r w:rsidRPr="003061AD">
        <w:rPr>
          <w:rFonts w:ascii="Inter" w:eastAsia="Inter" w:hAnsi="Inter" w:cs="Inter"/>
          <w:b/>
          <w:lang w:val="cs-CZ" w:bidi="cs-CZ"/>
        </w:rPr>
        <w:t>Bosek</w:t>
      </w:r>
      <w:proofErr w:type="spellEnd"/>
      <w:r w:rsidRPr="003061AD">
        <w:rPr>
          <w:rFonts w:ascii="Inter" w:eastAsia="Inter" w:hAnsi="Inter" w:cs="Inter"/>
          <w:lang w:val="cs-CZ" w:bidi="cs-CZ"/>
        </w:rPr>
        <w:t xml:space="preserve">, CEO </w:t>
      </w:r>
      <w:proofErr w:type="spellStart"/>
      <w:r w:rsidRPr="003061AD">
        <w:rPr>
          <w:rFonts w:ascii="Inter" w:eastAsia="Inter" w:hAnsi="Inter" w:cs="Inter"/>
          <w:lang w:val="cs-CZ" w:bidi="cs-CZ"/>
        </w:rPr>
        <w:t>Erste</w:t>
      </w:r>
      <w:proofErr w:type="spellEnd"/>
      <w:r w:rsidRPr="003061AD">
        <w:rPr>
          <w:rFonts w:ascii="Inter" w:eastAsia="Inter" w:hAnsi="Inter" w:cs="Inter"/>
          <w:lang w:val="cs-CZ" w:bidi="cs-CZ"/>
        </w:rPr>
        <w:t xml:space="preserve"> Group.</w:t>
      </w:r>
    </w:p>
    <w:p w14:paraId="752600EE" w14:textId="77777777" w:rsidR="00FC2EF2" w:rsidRPr="003061AD" w:rsidRDefault="00FC2EF2" w:rsidP="00C71EFA">
      <w:pPr>
        <w:rPr>
          <w:rFonts w:ascii="Inter" w:hAnsi="Inter"/>
          <w:lang w:val="cs-CZ"/>
        </w:rPr>
      </w:pPr>
    </w:p>
    <w:p w14:paraId="3452F949" w14:textId="1C3BD044" w:rsidR="00FC2EF2" w:rsidRPr="003061AD" w:rsidRDefault="00FC2EF2" w:rsidP="00FC2EF2">
      <w:pPr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i/>
          <w:lang w:val="cs-CZ" w:bidi="cs-CZ"/>
        </w:rPr>
        <w:lastRenderedPageBreak/>
        <w:t>„V prvním čtvrtletí se nám navzdory všem výkyvům a nejistotám v globálním ekonomickém systému povedlo dosáhnout solidních provozních výsledků. Tento silný základ nám umožňuje udržet výhled na celý rok 2025 a dokonce mírně zvýšit prognózu ohledně růstu výnosů z poplatků,“</w:t>
      </w:r>
      <w:r w:rsidRPr="003061AD">
        <w:rPr>
          <w:rFonts w:ascii="Inter" w:eastAsia="Inter" w:hAnsi="Inter" w:cs="Inter"/>
          <w:lang w:val="cs-CZ" w:bidi="cs-CZ"/>
        </w:rPr>
        <w:t xml:space="preserve"> sděluje </w:t>
      </w:r>
      <w:r w:rsidRPr="003061AD">
        <w:rPr>
          <w:rFonts w:ascii="Inter" w:eastAsia="Inter" w:hAnsi="Inter" w:cs="Inter"/>
          <w:b/>
          <w:lang w:val="cs-CZ" w:bidi="cs-CZ"/>
        </w:rPr>
        <w:t xml:space="preserve">Stefan </w:t>
      </w:r>
      <w:proofErr w:type="spellStart"/>
      <w:r w:rsidRPr="003061AD">
        <w:rPr>
          <w:rFonts w:ascii="Inter" w:eastAsia="Inter" w:hAnsi="Inter" w:cs="Inter"/>
          <w:b/>
          <w:lang w:val="cs-CZ" w:bidi="cs-CZ"/>
        </w:rPr>
        <w:t>Dörfler</w:t>
      </w:r>
      <w:proofErr w:type="spellEnd"/>
      <w:r w:rsidRPr="003061AD">
        <w:rPr>
          <w:rFonts w:ascii="Inter" w:eastAsia="Inter" w:hAnsi="Inter" w:cs="Inter"/>
          <w:lang w:val="cs-CZ" w:bidi="cs-CZ"/>
        </w:rPr>
        <w:t>, C</w:t>
      </w:r>
      <w:r w:rsidR="00937321">
        <w:rPr>
          <w:rFonts w:ascii="Inter" w:eastAsia="Inter" w:hAnsi="Inter" w:cs="Inter"/>
          <w:lang w:val="cs-CZ" w:bidi="cs-CZ"/>
        </w:rPr>
        <w:t>F</w:t>
      </w:r>
      <w:r w:rsidRPr="003061AD">
        <w:rPr>
          <w:rFonts w:ascii="Inter" w:eastAsia="Inter" w:hAnsi="Inter" w:cs="Inter"/>
          <w:lang w:val="cs-CZ" w:bidi="cs-CZ"/>
        </w:rPr>
        <w:t xml:space="preserve">O </w:t>
      </w:r>
      <w:proofErr w:type="spellStart"/>
      <w:r w:rsidRPr="003061AD">
        <w:rPr>
          <w:rFonts w:ascii="Inter" w:eastAsia="Inter" w:hAnsi="Inter" w:cs="Inter"/>
          <w:lang w:val="cs-CZ" w:bidi="cs-CZ"/>
        </w:rPr>
        <w:t>Erste</w:t>
      </w:r>
      <w:proofErr w:type="spellEnd"/>
      <w:r w:rsidRPr="003061AD">
        <w:rPr>
          <w:rFonts w:ascii="Inter" w:eastAsia="Inter" w:hAnsi="Inter" w:cs="Inter"/>
          <w:lang w:val="cs-CZ" w:bidi="cs-CZ"/>
        </w:rPr>
        <w:t xml:space="preserve"> Group.</w:t>
      </w:r>
    </w:p>
    <w:p w14:paraId="26B908E3" w14:textId="01E106E9" w:rsidR="002C18D8" w:rsidRPr="003061AD" w:rsidRDefault="002C18D8">
      <w:pPr>
        <w:spacing w:line="240" w:lineRule="auto"/>
        <w:rPr>
          <w:rFonts w:ascii="Inter" w:hAnsi="Inter"/>
          <w:lang w:val="cs-CZ"/>
        </w:rPr>
      </w:pPr>
    </w:p>
    <w:p w14:paraId="3A8783DA" w14:textId="77777777" w:rsidR="00C94C4E" w:rsidRPr="003061AD" w:rsidRDefault="00C94C4E">
      <w:pPr>
        <w:spacing w:line="240" w:lineRule="auto"/>
        <w:rPr>
          <w:rFonts w:ascii="Inter" w:hAnsi="Inter"/>
          <w:lang w:val="cs-CZ"/>
        </w:rPr>
      </w:pPr>
    </w:p>
    <w:p w14:paraId="76619A3F" w14:textId="77777777" w:rsidR="00C94C4E" w:rsidRPr="003061AD" w:rsidRDefault="00C94C4E">
      <w:pPr>
        <w:spacing w:line="240" w:lineRule="auto"/>
        <w:rPr>
          <w:rFonts w:ascii="Inter" w:hAnsi="Inter"/>
          <w:lang w:val="cs-CZ"/>
        </w:rPr>
      </w:pPr>
    </w:p>
    <w:p w14:paraId="6F0ECD57" w14:textId="000D0D38" w:rsidR="00435013" w:rsidRPr="003061AD" w:rsidRDefault="003F5CD5" w:rsidP="003F5CD5">
      <w:pPr>
        <w:jc w:val="center"/>
        <w:rPr>
          <w:rFonts w:ascii="Inter" w:hAnsi="Inter"/>
          <w:b/>
          <w:bCs/>
          <w:color w:val="000000"/>
          <w:lang w:val="cs-CZ"/>
        </w:rPr>
      </w:pPr>
      <w:r w:rsidRPr="003061AD">
        <w:rPr>
          <w:rFonts w:ascii="Inter" w:eastAsia="Inter" w:hAnsi="Inter" w:cs="Inter"/>
          <w:b/>
          <w:color w:val="000000"/>
          <w:lang w:val="cs-CZ" w:bidi="cs-CZ"/>
        </w:rPr>
        <w:t>*****</w:t>
      </w:r>
    </w:p>
    <w:p w14:paraId="4681E5F9" w14:textId="77777777" w:rsidR="00C94C4E" w:rsidRPr="003061AD" w:rsidRDefault="00C94C4E" w:rsidP="00435013">
      <w:pPr>
        <w:rPr>
          <w:rFonts w:ascii="Inter" w:hAnsi="Inter"/>
          <w:b/>
          <w:bCs/>
          <w:color w:val="000000"/>
          <w:lang w:val="cs-CZ"/>
        </w:rPr>
      </w:pPr>
    </w:p>
    <w:p w14:paraId="7A4225DE" w14:textId="08C2EF75" w:rsidR="00B2305D" w:rsidRPr="003061AD" w:rsidRDefault="003F5CD5" w:rsidP="00435013">
      <w:pPr>
        <w:rPr>
          <w:rFonts w:ascii="Inter" w:hAnsi="Inter"/>
          <w:i/>
          <w:iCs/>
          <w:sz w:val="16"/>
          <w:szCs w:val="16"/>
          <w:lang w:val="cs-CZ"/>
        </w:rPr>
      </w:pPr>
      <w:r w:rsidRPr="003061AD">
        <w:rPr>
          <w:rFonts w:ascii="Inter" w:eastAsia="Inter" w:hAnsi="Inter" w:cs="Inter"/>
          <w:i/>
          <w:sz w:val="16"/>
          <w:szCs w:val="16"/>
          <w:lang w:val="cs-CZ" w:bidi="cs-CZ"/>
        </w:rPr>
        <w:t>Finanční výsledky za leden až březen 2025 srovnáváme s výsledky za stejné období roku 2024 a rozvahové položky k 31. březnu 2025 se stavem k 31. prosinci 2024.</w:t>
      </w:r>
    </w:p>
    <w:p w14:paraId="465FE8DC" w14:textId="77777777" w:rsidR="00B2305D" w:rsidRPr="003061AD" w:rsidRDefault="00B2305D" w:rsidP="00435013">
      <w:pPr>
        <w:rPr>
          <w:rFonts w:ascii="Inter" w:hAnsi="Inter"/>
          <w:b/>
          <w:bCs/>
          <w:color w:val="000000" w:themeColor="text1"/>
          <w:lang w:val="cs-CZ"/>
        </w:rPr>
      </w:pPr>
    </w:p>
    <w:p w14:paraId="5FE9FF3E" w14:textId="352FC80F" w:rsidR="00435013" w:rsidRPr="003061AD" w:rsidRDefault="006A3622" w:rsidP="004677D1">
      <w:pPr>
        <w:pStyle w:val="Nadpis4"/>
        <w:rPr>
          <w:rFonts w:ascii="Inter" w:hAnsi="Inter" w:cs="Times New Roman (Headings CS)"/>
          <w:color w:val="auto"/>
          <w:sz w:val="22"/>
          <w:szCs w:val="22"/>
          <w:lang w:val="cs-CZ"/>
        </w:rPr>
      </w:pPr>
      <w:r w:rsidRPr="003061AD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t>Růst výnosů z poplatků na všech hlavních trzích</w:t>
      </w:r>
    </w:p>
    <w:p w14:paraId="2EF1DF6A" w14:textId="3E80AC29" w:rsidR="00435013" w:rsidRPr="003061AD" w:rsidRDefault="00323F53" w:rsidP="00435013">
      <w:pPr>
        <w:pStyle w:val="Bezmezer"/>
        <w:spacing w:line="280" w:lineRule="exact"/>
        <w:rPr>
          <w:sz w:val="20"/>
          <w:szCs w:val="20"/>
          <w:lang w:val="cs-CZ"/>
        </w:rPr>
      </w:pPr>
      <w:r w:rsidRPr="003061AD">
        <w:rPr>
          <w:b/>
          <w:sz w:val="20"/>
          <w:szCs w:val="20"/>
          <w:lang w:val="cs-CZ" w:bidi="cs-CZ"/>
        </w:rPr>
        <w:t>Čisté úrokové výnosy</w:t>
      </w:r>
      <w:r w:rsidRPr="003061AD">
        <w:rPr>
          <w:sz w:val="20"/>
          <w:szCs w:val="20"/>
          <w:lang w:val="cs-CZ" w:bidi="cs-CZ"/>
        </w:rPr>
        <w:t xml:space="preserve"> vzrostly na 1 872 mil. EUR (+1,1 %; 1 852 mil. EUR), především v Rumunsku, České republice a na Slovensku, a to díky nižším úrokovým nákladům z klientských vkladů. </w:t>
      </w:r>
      <w:r w:rsidRPr="003061AD">
        <w:rPr>
          <w:b/>
          <w:sz w:val="20"/>
          <w:szCs w:val="20"/>
          <w:lang w:val="cs-CZ" w:bidi="cs-CZ"/>
        </w:rPr>
        <w:t>Čistý výnos z poplatků a provizí</w:t>
      </w:r>
      <w:r w:rsidRPr="003061AD">
        <w:rPr>
          <w:sz w:val="20"/>
          <w:szCs w:val="20"/>
          <w:lang w:val="cs-CZ" w:bidi="cs-CZ"/>
        </w:rPr>
        <w:t xml:space="preserve"> vzrostl na 780 mil. EUR (+9,5 %; 712 mil. EUR). Růst hlásí všechny klíčové trhy, a to zejména v oblasti platebních služeb a </w:t>
      </w:r>
      <w:r w:rsidRPr="00D8467A">
        <w:rPr>
          <w:sz w:val="20"/>
          <w:szCs w:val="20"/>
          <w:lang w:val="cs-CZ" w:bidi="cs-CZ"/>
        </w:rPr>
        <w:t>správy aktiv</w:t>
      </w:r>
      <w:r w:rsidRPr="003061AD">
        <w:rPr>
          <w:sz w:val="20"/>
          <w:szCs w:val="20"/>
          <w:lang w:val="cs-CZ" w:bidi="cs-CZ"/>
        </w:rPr>
        <w:t xml:space="preserve">. </w:t>
      </w:r>
      <w:r w:rsidRPr="003061AD">
        <w:rPr>
          <w:b/>
          <w:sz w:val="20"/>
          <w:szCs w:val="20"/>
          <w:lang w:val="cs-CZ" w:bidi="cs-CZ"/>
        </w:rPr>
        <w:t>Čistý výsledek obchodování</w:t>
      </w:r>
      <w:r w:rsidRPr="003061AD">
        <w:rPr>
          <w:sz w:val="20"/>
          <w:szCs w:val="20"/>
          <w:lang w:val="cs-CZ" w:bidi="cs-CZ"/>
        </w:rPr>
        <w:t xml:space="preserve"> poklesl na 47 mil. EUR (106 mil. EUR); položka </w:t>
      </w:r>
      <w:r w:rsidRPr="003061AD">
        <w:rPr>
          <w:b/>
          <w:sz w:val="20"/>
          <w:szCs w:val="20"/>
          <w:lang w:val="cs-CZ" w:bidi="cs-CZ"/>
        </w:rPr>
        <w:t xml:space="preserve">zisky/ztráty z finančních nástrojů vykazovaných v reálné hodnotě do zisku nebo ztráty </w:t>
      </w:r>
      <w:r w:rsidRPr="003061AD">
        <w:rPr>
          <w:sz w:val="20"/>
          <w:szCs w:val="20"/>
          <w:lang w:val="cs-CZ" w:bidi="cs-CZ"/>
        </w:rPr>
        <w:t xml:space="preserve">zaznamenala nárůst na 50 mil. EUR (33 mil. EUR). Vývoj těchto dvou položek způsobily především dopady ocenění. </w:t>
      </w:r>
      <w:r w:rsidRPr="003061AD">
        <w:rPr>
          <w:b/>
          <w:sz w:val="20"/>
          <w:szCs w:val="20"/>
          <w:lang w:val="cs-CZ" w:bidi="cs-CZ"/>
        </w:rPr>
        <w:t>Provozní výnosy</w:t>
      </w:r>
      <w:r w:rsidRPr="003061AD">
        <w:rPr>
          <w:sz w:val="20"/>
          <w:szCs w:val="20"/>
          <w:lang w:val="cs-CZ" w:bidi="cs-CZ"/>
        </w:rPr>
        <w:t xml:space="preserve"> mírně vzrostly na 2 802 mil. EUR (+0,5 %; 2 788 mil. EUR).</w:t>
      </w:r>
    </w:p>
    <w:p w14:paraId="453E8253" w14:textId="77777777" w:rsidR="00663059" w:rsidRPr="003061AD" w:rsidRDefault="00663059" w:rsidP="00435013">
      <w:pPr>
        <w:pStyle w:val="Bezmezer"/>
        <w:spacing w:line="280" w:lineRule="exact"/>
        <w:rPr>
          <w:rFonts w:ascii="Inter" w:hAnsi="Inter"/>
          <w:sz w:val="16"/>
          <w:szCs w:val="16"/>
          <w:lang w:val="cs-CZ"/>
        </w:rPr>
      </w:pPr>
    </w:p>
    <w:p w14:paraId="46759812" w14:textId="019F8796" w:rsidR="00663059" w:rsidRPr="003061AD" w:rsidRDefault="00831ED7" w:rsidP="00663059">
      <w:pPr>
        <w:pStyle w:val="Nadpis4"/>
        <w:rPr>
          <w:rFonts w:ascii="Inter" w:hAnsi="Inter" w:cs="Times New Roman (Headings CS)"/>
          <w:color w:val="auto"/>
          <w:sz w:val="22"/>
          <w:szCs w:val="22"/>
          <w:lang w:val="cs-CZ"/>
        </w:rPr>
      </w:pPr>
      <w:r w:rsidRPr="003061AD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t>Pokles provozního výsledku o 3,2 % v důsledku vyšších nákladů na zaměstnance</w:t>
      </w:r>
    </w:p>
    <w:p w14:paraId="2857CC3F" w14:textId="72B474DF" w:rsidR="00663059" w:rsidRPr="003061AD" w:rsidRDefault="006D2313" w:rsidP="00663059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  <w:r w:rsidRPr="003061AD">
        <w:rPr>
          <w:rFonts w:ascii="Inter" w:eastAsia="Inter" w:hAnsi="Inter" w:cs="Inter"/>
          <w:b/>
          <w:sz w:val="20"/>
          <w:szCs w:val="20"/>
          <w:lang w:val="cs-CZ" w:bidi="cs-CZ"/>
        </w:rPr>
        <w:t>Všeobecné administrativní náklady</w:t>
      </w:r>
      <w:r w:rsidRPr="003061AD">
        <w:rPr>
          <w:rFonts w:ascii="Inter" w:eastAsia="Inter" w:hAnsi="Inter" w:cs="Inter"/>
          <w:sz w:val="20"/>
          <w:szCs w:val="20"/>
          <w:lang w:val="cs-CZ" w:bidi="cs-CZ"/>
        </w:rPr>
        <w:t xml:space="preserve"> vzrostly na 1 345 mil. EUR (+4,8 %; 1 283 mil. EUR). V důsledku kolektivně dohodnutého navýšení mezd vzrostly náklady na zaměstnance na 794 mil. EUR (+6,4 %; 746 mil. EUR). Nárůst zaznamenaly také ostatní administrativní náklady, a to na 414 mil. EUR (+3,1 %; 402 mil. EUR). Zatímco příspěvky do systémů pojištění vkladů, které jsou zahrnuty v ostatních administrativních nákladech a většinou již zaúčtovány předem za celý rok 2025, poklesly na 54 mil. EUR (76 mil. EUR); náklady na IT vzrostly na 166 mil. EUR (143 mil. EUR). Amortizace a odpisy dosáhly 136 mil. EUR (+1,1 %; 134 mil. EUR). </w:t>
      </w:r>
      <w:r w:rsidRPr="003061AD">
        <w:rPr>
          <w:rFonts w:ascii="Inter" w:eastAsia="Inter" w:hAnsi="Inter" w:cs="Inter"/>
          <w:b/>
          <w:sz w:val="20"/>
          <w:szCs w:val="20"/>
          <w:lang w:val="cs-CZ" w:bidi="cs-CZ"/>
        </w:rPr>
        <w:t>Provozní výsledek</w:t>
      </w:r>
      <w:r w:rsidRPr="003061AD">
        <w:rPr>
          <w:rFonts w:ascii="Inter" w:eastAsia="Inter" w:hAnsi="Inter" w:cs="Inter"/>
          <w:sz w:val="20"/>
          <w:szCs w:val="20"/>
          <w:lang w:val="cs-CZ" w:bidi="cs-CZ"/>
        </w:rPr>
        <w:t xml:space="preserve"> celkově zaznamenal snížení na 1 458 mil. EUR (-3,2 %; 1 505 mil. EUR), přičemž </w:t>
      </w:r>
      <w:r w:rsidRPr="003061AD">
        <w:rPr>
          <w:rFonts w:ascii="Inter" w:eastAsia="Inter" w:hAnsi="Inter" w:cs="Inter"/>
          <w:b/>
          <w:sz w:val="20"/>
          <w:szCs w:val="20"/>
          <w:lang w:val="cs-CZ" w:bidi="cs-CZ"/>
        </w:rPr>
        <w:t>poměr nákladů k výnosům</w:t>
      </w:r>
      <w:r w:rsidRPr="003061AD">
        <w:rPr>
          <w:rFonts w:ascii="Inter" w:eastAsia="Inter" w:hAnsi="Inter" w:cs="Inter"/>
          <w:sz w:val="20"/>
          <w:szCs w:val="20"/>
          <w:lang w:val="cs-CZ" w:bidi="cs-CZ"/>
        </w:rPr>
        <w:t xml:space="preserve"> činil 48,0 % (46,0 %).</w:t>
      </w:r>
    </w:p>
    <w:p w14:paraId="1014C2F2" w14:textId="77777777" w:rsidR="00435013" w:rsidRPr="003061AD" w:rsidRDefault="00435013" w:rsidP="00435013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</w:p>
    <w:p w14:paraId="3BEDC4D5" w14:textId="5F11B163" w:rsidR="004479C8" w:rsidRPr="003061AD" w:rsidRDefault="00C53995" w:rsidP="004479C8">
      <w:pPr>
        <w:pStyle w:val="Nadpis4"/>
        <w:rPr>
          <w:rFonts w:ascii="Inter" w:hAnsi="Inter" w:cs="Times New Roman (Headings CS)"/>
          <w:color w:val="auto"/>
          <w:sz w:val="22"/>
          <w:szCs w:val="22"/>
          <w:lang w:val="cs-CZ"/>
        </w:rPr>
      </w:pPr>
      <w:r w:rsidRPr="003061AD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t>Podíl nesplácených úvěrů mírně klesl na 2,5 %, zatímco míra krytí nesplácených úvěrů vzrostla</w:t>
      </w:r>
    </w:p>
    <w:p w14:paraId="353818E5" w14:textId="3475CB8A" w:rsidR="00C53995" w:rsidRPr="003061AD" w:rsidRDefault="00C53995" w:rsidP="00C53995">
      <w:pPr>
        <w:spacing w:line="280" w:lineRule="exact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b/>
          <w:lang w:val="cs-CZ" w:bidi="cs-CZ"/>
        </w:rPr>
        <w:t>Ztráta ze znehodnocení finančních nástrojů</w:t>
      </w:r>
      <w:r w:rsidRPr="003061AD">
        <w:rPr>
          <w:rFonts w:ascii="Inter" w:eastAsia="Inter" w:hAnsi="Inter" w:cs="Inter"/>
          <w:lang w:val="cs-CZ" w:bidi="cs-CZ"/>
        </w:rPr>
        <w:t xml:space="preserve"> dosáhla -85 mil. EUR, tj. 15 bazických bodů průměrných hrubých klientských úvěrů (-95 mil. EUR, tj. 18 bazických bodů). Alokace na rezervy na úvěry a jiné pohledávky byly zaúčtovány především v Rakousku. Pozitivní dopad mělo úspěšné vymožení již odepsaných úvěrů, které bylo nejvýraznější rovněž v Rakousku. </w:t>
      </w:r>
      <w:r w:rsidRPr="003061AD">
        <w:rPr>
          <w:rStyle w:val="FettimText"/>
          <w:rFonts w:ascii="Inter" w:eastAsia="Inter" w:hAnsi="Inter" w:cs="Inter"/>
          <w:lang w:val="cs-CZ" w:bidi="cs-CZ"/>
        </w:rPr>
        <w:t>Podíl nesplácených úvěrů</w:t>
      </w:r>
      <w:r w:rsidRPr="003061AD">
        <w:rPr>
          <w:rFonts w:ascii="Inter" w:eastAsia="Inter" w:hAnsi="Inter" w:cs="Inter"/>
          <w:lang w:val="cs-CZ" w:bidi="cs-CZ"/>
        </w:rPr>
        <w:t xml:space="preserve"> na základě hrubých klientských úvěrů se zlepšil na 2,5 % (2,6 %). </w:t>
      </w:r>
      <w:r w:rsidRPr="003061AD">
        <w:rPr>
          <w:rStyle w:val="FettimText"/>
          <w:rFonts w:ascii="Inter" w:eastAsia="Inter" w:hAnsi="Inter" w:cs="Inter"/>
          <w:lang w:val="cs-CZ" w:bidi="cs-CZ"/>
        </w:rPr>
        <w:t>Míra krytí nesplácených úvěrů</w:t>
      </w:r>
      <w:r w:rsidRPr="003061AD">
        <w:rPr>
          <w:rFonts w:ascii="Inter" w:eastAsia="Inter" w:hAnsi="Inter" w:cs="Inter"/>
          <w:lang w:val="cs-CZ" w:bidi="cs-CZ"/>
        </w:rPr>
        <w:t xml:space="preserve"> (bez zajištění) se zvýšila na 74,6 % (72,5 %).</w:t>
      </w:r>
    </w:p>
    <w:p w14:paraId="2BA4E6B6" w14:textId="441FD671" w:rsidR="004479C8" w:rsidRPr="003061AD" w:rsidRDefault="004479C8" w:rsidP="004479C8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</w:p>
    <w:p w14:paraId="232C4723" w14:textId="39FC5821" w:rsidR="00071C74" w:rsidRPr="003061AD" w:rsidRDefault="00D75F8E" w:rsidP="00071C74">
      <w:pPr>
        <w:pStyle w:val="Nadpis4"/>
        <w:rPr>
          <w:rFonts w:ascii="Inter" w:hAnsi="Inter" w:cs="Times New Roman (Headings CS)"/>
          <w:color w:val="auto"/>
          <w:sz w:val="22"/>
          <w:szCs w:val="22"/>
          <w:lang w:val="cs-CZ"/>
        </w:rPr>
      </w:pPr>
      <w:r w:rsidRPr="003061AD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lastRenderedPageBreak/>
        <w:t>Čistý zisk se meziročně snížil o 5,1 % kvůli prudkému nárůstu bankovních daní</w:t>
      </w:r>
    </w:p>
    <w:p w14:paraId="47E5FCCD" w14:textId="668E4B80" w:rsidR="00F8607D" w:rsidRPr="003061AD" w:rsidRDefault="00F8607D" w:rsidP="00F8607D">
      <w:pPr>
        <w:spacing w:line="280" w:lineRule="exact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b/>
          <w:lang w:val="cs-CZ" w:bidi="cs-CZ"/>
        </w:rPr>
        <w:t>Ostatní provozní výsledek</w:t>
      </w:r>
      <w:r w:rsidRPr="003061AD">
        <w:rPr>
          <w:rFonts w:ascii="Inter" w:eastAsia="Inter" w:hAnsi="Inter" w:cs="Inter"/>
          <w:lang w:val="cs-CZ" w:bidi="cs-CZ"/>
        </w:rPr>
        <w:t xml:space="preserve"> dosáhl -184 mil. EUR (-123 mil. EUR). Došlo k poklesu nákladů na roční příspěvky do rezolučních fondů, které jsou v této položce již zahrnuty za celý rok 2025, a to na 15 mil. EUR (27 mil. EUR). Bankovní odvody, které se v současnosti platí na čtyřech klíčových trzích, se však zvýšily. V ostatních provozních výsledcích se již odráží bankovní daně ve výši 121 mil. EUR (86 mil. EUR), z čehož 78 mil. EUR (67 mil. EUR) připadá na Maďarsko. V Rakousku se bankovní daň zvýšila na 34 mil. EUR (10 mil. EUR) v důsledku dočasného zvýšení; v Rumunsku činila 10 mil. EUR (9 mil. EUR). Bankovní daň na Slovensku ve výši 15 mil. EUR (21 mil. EUR) je zaúčtována v položce daně z příjmů.</w:t>
      </w:r>
    </w:p>
    <w:p w14:paraId="74B1DD2F" w14:textId="5D201ACA" w:rsidR="00071C74" w:rsidRPr="003061AD" w:rsidRDefault="00071C74" w:rsidP="00071C74">
      <w:pPr>
        <w:spacing w:line="280" w:lineRule="exact"/>
        <w:rPr>
          <w:rFonts w:ascii="Inter" w:hAnsi="Inter"/>
          <w:lang w:val="cs-CZ"/>
        </w:rPr>
      </w:pPr>
    </w:p>
    <w:p w14:paraId="53761B2B" w14:textId="77777777" w:rsidR="00D91525" w:rsidRPr="003061AD" w:rsidRDefault="00D91525" w:rsidP="00D91525">
      <w:pPr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b/>
          <w:lang w:val="cs-CZ" w:bidi="cs-CZ"/>
        </w:rPr>
        <w:t>Daň z příjmů</w:t>
      </w:r>
      <w:r w:rsidRPr="003061AD">
        <w:rPr>
          <w:rFonts w:ascii="Inter" w:eastAsia="Inter" w:hAnsi="Inter" w:cs="Inter"/>
          <w:lang w:val="cs-CZ" w:bidi="cs-CZ"/>
        </w:rPr>
        <w:t xml:space="preserve"> činila 242 mil. EUR (257 mil. EUR). V důsledku nižší ziskovosti spořitelních bank klesly platby minoritním akcionářům na 197 mil. EUR (244 mil. EUR). </w:t>
      </w:r>
      <w:r w:rsidRPr="003061AD">
        <w:rPr>
          <w:rFonts w:ascii="Inter" w:eastAsia="Inter" w:hAnsi="Inter" w:cs="Inter"/>
          <w:b/>
          <w:lang w:val="cs-CZ" w:bidi="cs-CZ"/>
        </w:rPr>
        <w:t>Čistý výsledek náležející vlastníkům mateřské společnosti</w:t>
      </w:r>
      <w:r w:rsidRPr="003061AD">
        <w:rPr>
          <w:rFonts w:ascii="Inter" w:eastAsia="Inter" w:hAnsi="Inter" w:cs="Inter"/>
          <w:lang w:val="cs-CZ" w:bidi="cs-CZ"/>
        </w:rPr>
        <w:t xml:space="preserve"> činil 743 mil. EUR (783 mil. EUR).</w:t>
      </w:r>
    </w:p>
    <w:p w14:paraId="667F3B40" w14:textId="77777777" w:rsidR="00071C74" w:rsidRPr="003061AD" w:rsidRDefault="00071C74" w:rsidP="00071C74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</w:p>
    <w:p w14:paraId="532EC26A" w14:textId="7E2A6FB3" w:rsidR="000D7320" w:rsidRPr="003061AD" w:rsidRDefault="007112BD" w:rsidP="000D7320">
      <w:pPr>
        <w:pStyle w:val="Nadpis4"/>
        <w:rPr>
          <w:rFonts w:ascii="Inter" w:hAnsi="Inter" w:cs="Times New Roman (Headings CS)"/>
          <w:color w:val="auto"/>
          <w:sz w:val="22"/>
          <w:szCs w:val="22"/>
          <w:lang w:val="cs-CZ"/>
        </w:rPr>
      </w:pPr>
      <w:r w:rsidRPr="003061AD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t>Nárůst objemu úvěrů i vkladů</w:t>
      </w:r>
    </w:p>
    <w:p w14:paraId="66B3D15A" w14:textId="29D834F0" w:rsidR="001D745F" w:rsidRPr="00C60392" w:rsidRDefault="001D745F" w:rsidP="001D745F">
      <w:pPr>
        <w:spacing w:line="280" w:lineRule="exact"/>
        <w:rPr>
          <w:rFonts w:ascii="Inter" w:hAnsi="Inter"/>
          <w:lang w:val="cs-CZ"/>
        </w:rPr>
      </w:pPr>
      <w:r w:rsidRPr="003061AD">
        <w:rPr>
          <w:rStyle w:val="FettimText"/>
          <w:rFonts w:ascii="Inter" w:eastAsia="Inter" w:hAnsi="Inter" w:cs="Inter"/>
          <w:lang w:val="cs-CZ" w:bidi="cs-CZ"/>
        </w:rPr>
        <w:t>Celkový vlastní kapitál</w:t>
      </w:r>
      <w:r w:rsidRPr="003061AD">
        <w:rPr>
          <w:rFonts w:ascii="Inter" w:eastAsia="Inter" w:hAnsi="Inter" w:cs="Inter"/>
          <w:lang w:val="cs-CZ" w:bidi="cs-CZ"/>
        </w:rPr>
        <w:t xml:space="preserve"> bez nástrojů AT1 vzrostl na 29,1 mld. EUR (28,1 mld. EUR). Po regulatorních odpočtech a filtracích v souladu s nařízením o kapitálových požadavcích (CRR) </w:t>
      </w:r>
      <w:r w:rsidRPr="003061AD">
        <w:rPr>
          <w:rStyle w:val="FettimText"/>
          <w:rFonts w:ascii="Inter" w:eastAsia="Inter" w:hAnsi="Inter" w:cs="Inter"/>
          <w:lang w:val="cs-CZ" w:bidi="cs-CZ"/>
        </w:rPr>
        <w:t xml:space="preserve">kmenový kapitál </w:t>
      </w:r>
      <w:proofErr w:type="spellStart"/>
      <w:r w:rsidRPr="003061AD">
        <w:rPr>
          <w:rStyle w:val="FettimText"/>
          <w:rFonts w:ascii="Inter" w:eastAsia="Inter" w:hAnsi="Inter" w:cs="Inter"/>
          <w:lang w:val="cs-CZ" w:bidi="cs-CZ"/>
        </w:rPr>
        <w:t>Tier</w:t>
      </w:r>
      <w:proofErr w:type="spellEnd"/>
      <w:r w:rsidRPr="003061AD">
        <w:rPr>
          <w:rStyle w:val="FettimText"/>
          <w:rFonts w:ascii="Inter" w:eastAsia="Inter" w:hAnsi="Inter" w:cs="Inter"/>
          <w:lang w:val="cs-CZ" w:bidi="cs-CZ"/>
        </w:rPr>
        <w:t xml:space="preserve"> 1</w:t>
      </w:r>
      <w:r w:rsidRPr="003061AD">
        <w:rPr>
          <w:rFonts w:ascii="Inter" w:eastAsia="Inter" w:hAnsi="Inter" w:cs="Inter"/>
          <w:lang w:val="cs-CZ" w:bidi="cs-CZ"/>
        </w:rPr>
        <w:t xml:space="preserve"> (CET1) </w:t>
      </w:r>
      <w:r w:rsidRPr="00C60392">
        <w:rPr>
          <w:rFonts w:ascii="Inter" w:eastAsia="Inter" w:hAnsi="Inter" w:cs="Inter"/>
          <w:lang w:val="cs-CZ" w:bidi="cs-CZ"/>
        </w:rPr>
        <w:t>činil 2</w:t>
      </w:r>
      <w:r w:rsidR="003F5D63" w:rsidRPr="00C60392">
        <w:rPr>
          <w:rFonts w:ascii="Inter" w:eastAsia="Inter" w:hAnsi="Inter" w:cs="Inter"/>
          <w:lang w:val="cs-CZ" w:bidi="cs-CZ"/>
        </w:rPr>
        <w:t>4</w:t>
      </w:r>
      <w:r w:rsidRPr="00C60392">
        <w:rPr>
          <w:rFonts w:ascii="Inter" w:eastAsia="Inter" w:hAnsi="Inter" w:cs="Inter"/>
          <w:lang w:val="cs-CZ" w:bidi="cs-CZ"/>
        </w:rPr>
        <w:t>,</w:t>
      </w:r>
      <w:r w:rsidR="003F5D63" w:rsidRPr="00C60392">
        <w:rPr>
          <w:rFonts w:ascii="Inter" w:eastAsia="Inter" w:hAnsi="Inter" w:cs="Inter"/>
          <w:lang w:val="cs-CZ" w:bidi="cs-CZ"/>
        </w:rPr>
        <w:t>0</w:t>
      </w:r>
      <w:r w:rsidRPr="00C60392">
        <w:rPr>
          <w:rFonts w:ascii="Inter" w:eastAsia="Inter" w:hAnsi="Inter" w:cs="Inter"/>
          <w:lang w:val="cs-CZ" w:bidi="cs-CZ"/>
        </w:rPr>
        <w:t xml:space="preserve"> mld. EUR (24,0 mld. EUR) a celkové </w:t>
      </w:r>
      <w:r w:rsidRPr="00C60392">
        <w:rPr>
          <w:rStyle w:val="FettimText"/>
          <w:rFonts w:ascii="Inter" w:eastAsia="Inter" w:hAnsi="Inter" w:cs="Inter"/>
          <w:lang w:val="cs-CZ" w:bidi="cs-CZ"/>
        </w:rPr>
        <w:t xml:space="preserve">vlastní prostředky dosáhly výše </w:t>
      </w:r>
      <w:r w:rsidR="003F5D63" w:rsidRPr="00C60392">
        <w:rPr>
          <w:rFonts w:ascii="Inter" w:eastAsia="Inter" w:hAnsi="Inter" w:cs="Inter"/>
          <w:lang w:val="cs-CZ" w:bidi="cs-CZ"/>
        </w:rPr>
        <w:t>31</w:t>
      </w:r>
      <w:r w:rsidRPr="00C60392">
        <w:rPr>
          <w:rFonts w:ascii="Inter" w:eastAsia="Inter" w:hAnsi="Inter" w:cs="Inter"/>
          <w:lang w:val="cs-CZ" w:bidi="cs-CZ"/>
        </w:rPr>
        <w:t>,</w:t>
      </w:r>
      <w:r w:rsidR="003F5D63" w:rsidRPr="00C60392">
        <w:rPr>
          <w:rFonts w:ascii="Inter" w:eastAsia="Inter" w:hAnsi="Inter" w:cs="Inter"/>
          <w:lang w:val="cs-CZ" w:bidi="cs-CZ"/>
        </w:rPr>
        <w:t>4</w:t>
      </w:r>
      <w:r w:rsidRPr="00C60392">
        <w:rPr>
          <w:rFonts w:ascii="Inter" w:eastAsia="Inter" w:hAnsi="Inter" w:cs="Inter"/>
          <w:lang w:val="cs-CZ" w:bidi="cs-CZ"/>
        </w:rPr>
        <w:t xml:space="preserve"> mld. EUR (30,9 mld. EUR). Průběžný zisk za první čtvrtletí není ve výše uvedených údajích zahrnut. Celkové riziko (</w:t>
      </w:r>
      <w:r w:rsidRPr="00C60392">
        <w:rPr>
          <w:rStyle w:val="FettimText"/>
          <w:rFonts w:ascii="Inter" w:eastAsia="Inter" w:hAnsi="Inter" w:cs="Inter"/>
          <w:lang w:val="cs-CZ" w:bidi="cs-CZ"/>
        </w:rPr>
        <w:t>rizikově vážená aktiva</w:t>
      </w:r>
      <w:r w:rsidRPr="00C60392">
        <w:rPr>
          <w:rFonts w:ascii="Inter" w:eastAsia="Inter" w:hAnsi="Inter" w:cs="Inter"/>
          <w:lang w:val="cs-CZ" w:bidi="cs-CZ"/>
        </w:rPr>
        <w:t xml:space="preserve"> včetně úvěrového, tržního a provozního rizika (CRR)) </w:t>
      </w:r>
      <w:r w:rsidR="003F5D63" w:rsidRPr="00C60392">
        <w:rPr>
          <w:rFonts w:ascii="Inter" w:eastAsia="Inter" w:hAnsi="Inter" w:cs="Inter"/>
          <w:lang w:val="cs-CZ" w:bidi="cs-CZ"/>
        </w:rPr>
        <w:t>se snížilo</w:t>
      </w:r>
      <w:r w:rsidRPr="00C60392">
        <w:rPr>
          <w:rFonts w:ascii="Inter" w:eastAsia="Inter" w:hAnsi="Inter" w:cs="Inter"/>
          <w:lang w:val="cs-CZ" w:bidi="cs-CZ"/>
        </w:rPr>
        <w:t xml:space="preserve"> na 15</w:t>
      </w:r>
      <w:r w:rsidR="003F5D63" w:rsidRPr="00C60392">
        <w:rPr>
          <w:rFonts w:ascii="Inter" w:eastAsia="Inter" w:hAnsi="Inter" w:cs="Inter"/>
          <w:lang w:val="cs-CZ" w:bidi="cs-CZ"/>
        </w:rPr>
        <w:t>1</w:t>
      </w:r>
      <w:r w:rsidRPr="00C60392">
        <w:rPr>
          <w:rFonts w:ascii="Inter" w:eastAsia="Inter" w:hAnsi="Inter" w:cs="Inter"/>
          <w:lang w:val="cs-CZ" w:bidi="cs-CZ"/>
        </w:rPr>
        <w:t>,</w:t>
      </w:r>
      <w:r w:rsidR="003F5D63" w:rsidRPr="00C60392">
        <w:rPr>
          <w:rFonts w:ascii="Inter" w:eastAsia="Inter" w:hAnsi="Inter" w:cs="Inter"/>
          <w:lang w:val="cs-CZ" w:bidi="cs-CZ"/>
        </w:rPr>
        <w:t>6</w:t>
      </w:r>
      <w:r w:rsidRPr="00C60392">
        <w:rPr>
          <w:rFonts w:ascii="Inter" w:eastAsia="Inter" w:hAnsi="Inter" w:cs="Inter"/>
          <w:lang w:val="cs-CZ" w:bidi="cs-CZ"/>
        </w:rPr>
        <w:t xml:space="preserve"> mld. EUR (15</w:t>
      </w:r>
      <w:r w:rsidR="003B6AED" w:rsidRPr="00C60392">
        <w:rPr>
          <w:rFonts w:ascii="Inter" w:eastAsia="Inter" w:hAnsi="Inter" w:cs="Inter"/>
          <w:lang w:val="cs-CZ" w:bidi="cs-CZ"/>
        </w:rPr>
        <w:t>7</w:t>
      </w:r>
      <w:r w:rsidRPr="00C60392">
        <w:rPr>
          <w:rFonts w:ascii="Inter" w:eastAsia="Inter" w:hAnsi="Inter" w:cs="Inter"/>
          <w:lang w:val="cs-CZ" w:bidi="cs-CZ"/>
        </w:rPr>
        <w:t>,</w:t>
      </w:r>
      <w:r w:rsidR="003B6AED" w:rsidRPr="00C60392">
        <w:rPr>
          <w:rFonts w:ascii="Inter" w:eastAsia="Inter" w:hAnsi="Inter" w:cs="Inter"/>
          <w:lang w:val="cs-CZ" w:bidi="cs-CZ"/>
        </w:rPr>
        <w:t>2</w:t>
      </w:r>
      <w:r w:rsidRPr="00C60392">
        <w:rPr>
          <w:rFonts w:ascii="Inter" w:eastAsia="Inter" w:hAnsi="Inter" w:cs="Inter"/>
          <w:lang w:val="cs-CZ" w:bidi="cs-CZ"/>
        </w:rPr>
        <w:t xml:space="preserve"> mld. EUR). </w:t>
      </w:r>
      <w:r w:rsidRPr="00C60392">
        <w:rPr>
          <w:rStyle w:val="FettimText"/>
          <w:rFonts w:ascii="Inter" w:eastAsia="Inter" w:hAnsi="Inter" w:cs="Inter"/>
          <w:lang w:val="cs-CZ" w:bidi="cs-CZ"/>
        </w:rPr>
        <w:t xml:space="preserve">Poměr vlastního kapitálu na bázi </w:t>
      </w:r>
      <w:proofErr w:type="spellStart"/>
      <w:r w:rsidRPr="00C60392">
        <w:rPr>
          <w:rStyle w:val="FettimText"/>
          <w:rFonts w:ascii="Inter" w:eastAsia="Inter" w:hAnsi="Inter" w:cs="Inter"/>
          <w:lang w:val="cs-CZ" w:bidi="cs-CZ"/>
        </w:rPr>
        <w:t>Tier</w:t>
      </w:r>
      <w:proofErr w:type="spellEnd"/>
      <w:r w:rsidRPr="00C60392">
        <w:rPr>
          <w:rStyle w:val="FettimText"/>
          <w:rFonts w:ascii="Inter" w:eastAsia="Inter" w:hAnsi="Inter" w:cs="Inter"/>
          <w:lang w:val="cs-CZ" w:bidi="cs-CZ"/>
        </w:rPr>
        <w:t xml:space="preserve"> 1</w:t>
      </w:r>
      <w:r w:rsidRPr="00C60392">
        <w:rPr>
          <w:rFonts w:ascii="Inter" w:eastAsia="Inter" w:hAnsi="Inter" w:cs="Inter"/>
          <w:lang w:val="cs-CZ" w:bidi="cs-CZ"/>
        </w:rPr>
        <w:t xml:space="preserve"> (CET1) činil 15,</w:t>
      </w:r>
      <w:r w:rsidR="003B6AED" w:rsidRPr="00C60392">
        <w:rPr>
          <w:rFonts w:ascii="Inter" w:eastAsia="Inter" w:hAnsi="Inter" w:cs="Inter"/>
          <w:lang w:val="cs-CZ" w:bidi="cs-CZ"/>
        </w:rPr>
        <w:t>9</w:t>
      </w:r>
      <w:r w:rsidRPr="00C60392">
        <w:rPr>
          <w:rFonts w:ascii="Inter" w:eastAsia="Inter" w:hAnsi="Inter" w:cs="Inter"/>
          <w:lang w:val="cs-CZ" w:bidi="cs-CZ"/>
        </w:rPr>
        <w:t xml:space="preserve"> % (15,</w:t>
      </w:r>
      <w:r w:rsidR="003B6AED" w:rsidRPr="00C60392">
        <w:rPr>
          <w:rFonts w:ascii="Inter" w:eastAsia="Inter" w:hAnsi="Inter" w:cs="Inter"/>
          <w:lang w:val="cs-CZ" w:bidi="cs-CZ"/>
        </w:rPr>
        <w:t>3</w:t>
      </w:r>
      <w:r w:rsidRPr="00C60392">
        <w:rPr>
          <w:rFonts w:ascii="Inter" w:eastAsia="Inter" w:hAnsi="Inter" w:cs="Inter"/>
          <w:lang w:val="cs-CZ" w:bidi="cs-CZ"/>
        </w:rPr>
        <w:t xml:space="preserve"> %), </w:t>
      </w:r>
      <w:r w:rsidRPr="00C60392">
        <w:rPr>
          <w:rStyle w:val="FettimText"/>
          <w:rFonts w:ascii="Inter" w:eastAsia="Inter" w:hAnsi="Inter" w:cs="Inter"/>
          <w:lang w:val="cs-CZ" w:bidi="cs-CZ"/>
        </w:rPr>
        <w:t xml:space="preserve">poměr celkového kapitálu </w:t>
      </w:r>
      <w:r w:rsidRPr="00C60392">
        <w:rPr>
          <w:rFonts w:ascii="Inter" w:eastAsia="Inter" w:hAnsi="Inter" w:cs="Inter"/>
          <w:lang w:val="cs-CZ" w:bidi="cs-CZ"/>
        </w:rPr>
        <w:t xml:space="preserve">pak </w:t>
      </w:r>
      <w:r w:rsidR="003B6AED" w:rsidRPr="00C60392">
        <w:rPr>
          <w:rFonts w:ascii="Inter" w:eastAsia="Inter" w:hAnsi="Inter" w:cs="Inter"/>
          <w:lang w:val="cs-CZ" w:bidi="cs-CZ"/>
        </w:rPr>
        <w:t>20</w:t>
      </w:r>
      <w:r w:rsidRPr="00C60392">
        <w:rPr>
          <w:rFonts w:ascii="Inter" w:eastAsia="Inter" w:hAnsi="Inter" w:cs="Inter"/>
          <w:lang w:val="cs-CZ" w:bidi="cs-CZ"/>
        </w:rPr>
        <w:t>,</w:t>
      </w:r>
      <w:r w:rsidR="003B6AED" w:rsidRPr="00C60392">
        <w:rPr>
          <w:rFonts w:ascii="Inter" w:eastAsia="Inter" w:hAnsi="Inter" w:cs="Inter"/>
          <w:lang w:val="cs-CZ" w:bidi="cs-CZ"/>
        </w:rPr>
        <w:t>7</w:t>
      </w:r>
      <w:r w:rsidRPr="00C60392">
        <w:rPr>
          <w:rFonts w:ascii="Inter" w:eastAsia="Inter" w:hAnsi="Inter" w:cs="Inter"/>
          <w:lang w:val="cs-CZ" w:bidi="cs-CZ"/>
        </w:rPr>
        <w:t xml:space="preserve"> % (19,</w:t>
      </w:r>
      <w:r w:rsidR="003B6AED" w:rsidRPr="00C60392">
        <w:rPr>
          <w:rFonts w:ascii="Inter" w:eastAsia="Inter" w:hAnsi="Inter" w:cs="Inter"/>
          <w:lang w:val="cs-CZ" w:bidi="cs-CZ"/>
        </w:rPr>
        <w:t>7</w:t>
      </w:r>
      <w:r w:rsidRPr="00C60392">
        <w:rPr>
          <w:rFonts w:ascii="Inter" w:eastAsia="Inter" w:hAnsi="Inter" w:cs="Inter"/>
          <w:lang w:val="cs-CZ" w:bidi="cs-CZ"/>
        </w:rPr>
        <w:t xml:space="preserve"> %).</w:t>
      </w:r>
    </w:p>
    <w:p w14:paraId="1B7349E8" w14:textId="77777777" w:rsidR="001D745F" w:rsidRPr="00C60392" w:rsidRDefault="001D745F" w:rsidP="001D745F">
      <w:pPr>
        <w:spacing w:line="280" w:lineRule="exact"/>
        <w:rPr>
          <w:rFonts w:ascii="Inter" w:hAnsi="Inter"/>
          <w:lang w:val="cs-CZ"/>
        </w:rPr>
      </w:pPr>
    </w:p>
    <w:p w14:paraId="7033AAF5" w14:textId="393717F9" w:rsidR="004479C8" w:rsidRPr="003061AD" w:rsidRDefault="001D745F" w:rsidP="00A239C0">
      <w:pPr>
        <w:spacing w:line="280" w:lineRule="exact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b/>
          <w:lang w:val="cs-CZ" w:bidi="cs-CZ"/>
        </w:rPr>
        <w:t>Aktiva celkem</w:t>
      </w:r>
      <w:r w:rsidRPr="003061AD">
        <w:rPr>
          <w:rFonts w:ascii="Inter" w:eastAsia="Inter" w:hAnsi="Inter" w:cs="Inter"/>
          <w:lang w:val="cs-CZ" w:bidi="cs-CZ"/>
        </w:rPr>
        <w:t xml:space="preserve"> vzrostla na 358,0 mld. EUR (+1,2 %; 353,7 mld. EUR). Pokud jde o aktiva, hotovost a hotovostní zůstatky klesly na 23,9 mld. EUR (25,1 mld. EUR), zatímco úvěry a jiné pohledávky za bankami se snížily na 26,8 mld. EUR (27,0 mld. EUR). </w:t>
      </w:r>
      <w:r w:rsidRPr="003061AD">
        <w:rPr>
          <w:rFonts w:ascii="Inter" w:eastAsia="Inter" w:hAnsi="Inter" w:cs="Inter"/>
          <w:b/>
          <w:lang w:val="cs-CZ" w:bidi="cs-CZ"/>
        </w:rPr>
        <w:t xml:space="preserve">Úvěry a jiné pohledávky za klienty </w:t>
      </w:r>
      <w:r w:rsidRPr="003061AD">
        <w:rPr>
          <w:rFonts w:ascii="Inter" w:eastAsia="Inter" w:hAnsi="Inter" w:cs="Inter"/>
          <w:lang w:val="cs-CZ" w:bidi="cs-CZ"/>
        </w:rPr>
        <w:t xml:space="preserve">od začátku roku vzrostly na 220,1 mld. EUR (+0,9 %; 218,1 mld. EUR). Na straně pasiv došlo k poklesu vkladů bank na 16,6 mld. EUR (21,3 mld. EUR). </w:t>
      </w:r>
      <w:r w:rsidRPr="003061AD">
        <w:rPr>
          <w:rFonts w:ascii="Inter" w:eastAsia="Inter" w:hAnsi="Inter" w:cs="Inter"/>
          <w:b/>
          <w:lang w:val="cs-CZ" w:bidi="cs-CZ"/>
        </w:rPr>
        <w:t>Vklady klientů</w:t>
      </w:r>
      <w:r w:rsidRPr="003061AD">
        <w:rPr>
          <w:rFonts w:ascii="Inter" w:eastAsia="Inter" w:hAnsi="Inter" w:cs="Inter"/>
          <w:lang w:val="cs-CZ" w:bidi="cs-CZ"/>
        </w:rPr>
        <w:t xml:space="preserve"> vzrostly na 246,1 mld. EUR (+1,9 %; 241,7 mld. EUR), k čemuž nejvýrazněji přispěly Česká republika a Rakousko. </w:t>
      </w:r>
      <w:r w:rsidRPr="003061AD">
        <w:rPr>
          <w:rFonts w:ascii="Inter" w:eastAsia="Inter" w:hAnsi="Inter" w:cs="Inter"/>
          <w:b/>
          <w:lang w:val="cs-CZ" w:bidi="cs-CZ"/>
        </w:rPr>
        <w:t>Poměr úvěrů ke vkladům</w:t>
      </w:r>
      <w:r w:rsidRPr="003061AD">
        <w:rPr>
          <w:rFonts w:ascii="Inter" w:eastAsia="Inter" w:hAnsi="Inter" w:cs="Inter"/>
          <w:lang w:val="cs-CZ" w:bidi="cs-CZ"/>
        </w:rPr>
        <w:t xml:space="preserve"> dosáhl 89,4 % (90,2 %).</w:t>
      </w:r>
    </w:p>
    <w:p w14:paraId="10C04A44" w14:textId="77777777" w:rsidR="004479C8" w:rsidRPr="003061AD" w:rsidRDefault="004479C8" w:rsidP="00435013">
      <w:pPr>
        <w:pStyle w:val="Bezmezer"/>
        <w:spacing w:line="280" w:lineRule="exact"/>
        <w:rPr>
          <w:rFonts w:ascii="Inter" w:hAnsi="Inter"/>
          <w:sz w:val="20"/>
          <w:szCs w:val="20"/>
          <w:lang w:val="cs-CZ"/>
        </w:rPr>
      </w:pPr>
    </w:p>
    <w:p w14:paraId="078784CD" w14:textId="3EE722EB" w:rsidR="00435013" w:rsidRPr="003061AD" w:rsidRDefault="00557FF6" w:rsidP="00435013">
      <w:pPr>
        <w:pStyle w:val="Nadpis4"/>
        <w:rPr>
          <w:rFonts w:ascii="Inter" w:hAnsi="Inter" w:cs="Times New Roman (Headings CS)"/>
          <w:color w:val="auto"/>
          <w:sz w:val="22"/>
          <w:szCs w:val="22"/>
          <w:lang w:val="cs-CZ"/>
        </w:rPr>
      </w:pPr>
      <w:r w:rsidRPr="003061AD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t>Výhled</w:t>
      </w:r>
      <w:r w:rsidR="001D508E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t xml:space="preserve"> na rok 2025</w:t>
      </w:r>
    </w:p>
    <w:p w14:paraId="19823C58" w14:textId="7F06A3A0" w:rsidR="003B6AED" w:rsidRPr="001D508E" w:rsidRDefault="003B6AED" w:rsidP="003B6AED">
      <w:pPr>
        <w:rPr>
          <w:rFonts w:ascii="Inter" w:eastAsia="Inter" w:hAnsi="Inter" w:cs="Inter"/>
          <w:lang w:val="cs-CZ" w:bidi="cs-CZ"/>
        </w:rPr>
      </w:pPr>
      <w:r w:rsidRPr="003B6AED">
        <w:rPr>
          <w:rFonts w:ascii="Inter" w:hAnsi="Inter"/>
          <w:lang w:val="cs-CZ"/>
        </w:rPr>
        <w:t xml:space="preserve">Cílem </w:t>
      </w:r>
      <w:proofErr w:type="spellStart"/>
      <w:r w:rsidRPr="003B6AED">
        <w:rPr>
          <w:rFonts w:ascii="Inter" w:hAnsi="Inter"/>
          <w:lang w:val="cs-CZ"/>
        </w:rPr>
        <w:t>Erste</w:t>
      </w:r>
      <w:proofErr w:type="spellEnd"/>
      <w:r w:rsidRPr="003B6AED">
        <w:rPr>
          <w:rFonts w:ascii="Inter" w:hAnsi="Inter"/>
          <w:lang w:val="cs-CZ"/>
        </w:rPr>
        <w:t xml:space="preserve"> Group pro rok 2025 je dosáhnout návratnosti hmotného kapitálu (ROTE) ve výši přibližně 15 %. Tato ambice vychází z následujících klíčových předpokladů. Zaprvé, makroekonomické prostředí, měřené především růstem reálného HDP, na sedmi klíčových trzích </w:t>
      </w:r>
      <w:proofErr w:type="spellStart"/>
      <w:r w:rsidRPr="003B6AED">
        <w:rPr>
          <w:rFonts w:ascii="Inter" w:hAnsi="Inter"/>
          <w:lang w:val="cs-CZ"/>
        </w:rPr>
        <w:t>Erste</w:t>
      </w:r>
      <w:proofErr w:type="spellEnd"/>
      <w:r w:rsidRPr="003B6AED">
        <w:rPr>
          <w:rFonts w:ascii="Inter" w:hAnsi="Inter"/>
          <w:lang w:val="cs-CZ"/>
        </w:rPr>
        <w:t xml:space="preserve"> Group zůstane robustní a v průměru se oproti roku 2024 mírně </w:t>
      </w:r>
      <w:proofErr w:type="gramStart"/>
      <w:r w:rsidRPr="003B6AED">
        <w:rPr>
          <w:rFonts w:ascii="Inter" w:hAnsi="Inter"/>
          <w:lang w:val="cs-CZ"/>
        </w:rPr>
        <w:t>zlepší</w:t>
      </w:r>
      <w:proofErr w:type="gramEnd"/>
      <w:r w:rsidRPr="003B6AED">
        <w:rPr>
          <w:rFonts w:ascii="Inter" w:hAnsi="Inter"/>
          <w:lang w:val="cs-CZ"/>
        </w:rPr>
        <w:t xml:space="preserve">. Přestože prognózy HDP byly mírně revidovány směrem dolů, očekává </w:t>
      </w:r>
      <w:proofErr w:type="spellStart"/>
      <w:r w:rsidRPr="003B6AED">
        <w:rPr>
          <w:rFonts w:ascii="Inter" w:hAnsi="Inter"/>
          <w:lang w:val="cs-CZ"/>
        </w:rPr>
        <w:t>Erste</w:t>
      </w:r>
      <w:proofErr w:type="spellEnd"/>
      <w:r w:rsidRPr="003B6AED">
        <w:rPr>
          <w:rFonts w:ascii="Inter" w:hAnsi="Inter"/>
          <w:lang w:val="cs-CZ"/>
        </w:rPr>
        <w:t xml:space="preserve"> Group v roce 2025 robustní růst úvěrů o přibližně 5 %, podpořený růstem v oblasti retailu i korporátního podnikání. Za druhé, provozní výkonnost definovaná provozním výsledkem zůstane oproti roku 2024 zhruba stabilní, neboť čisté úrokové výnosy by měly zůstat meziročně beze změny, výnosy z poplatků a provizí by měly vzrůst o více než 5 % (zlepšení oproti předchozímu předpokladu zhruba 5 % na základě vývoje v prvním čtvrtletí), čistý výsledek z obchodování přinese podobný příspěvek k výnosům jako v roce 2024 a provozní náklady porostou řádově o 5 %. V důsledku toho se očekává, že poměr nákladů k výnosům bude nižší než 50 %. Zatřetí, náklady na riziko se </w:t>
      </w:r>
      <w:proofErr w:type="gramStart"/>
      <w:r w:rsidRPr="003B6AED">
        <w:rPr>
          <w:rFonts w:ascii="Inter" w:hAnsi="Inter"/>
          <w:lang w:val="cs-CZ"/>
        </w:rPr>
        <w:t>zvýší</w:t>
      </w:r>
      <w:proofErr w:type="gramEnd"/>
      <w:r w:rsidRPr="003B6AED">
        <w:rPr>
          <w:rFonts w:ascii="Inter" w:hAnsi="Inter"/>
          <w:lang w:val="cs-CZ"/>
        </w:rPr>
        <w:t xml:space="preserve"> </w:t>
      </w:r>
      <w:r w:rsidRPr="003B6AED">
        <w:rPr>
          <w:rFonts w:ascii="Inter" w:hAnsi="Inter"/>
          <w:lang w:val="cs-CZ"/>
        </w:rPr>
        <w:lastRenderedPageBreak/>
        <w:t>jen mírně na zhruba 25 bazických bodů průměrných klientských úvěrů oproti úrovni z roku 2024, protože prostředí kvality aktiv zůstává silné v celé střední a východní Evropě, zatímco v Rakousku se zhoršuje jen mírně.</w:t>
      </w:r>
    </w:p>
    <w:p w14:paraId="1D86E733" w14:textId="77777777" w:rsidR="001D508E" w:rsidRPr="001D508E" w:rsidRDefault="001D508E" w:rsidP="001D508E">
      <w:pPr>
        <w:rPr>
          <w:rFonts w:ascii="Inter" w:hAnsi="Inter"/>
          <w:lang w:val="cs-CZ"/>
        </w:rPr>
      </w:pPr>
      <w:r w:rsidRPr="001D508E">
        <w:rPr>
          <w:rFonts w:ascii="Inter" w:hAnsi="Inter"/>
          <w:lang w:val="cs-CZ"/>
        </w:rPr>
        <w:t xml:space="preserve">V souladu s předpokládaným vysokým ziskem se očekává, že poměr CET1 se v roce 2025 </w:t>
      </w:r>
      <w:proofErr w:type="gramStart"/>
      <w:r w:rsidRPr="001D508E">
        <w:rPr>
          <w:rFonts w:ascii="Inter" w:hAnsi="Inter"/>
          <w:lang w:val="cs-CZ"/>
        </w:rPr>
        <w:t>zvýší</w:t>
      </w:r>
      <w:proofErr w:type="gramEnd"/>
      <w:r w:rsidRPr="001D508E">
        <w:rPr>
          <w:rFonts w:ascii="Inter" w:hAnsi="Inter"/>
          <w:lang w:val="cs-CZ"/>
        </w:rPr>
        <w:t xml:space="preserve">, což zajistí vyšší návratnost kapitálu a/nebo flexibilitu při fúzích a akvizicích. Upravený čistý zisk v roce 2024 (čistý zisk po odečtení AT1-dividend) umožňuje </w:t>
      </w:r>
      <w:proofErr w:type="spellStart"/>
      <w:r w:rsidRPr="001D508E">
        <w:rPr>
          <w:rFonts w:ascii="Inter" w:hAnsi="Inter"/>
          <w:lang w:val="cs-CZ"/>
        </w:rPr>
        <w:t>Erste</w:t>
      </w:r>
      <w:proofErr w:type="spellEnd"/>
      <w:r w:rsidRPr="001D508E">
        <w:rPr>
          <w:rFonts w:ascii="Inter" w:hAnsi="Inter"/>
          <w:lang w:val="cs-CZ"/>
        </w:rPr>
        <w:t xml:space="preserve"> Group navrhnout pravidelnou dividendu ve výši 3,00 EUR na akcii, jakož i provedení třetího zpětného odkupu akcií ve výši 700 milionů EUR, který podléhá schválení regulačních orgánů.</w:t>
      </w:r>
    </w:p>
    <w:p w14:paraId="782DAEE1" w14:textId="12598476" w:rsidR="00924544" w:rsidRPr="003061AD" w:rsidRDefault="00924544">
      <w:pPr>
        <w:spacing w:line="240" w:lineRule="auto"/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lang w:val="cs-CZ" w:bidi="cs-CZ"/>
        </w:rPr>
        <w:br w:type="page"/>
      </w:r>
    </w:p>
    <w:p w14:paraId="2742CC9F" w14:textId="5934D707" w:rsidR="00924544" w:rsidRPr="003061AD" w:rsidRDefault="00924544" w:rsidP="00924544">
      <w:pPr>
        <w:pStyle w:val="Nadpis4"/>
        <w:rPr>
          <w:rFonts w:ascii="Inter" w:hAnsi="Inter" w:cs="Times New Roman (Headings CS)"/>
          <w:color w:val="auto"/>
          <w:sz w:val="22"/>
          <w:szCs w:val="22"/>
          <w:lang w:val="cs-CZ"/>
        </w:rPr>
      </w:pPr>
      <w:r w:rsidRPr="003061AD">
        <w:rPr>
          <w:rFonts w:ascii="Inter" w:eastAsia="Inter" w:hAnsi="Inter" w:cs="Times New Roman (Headings CS)"/>
          <w:color w:val="auto"/>
          <w:sz w:val="22"/>
          <w:szCs w:val="22"/>
          <w:lang w:val="cs-CZ" w:bidi="cs-CZ"/>
        </w:rPr>
        <w:lastRenderedPageBreak/>
        <w:t>KLÍČOVÉ FINANČNÍ ÚDAJE – 1. ČTVRTLETÍ 2025</w:t>
      </w:r>
    </w:p>
    <w:p w14:paraId="779D6616" w14:textId="77777777" w:rsidR="00924544" w:rsidRPr="003061AD" w:rsidRDefault="00924544">
      <w:pPr>
        <w:spacing w:line="240" w:lineRule="auto"/>
        <w:rPr>
          <w:rFonts w:ascii="Inter" w:hAnsi="Inter"/>
          <w:lang w:val="cs-CZ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5732"/>
        <w:gridCol w:w="935"/>
        <w:gridCol w:w="1067"/>
        <w:gridCol w:w="1065"/>
        <w:gridCol w:w="129"/>
      </w:tblGrid>
      <w:tr w:rsidR="002F2A07" w:rsidRPr="003061AD" w14:paraId="7C44F947" w14:textId="77777777" w:rsidTr="00D70A92">
        <w:trPr>
          <w:trHeight w:val="20"/>
        </w:trPr>
        <w:tc>
          <w:tcPr>
            <w:tcW w:w="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D5A98" w14:textId="77777777" w:rsidR="002F2A07" w:rsidRPr="003061AD" w:rsidRDefault="002F2A07" w:rsidP="00D70A92">
            <w:pPr>
              <w:spacing w:before="120" w:after="20"/>
              <w:ind w:left="57" w:right="57"/>
              <w:rPr>
                <w:b/>
                <w:bCs/>
                <w:color w:val="40496A"/>
                <w:sz w:val="21"/>
                <w:szCs w:val="21"/>
                <w:lang w:val="cs-CZ"/>
              </w:rPr>
            </w:pPr>
          </w:p>
        </w:tc>
        <w:tc>
          <w:tcPr>
            <w:tcW w:w="4858" w:type="pct"/>
            <w:gridSpan w:val="4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737970A7" w14:textId="77777777" w:rsidR="002F2A07" w:rsidRPr="003061AD" w:rsidRDefault="002F2A07" w:rsidP="00D70A92">
            <w:pPr>
              <w:spacing w:before="120" w:after="20"/>
              <w:ind w:left="57" w:right="57"/>
              <w:rPr>
                <w:b/>
                <w:bCs/>
                <w:color w:val="40496A"/>
                <w:sz w:val="21"/>
                <w:szCs w:val="21"/>
                <w:lang w:val="cs-CZ"/>
              </w:rPr>
            </w:pPr>
            <w:r w:rsidRPr="003061AD">
              <w:rPr>
                <w:b/>
                <w:color w:val="40496A"/>
                <w:sz w:val="21"/>
                <w:szCs w:val="21"/>
                <w:lang w:val="cs-CZ" w:bidi="cs-CZ"/>
              </w:rPr>
              <w:t>Výkaz zisku a ztráty</w:t>
            </w:r>
          </w:p>
        </w:tc>
        <w:tc>
          <w:tcPr>
            <w:tcW w:w="7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E3A531" w14:textId="77777777" w:rsidR="002F2A07" w:rsidRPr="003061AD" w:rsidRDefault="002F2A07" w:rsidP="00D70A92">
            <w:pPr>
              <w:spacing w:before="120" w:after="20"/>
              <w:ind w:left="57" w:right="57"/>
              <w:rPr>
                <w:b/>
                <w:bCs/>
                <w:color w:val="40496A"/>
                <w:sz w:val="21"/>
                <w:szCs w:val="21"/>
                <w:lang w:val="cs-CZ"/>
              </w:rPr>
            </w:pPr>
          </w:p>
        </w:tc>
      </w:tr>
      <w:tr w:rsidR="002F2A07" w:rsidRPr="003061AD" w14:paraId="34F0005C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7D1C06A2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left w:val="nil"/>
              <w:bottom w:val="single" w:sz="18" w:space="0" w:color="auto"/>
            </w:tcBorders>
            <w:shd w:val="clear" w:color="auto" w:fill="FFFFFF"/>
          </w:tcPr>
          <w:p w14:paraId="3737802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v mil. EUR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</w:tcPr>
          <w:p w14:paraId="673BD8B1" w14:textId="77777777" w:rsidR="002F2A07" w:rsidRPr="003061AD" w:rsidRDefault="002F2A07" w:rsidP="00A43CEA">
            <w:pPr>
              <w:pStyle w:val="a0"/>
              <w:spacing w:before="20" w:after="20"/>
              <w:ind w:left="57" w:right="57" w:firstLine="0"/>
              <w:jc w:val="center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1-3 2024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DBE2F3"/>
          </w:tcPr>
          <w:p w14:paraId="7DF4E28D" w14:textId="77777777" w:rsidR="002F2A07" w:rsidRPr="003061AD" w:rsidRDefault="002F2A07" w:rsidP="00A43CEA">
            <w:pPr>
              <w:pStyle w:val="a0"/>
              <w:spacing w:before="20" w:after="20"/>
              <w:ind w:left="57" w:right="57" w:firstLine="0"/>
              <w:jc w:val="center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1-3 2024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</w:tcPr>
          <w:p w14:paraId="36A43CC6" w14:textId="77777777" w:rsidR="002F2A07" w:rsidRPr="003061AD" w:rsidRDefault="002F2A07" w:rsidP="00A43CEA">
            <w:pPr>
              <w:pStyle w:val="a0"/>
              <w:spacing w:before="20" w:after="20"/>
              <w:ind w:left="57" w:right="57" w:firstLine="0"/>
              <w:jc w:val="center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změna v %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55BC5404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6F1A05FD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764A9A44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18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270D2288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Čistý úrokový výnos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3DF290C0" w14:textId="6D329CD9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1 852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12" w:space="0" w:color="auto"/>
            </w:tcBorders>
            <w:shd w:val="clear" w:color="auto" w:fill="DBE2F3"/>
          </w:tcPr>
          <w:p w14:paraId="1DA7EB52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1 872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4DFB6CE6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1,1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18D91AA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77F6994E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5464B5F1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12" w:space="0" w:color="auto"/>
              <w:left w:val="nil"/>
            </w:tcBorders>
            <w:shd w:val="clear" w:color="auto" w:fill="FFFFFF"/>
          </w:tcPr>
          <w:p w14:paraId="36A4C248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Čistý výnos z poplatků a provizí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FFFFF"/>
          </w:tcPr>
          <w:p w14:paraId="69BE14ED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712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shd w:val="clear" w:color="auto" w:fill="DBE2F3"/>
          </w:tcPr>
          <w:p w14:paraId="3C35C0F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780</w:t>
            </w:r>
          </w:p>
        </w:tc>
        <w:tc>
          <w:tcPr>
            <w:tcW w:w="588" w:type="pct"/>
            <w:tcBorders>
              <w:top w:val="single" w:sz="12" w:space="0" w:color="auto"/>
            </w:tcBorders>
            <w:shd w:val="clear" w:color="auto" w:fill="FFFFFF"/>
          </w:tcPr>
          <w:p w14:paraId="75385051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9,5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0C6E210D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2D30A5FD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4A643E4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02B5BD81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Čistý výsledek obchodování a zisky/ztráty z finančních nástrojů v reálné hodnotě vykázané do zisku nebo ztráty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1133A893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139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05D6D76A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97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1E12B6FB" w14:textId="00718D2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-30,</w:t>
            </w:r>
            <w:r w:rsidR="001D508E">
              <w:rPr>
                <w:color w:val="40496A"/>
                <w:sz w:val="17"/>
                <w:szCs w:val="17"/>
                <w:lang w:val="cs-CZ" w:bidi="cs-CZ"/>
              </w:rPr>
              <w:t>6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F027ADF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5D494230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3E5CA0BE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028F7DF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Provozní výnosy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55DFC6D1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2 788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04DB1D38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2 802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64FC96ED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0,5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936FB08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4EBEBCF1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5E7D14EF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7F990B6F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Provozní náklady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2D588FC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-1 283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39904884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-1 345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6F3AC286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4,8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3C456EF7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5163979B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066340C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28B88987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Provozní </w:t>
            </w:r>
            <w:bookmarkStart w:id="0" w:name="_Hlk196493599"/>
            <w:r w:rsidRPr="003061AD">
              <w:rPr>
                <w:color w:val="40496A"/>
                <w:sz w:val="17"/>
                <w:szCs w:val="17"/>
                <w:lang w:val="cs-CZ" w:bidi="cs-CZ"/>
              </w:rPr>
              <w:t>výsledek</w:t>
            </w:r>
            <w:bookmarkEnd w:id="0"/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4A80D037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1 505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4AC0B57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1 458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5DFE1D6C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-3,2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78BBA2DB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0990EC24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74BBEC73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shd w:val="clear" w:color="auto" w:fill="80FFFF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686ADB21" w14:textId="54C34319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Snížení hodnoty finančních nástrojů („náklady na riziko“)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66657BCB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-94,8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5E4B0FC8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-85,4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00A96139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-9,9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7D037AF4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3DFE6B67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17BFC5B9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3310F6DE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Provozní výsledek po tvorbě rezerv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2CDB6004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1 411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76FF4A39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1 372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3ACF6591" w14:textId="107D39DF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-2,</w:t>
            </w:r>
            <w:r w:rsidR="001D508E">
              <w:rPr>
                <w:color w:val="40496A"/>
                <w:sz w:val="17"/>
                <w:szCs w:val="17"/>
                <w:lang w:val="cs-CZ" w:bidi="cs-CZ"/>
              </w:rPr>
              <w:t>8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1784511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2D58C9DB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646B1A2B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b/>
                <w:bCs/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7BD7D5F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Čistý výsledek náležející vlastníkům mateřské společnosti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22381F40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783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5E13AED8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743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3427711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-5,1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6829F995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b/>
                <w:bCs/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4D47A6D7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4244B2A5" w14:textId="77777777" w:rsidR="002F2A07" w:rsidRPr="003061AD" w:rsidRDefault="002F2A07" w:rsidP="00D70A92">
            <w:pPr>
              <w:spacing w:before="20" w:after="20"/>
              <w:ind w:left="57" w:right="57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left w:val="nil"/>
            </w:tcBorders>
            <w:shd w:val="clear" w:color="auto" w:fill="FFFFFF"/>
          </w:tcPr>
          <w:p w14:paraId="608646D8" w14:textId="77777777" w:rsidR="002F2A07" w:rsidRPr="003061AD" w:rsidRDefault="002F2A07" w:rsidP="00D70A92">
            <w:pPr>
              <w:spacing w:before="20" w:after="20"/>
              <w:ind w:left="57" w:right="57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516" w:type="pct"/>
            <w:shd w:val="clear" w:color="auto" w:fill="FFFFFF"/>
          </w:tcPr>
          <w:p w14:paraId="1A58C3AF" w14:textId="77777777" w:rsidR="002F2A07" w:rsidRPr="003061AD" w:rsidRDefault="002F2A07" w:rsidP="00D70A92">
            <w:pPr>
              <w:spacing w:before="20" w:after="20"/>
              <w:ind w:left="57" w:right="57"/>
              <w:jc w:val="right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589" w:type="pct"/>
            <w:shd w:val="clear" w:color="auto" w:fill="FFFFFF"/>
          </w:tcPr>
          <w:p w14:paraId="5A57C3AD" w14:textId="77777777" w:rsidR="002F2A07" w:rsidRPr="003061AD" w:rsidRDefault="002F2A07" w:rsidP="00D70A92">
            <w:pPr>
              <w:spacing w:before="20" w:after="20"/>
              <w:ind w:left="57" w:right="57"/>
              <w:jc w:val="right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588" w:type="pct"/>
            <w:shd w:val="clear" w:color="auto" w:fill="FFFFFF"/>
          </w:tcPr>
          <w:p w14:paraId="73FA990A" w14:textId="77777777" w:rsidR="002F2A07" w:rsidRPr="003061AD" w:rsidRDefault="002F2A07" w:rsidP="00D70A92">
            <w:pPr>
              <w:spacing w:before="20" w:after="20"/>
              <w:ind w:left="57" w:right="57"/>
              <w:jc w:val="right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6FCE02A0" w14:textId="77777777" w:rsidR="002F2A07" w:rsidRPr="003061AD" w:rsidRDefault="002F2A07" w:rsidP="00D70A92">
            <w:pPr>
              <w:spacing w:before="20" w:after="20"/>
              <w:ind w:left="57" w:right="57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23871CA9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50D8638A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b/>
                <w:bCs/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left w:val="nil"/>
              <w:bottom w:val="single" w:sz="18" w:space="0" w:color="auto"/>
            </w:tcBorders>
            <w:shd w:val="clear" w:color="auto" w:fill="FFFFFF"/>
          </w:tcPr>
          <w:p w14:paraId="186F9262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Klíčové ukazatele výkazu zisku a ztráty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</w:tcPr>
          <w:p w14:paraId="0B4F66A3" w14:textId="77777777" w:rsidR="002F2A07" w:rsidRPr="003061AD" w:rsidRDefault="002F2A07" w:rsidP="00A43CEA">
            <w:pPr>
              <w:pStyle w:val="a0"/>
              <w:spacing w:before="20" w:after="20"/>
              <w:ind w:left="57" w:right="57" w:firstLine="0"/>
              <w:jc w:val="center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1-3 2024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DBE2F3"/>
          </w:tcPr>
          <w:p w14:paraId="00213510" w14:textId="77777777" w:rsidR="002F2A07" w:rsidRPr="003061AD" w:rsidRDefault="002F2A07" w:rsidP="00A43CEA">
            <w:pPr>
              <w:pStyle w:val="a0"/>
              <w:spacing w:before="20" w:after="20"/>
              <w:ind w:left="57" w:right="57" w:firstLine="0"/>
              <w:jc w:val="center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1-3 2024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</w:tcPr>
          <w:p w14:paraId="14FD62FC" w14:textId="77777777" w:rsidR="002F2A07" w:rsidRPr="003061AD" w:rsidRDefault="002F2A07" w:rsidP="00A43CEA">
            <w:pPr>
              <w:pStyle w:val="a0"/>
              <w:spacing w:before="20" w:after="20"/>
              <w:ind w:left="57" w:right="57" w:firstLine="0"/>
              <w:jc w:val="center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změna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57CB0B8E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b/>
                <w:bCs/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2578F800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116355CA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18" w:space="0" w:color="auto"/>
              <w:left w:val="nil"/>
            </w:tcBorders>
            <w:shd w:val="clear" w:color="auto" w:fill="FFFFFF"/>
          </w:tcPr>
          <w:p w14:paraId="2ADEEA6B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Zisk na akcii (v EUR)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</w:tcPr>
          <w:p w14:paraId="44D3E203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1,87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DBE2F3"/>
          </w:tcPr>
          <w:p w14:paraId="0F927073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1,82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</w:tcPr>
          <w:p w14:paraId="7FF099B4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-2,7 %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C459BDB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692C944E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2CCEF0DE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19FB3876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Návratnost vlastního kapitálu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55B1C91A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16,0 %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207CDA2A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14,2 %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70CA506D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-1,8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1C7C5744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60BE01BB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6E4274E9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068C0329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Čistá úroková marže (u úročených aktiv; průměr)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446200C1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2,49 %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7EC3C32D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2,33 %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37239819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-0,16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6B8ECF92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1FE8CF3A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74556023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0A560C90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Poměr nákladů k výnosům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222CAEE1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46,0 %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273DBAEB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48,0 %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0638804C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2,0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09E9C8E" w14:textId="77777777" w:rsidR="002F2A07" w:rsidRPr="003061AD" w:rsidRDefault="002F2A07" w:rsidP="00D70A92">
            <w:pPr>
              <w:pStyle w:val="a0"/>
              <w:spacing w:before="20" w:after="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0465E095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29D2A" w14:textId="77777777" w:rsidR="002F2A07" w:rsidRPr="003061AD" w:rsidRDefault="002F2A07" w:rsidP="00D70A92">
            <w:pPr>
              <w:pStyle w:val="a0"/>
              <w:spacing w:before="20" w:after="12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F343DD4" w14:textId="77777777" w:rsidR="002F2A07" w:rsidRPr="003061AD" w:rsidRDefault="002F2A07" w:rsidP="00D70A92">
            <w:pPr>
              <w:pStyle w:val="a0"/>
              <w:spacing w:before="20" w:after="12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Poměr opravných položek (jako průměr hrubých klientských úvěrů)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34EB99" w14:textId="77777777" w:rsidR="002F2A07" w:rsidRPr="003061AD" w:rsidRDefault="002F2A07" w:rsidP="00D70A92">
            <w:pPr>
              <w:pStyle w:val="a0"/>
              <w:spacing w:before="20" w:after="1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0,18 %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2F3"/>
          </w:tcPr>
          <w:p w14:paraId="133F108C" w14:textId="77777777" w:rsidR="002F2A07" w:rsidRPr="003061AD" w:rsidRDefault="002F2A07" w:rsidP="00D70A92">
            <w:pPr>
              <w:pStyle w:val="a0"/>
              <w:spacing w:before="20" w:after="1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0,15 %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A74AB" w14:textId="77777777" w:rsidR="002F2A07" w:rsidRPr="003061AD" w:rsidRDefault="002F2A07" w:rsidP="00D70A92">
            <w:pPr>
              <w:pStyle w:val="a0"/>
              <w:spacing w:before="20" w:after="12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-0,03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AAB9A" w14:textId="77777777" w:rsidR="002F2A07" w:rsidRPr="003061AD" w:rsidRDefault="002F2A07" w:rsidP="00D70A92">
            <w:pPr>
              <w:pStyle w:val="a0"/>
              <w:spacing w:before="20" w:after="120"/>
              <w:ind w:left="57" w:right="57" w:firstLine="0"/>
              <w:jc w:val="right"/>
              <w:rPr>
                <w:color w:val="40496A"/>
                <w:sz w:val="16"/>
                <w:szCs w:val="16"/>
                <w:lang w:val="cs-CZ"/>
              </w:rPr>
            </w:pPr>
          </w:p>
        </w:tc>
      </w:tr>
    </w:tbl>
    <w:p w14:paraId="536558FE" w14:textId="77777777" w:rsidR="002F2A07" w:rsidRPr="003061AD" w:rsidRDefault="002F2A07" w:rsidP="002F2A07">
      <w:pPr>
        <w:rPr>
          <w:sz w:val="16"/>
          <w:szCs w:val="16"/>
          <w:lang w:val="cs-CZ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5732"/>
        <w:gridCol w:w="935"/>
        <w:gridCol w:w="1067"/>
        <w:gridCol w:w="1065"/>
        <w:gridCol w:w="129"/>
      </w:tblGrid>
      <w:tr w:rsidR="002F2A07" w:rsidRPr="003061AD" w14:paraId="3F2EF408" w14:textId="77777777" w:rsidTr="00D70A92">
        <w:trPr>
          <w:trHeight w:val="20"/>
        </w:trPr>
        <w:tc>
          <w:tcPr>
            <w:tcW w:w="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3F032" w14:textId="77777777" w:rsidR="002F2A07" w:rsidRPr="003061AD" w:rsidRDefault="002F2A07" w:rsidP="00D70A92">
            <w:pPr>
              <w:spacing w:before="120" w:after="20"/>
              <w:ind w:left="57" w:right="57"/>
              <w:rPr>
                <w:b/>
                <w:bCs/>
                <w:color w:val="40496A"/>
                <w:sz w:val="21"/>
                <w:szCs w:val="21"/>
                <w:lang w:val="cs-CZ"/>
              </w:rPr>
            </w:pPr>
          </w:p>
        </w:tc>
        <w:tc>
          <w:tcPr>
            <w:tcW w:w="4858" w:type="pct"/>
            <w:gridSpan w:val="4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01F2ABE6" w14:textId="77777777" w:rsidR="002F2A07" w:rsidRPr="003061AD" w:rsidRDefault="002F2A07" w:rsidP="00D70A92">
            <w:pPr>
              <w:spacing w:before="120" w:after="20"/>
              <w:ind w:left="57" w:right="57"/>
              <w:rPr>
                <w:b/>
                <w:bCs/>
                <w:color w:val="40496A"/>
                <w:sz w:val="21"/>
                <w:szCs w:val="21"/>
                <w:lang w:val="cs-CZ"/>
              </w:rPr>
            </w:pPr>
            <w:r w:rsidRPr="003061AD">
              <w:rPr>
                <w:b/>
                <w:color w:val="40496A"/>
                <w:sz w:val="21"/>
                <w:szCs w:val="21"/>
                <w:lang w:val="cs-CZ" w:bidi="cs-CZ"/>
              </w:rPr>
              <w:t>Rozvaha</w:t>
            </w:r>
          </w:p>
        </w:tc>
        <w:tc>
          <w:tcPr>
            <w:tcW w:w="7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B9423D" w14:textId="77777777" w:rsidR="002F2A07" w:rsidRPr="003061AD" w:rsidRDefault="002F2A07" w:rsidP="00D70A92">
            <w:pPr>
              <w:spacing w:before="120" w:after="20"/>
              <w:ind w:left="57" w:right="57"/>
              <w:rPr>
                <w:b/>
                <w:bCs/>
                <w:color w:val="40496A"/>
                <w:sz w:val="21"/>
                <w:szCs w:val="21"/>
                <w:lang w:val="cs-CZ"/>
              </w:rPr>
            </w:pPr>
          </w:p>
        </w:tc>
      </w:tr>
      <w:tr w:rsidR="002F2A07" w:rsidRPr="003061AD" w14:paraId="16F627E7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0754A788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left w:val="nil"/>
              <w:bottom w:val="single" w:sz="18" w:space="0" w:color="auto"/>
            </w:tcBorders>
            <w:shd w:val="clear" w:color="auto" w:fill="FFFFFF"/>
          </w:tcPr>
          <w:p w14:paraId="55ABD0F7" w14:textId="77777777" w:rsidR="002F2A07" w:rsidRPr="003061AD" w:rsidRDefault="002F2A07" w:rsidP="00D70A92">
            <w:pPr>
              <w:pStyle w:val="a0"/>
              <w:ind w:left="57" w:right="57" w:firstLine="0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v mil. EUR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</w:tcPr>
          <w:p w14:paraId="3B7C754A" w14:textId="77777777" w:rsidR="002F2A07" w:rsidRPr="003061AD" w:rsidRDefault="002F2A07" w:rsidP="00A43CEA">
            <w:pPr>
              <w:pStyle w:val="a0"/>
              <w:ind w:left="57" w:right="57" w:firstLine="0"/>
              <w:jc w:val="center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12/2024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DBE2F3"/>
          </w:tcPr>
          <w:p w14:paraId="30AC5E64" w14:textId="77777777" w:rsidR="002F2A07" w:rsidRPr="003061AD" w:rsidRDefault="002F2A07" w:rsidP="00A43CEA">
            <w:pPr>
              <w:pStyle w:val="a0"/>
              <w:ind w:left="57" w:right="57" w:firstLine="0"/>
              <w:jc w:val="center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03/2025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</w:tcPr>
          <w:p w14:paraId="5FADF93E" w14:textId="77777777" w:rsidR="002F2A07" w:rsidRPr="003061AD" w:rsidRDefault="002F2A07" w:rsidP="00A43CEA">
            <w:pPr>
              <w:pStyle w:val="a0"/>
              <w:ind w:left="57" w:right="57" w:firstLine="0"/>
              <w:jc w:val="center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změna v %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303FB457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22F5AB10" w14:textId="77777777" w:rsidTr="00EE774A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7C658887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E33AB69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Úvěry a jiné pohledávky za klienty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7F43CB75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218 067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DBE2F3"/>
          </w:tcPr>
          <w:p w14:paraId="66E1526B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220 069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14:paraId="6D23CA14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0,9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110C6119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04E353F2" w14:textId="77777777" w:rsidTr="00EE774A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45B05A61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98825B7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Rizikově vážená aktiva (RWA)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1B953B" w14:textId="63C70A9B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</w:t>
            </w:r>
            <w:r w:rsidR="001D508E">
              <w:rPr>
                <w:color w:val="40496A"/>
                <w:sz w:val="17"/>
                <w:szCs w:val="17"/>
                <w:lang w:val="cs-CZ" w:bidi="cs-CZ"/>
              </w:rPr>
              <w:t>57</w:t>
            </w: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 </w:t>
            </w:r>
            <w:r w:rsidR="001D508E">
              <w:rPr>
                <w:color w:val="40496A"/>
                <w:sz w:val="17"/>
                <w:szCs w:val="17"/>
                <w:lang w:val="cs-CZ" w:bidi="cs-CZ"/>
              </w:rPr>
              <w:t>2</w:t>
            </w:r>
            <w:r w:rsidRPr="003061AD">
              <w:rPr>
                <w:color w:val="40496A"/>
                <w:sz w:val="17"/>
                <w:szCs w:val="17"/>
                <w:lang w:val="cs-CZ" w:bidi="cs-CZ"/>
              </w:rPr>
              <w:t>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FE04"/>
          </w:tcPr>
          <w:p w14:paraId="1838B14F" w14:textId="7D341D26" w:rsidR="002F2A07" w:rsidRPr="003061AD" w:rsidRDefault="001D508E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>
              <w:rPr>
                <w:color w:val="40496A"/>
                <w:sz w:val="17"/>
                <w:szCs w:val="17"/>
                <w:lang w:val="cs-CZ" w:bidi="cs-CZ"/>
              </w:rPr>
              <w:t>151 600                -3,6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auto"/>
          </w:tcPr>
          <w:p w14:paraId="51F6D201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70711FAC" w14:textId="77777777" w:rsidTr="00EE774A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20182DC1" w14:textId="77777777" w:rsidR="002F2A07" w:rsidRPr="003061AD" w:rsidRDefault="002F2A07" w:rsidP="00D70A92">
            <w:pPr>
              <w:pStyle w:val="a0"/>
              <w:spacing w:before="60" w:after="6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5A9FF97D" w14:textId="77777777" w:rsidR="002F2A07" w:rsidRPr="003061AD" w:rsidRDefault="002F2A07" w:rsidP="00D70A92">
            <w:pPr>
              <w:pStyle w:val="a0"/>
              <w:spacing w:before="60" w:after="6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Vklady od klientů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463308FA" w14:textId="35F6C95E" w:rsidR="002F2A07" w:rsidRPr="003061AD" w:rsidRDefault="002F2A07" w:rsidP="00D70A92">
            <w:pPr>
              <w:pStyle w:val="a0"/>
              <w:spacing w:before="60" w:after="6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241 650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2EEC2D1F" w14:textId="77777777" w:rsidR="002F2A07" w:rsidRPr="003061AD" w:rsidRDefault="002F2A07" w:rsidP="00D70A92">
            <w:pPr>
              <w:pStyle w:val="a0"/>
              <w:spacing w:before="60" w:after="6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246 149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358BD0FC" w14:textId="77777777" w:rsidR="002F2A07" w:rsidRPr="003061AD" w:rsidRDefault="002F2A07" w:rsidP="00D70A92">
            <w:pPr>
              <w:pStyle w:val="a0"/>
              <w:spacing w:before="60" w:after="6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1,9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FDD1B67" w14:textId="77777777" w:rsidR="002F2A07" w:rsidRPr="003061AD" w:rsidRDefault="002F2A07" w:rsidP="00D70A92">
            <w:pPr>
              <w:pStyle w:val="a0"/>
              <w:spacing w:before="60" w:after="6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7C29AB1C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3ED900D8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260245F2" w14:textId="77777777" w:rsidR="002F2A07" w:rsidRPr="003061AD" w:rsidRDefault="002F2A07" w:rsidP="00D70A92">
            <w:pPr>
              <w:pStyle w:val="a0"/>
              <w:ind w:left="57" w:right="57" w:firstLine="0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Aktiva celkem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404228D6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353 736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45255E00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358 003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4594120C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b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1,2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5C852D5A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17D04317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65965412" w14:textId="77777777" w:rsidR="002F2A07" w:rsidRPr="003061AD" w:rsidRDefault="002F2A07" w:rsidP="00D70A92">
            <w:pPr>
              <w:ind w:left="57" w:right="57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left w:val="nil"/>
            </w:tcBorders>
            <w:shd w:val="clear" w:color="auto" w:fill="FFFFFF"/>
          </w:tcPr>
          <w:p w14:paraId="53241CF7" w14:textId="77777777" w:rsidR="002F2A07" w:rsidRPr="003061AD" w:rsidRDefault="002F2A07" w:rsidP="00D70A92">
            <w:pPr>
              <w:ind w:left="57" w:right="57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516" w:type="pct"/>
            <w:shd w:val="clear" w:color="auto" w:fill="FFFFFF"/>
          </w:tcPr>
          <w:p w14:paraId="2B78152F" w14:textId="77777777" w:rsidR="002F2A07" w:rsidRPr="003061AD" w:rsidRDefault="002F2A07" w:rsidP="00D70A92">
            <w:pPr>
              <w:ind w:left="57" w:right="57"/>
              <w:jc w:val="right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589" w:type="pct"/>
            <w:shd w:val="clear" w:color="auto" w:fill="FFFFFF"/>
          </w:tcPr>
          <w:p w14:paraId="38D183AB" w14:textId="77777777" w:rsidR="002F2A07" w:rsidRPr="003061AD" w:rsidRDefault="002F2A07" w:rsidP="00D70A92">
            <w:pPr>
              <w:ind w:left="57" w:right="57"/>
              <w:jc w:val="right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588" w:type="pct"/>
            <w:shd w:val="clear" w:color="auto" w:fill="FFFFFF"/>
          </w:tcPr>
          <w:p w14:paraId="58B4F78F" w14:textId="77777777" w:rsidR="002F2A07" w:rsidRPr="003061AD" w:rsidRDefault="002F2A07" w:rsidP="00D70A92">
            <w:pPr>
              <w:ind w:left="57" w:right="57"/>
              <w:jc w:val="right"/>
              <w:rPr>
                <w:color w:val="40496A"/>
                <w:sz w:val="17"/>
                <w:szCs w:val="17"/>
                <w:lang w:val="cs-CZ"/>
              </w:rPr>
            </w:pP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318A0AE2" w14:textId="77777777" w:rsidR="002F2A07" w:rsidRPr="003061AD" w:rsidRDefault="002F2A07" w:rsidP="00D70A92">
            <w:pPr>
              <w:ind w:left="57" w:right="57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3D9BE7A1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2BAA8BAB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left w:val="nil"/>
              <w:bottom w:val="single" w:sz="18" w:space="0" w:color="auto"/>
            </w:tcBorders>
            <w:shd w:val="clear" w:color="auto" w:fill="FFFFFF"/>
          </w:tcPr>
          <w:p w14:paraId="48BCEF72" w14:textId="77777777" w:rsidR="002F2A07" w:rsidRPr="003061AD" w:rsidRDefault="002F2A07" w:rsidP="00D70A92">
            <w:pPr>
              <w:pStyle w:val="a0"/>
              <w:ind w:left="57" w:right="57" w:firstLine="0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Klíčové rozvahové ukazatele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</w:tcPr>
          <w:p w14:paraId="133AB777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12/2024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DBE2F3"/>
          </w:tcPr>
          <w:p w14:paraId="4E9D1BE8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03/2025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</w:tcPr>
          <w:p w14:paraId="7C447EA6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b/>
                <w:bCs/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b/>
                <w:color w:val="40496A"/>
                <w:sz w:val="17"/>
                <w:szCs w:val="17"/>
                <w:lang w:val="cs-CZ" w:bidi="cs-CZ"/>
              </w:rPr>
              <w:t>změna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6ABBB1AB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31CFEC0F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2111E4A8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18" w:space="0" w:color="auto"/>
              <w:left w:val="nil"/>
            </w:tcBorders>
            <w:shd w:val="clear" w:color="auto" w:fill="FFFFFF"/>
          </w:tcPr>
          <w:p w14:paraId="467DBA5A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Poměr úvěrů a vkladů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</w:tcPr>
          <w:p w14:paraId="6062E6CF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90,2 %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DBE2F3"/>
          </w:tcPr>
          <w:p w14:paraId="4D3D846A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89,4 %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</w:tcPr>
          <w:p w14:paraId="4C0DC1F4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-0,8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6D6999D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03D9FBDC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109FD4FE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5EBACA12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Podíl nesplácených úvěrů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3EE6FE6A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2,6 %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3EBAF53C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2,5 %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255ED8A3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-0,1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42A9B6E3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58E884AC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FFFFFF"/>
          </w:tcPr>
          <w:p w14:paraId="5C9FCEC8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79CCC0C5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Míra krytí nesplácených úvěrů (na základě průměrných klientských úvěrů, bez zajištění)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3F0C37E8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72,5 %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DBE2F3"/>
          </w:tcPr>
          <w:p w14:paraId="52C9A050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74,6 %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/>
          </w:tcPr>
          <w:p w14:paraId="1C17FF85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2,1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FFFFFF"/>
          </w:tcPr>
          <w:p w14:paraId="5FB25EB7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5E2368A9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</w:tcPr>
          <w:p w14:paraId="6B368D6D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nil"/>
            </w:tcBorders>
            <w:shd w:val="clear" w:color="auto" w:fill="FEFE04"/>
          </w:tcPr>
          <w:p w14:paraId="26DC91B9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Ukazatel CET1 (pro forma)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</w:tcPr>
          <w:p w14:paraId="76CF3B3F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15,1 %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FEFE04"/>
          </w:tcPr>
          <w:p w14:paraId="0720E650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>16,2 %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EFE04"/>
          </w:tcPr>
          <w:p w14:paraId="14303972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17"/>
                <w:szCs w:val="17"/>
                <w:lang w:val="cs-CZ"/>
              </w:rPr>
            </w:pPr>
            <w:r w:rsidRPr="003061AD">
              <w:rPr>
                <w:color w:val="40496A"/>
                <w:sz w:val="17"/>
                <w:szCs w:val="17"/>
                <w:lang w:val="cs-CZ" w:bidi="cs-CZ"/>
              </w:rPr>
              <w:t xml:space="preserve">1,1 </w:t>
            </w:r>
            <w:proofErr w:type="spellStart"/>
            <w:r w:rsidRPr="003061AD">
              <w:rPr>
                <w:color w:val="40496A"/>
                <w:sz w:val="17"/>
                <w:szCs w:val="17"/>
                <w:lang w:val="cs-CZ" w:bidi="cs-CZ"/>
              </w:rPr>
              <w:t>p.b</w:t>
            </w:r>
            <w:proofErr w:type="spellEnd"/>
            <w:r w:rsidRPr="003061AD">
              <w:rPr>
                <w:color w:val="40496A"/>
                <w:sz w:val="17"/>
                <w:szCs w:val="17"/>
                <w:lang w:val="cs-CZ" w:bidi="cs-CZ"/>
              </w:rPr>
              <w:t>.</w:t>
            </w:r>
          </w:p>
        </w:tc>
        <w:tc>
          <w:tcPr>
            <w:tcW w:w="71" w:type="pct"/>
            <w:tcBorders>
              <w:right w:val="single" w:sz="4" w:space="0" w:color="auto"/>
            </w:tcBorders>
            <w:shd w:val="clear" w:color="auto" w:fill="auto"/>
          </w:tcPr>
          <w:p w14:paraId="19188E9A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16"/>
                <w:szCs w:val="16"/>
                <w:lang w:val="cs-CZ"/>
              </w:rPr>
            </w:pPr>
          </w:p>
        </w:tc>
      </w:tr>
      <w:tr w:rsidR="002F2A07" w:rsidRPr="003061AD" w14:paraId="79DA7DBA" w14:textId="77777777" w:rsidTr="00D70A92">
        <w:trPr>
          <w:trHeight w:val="20"/>
        </w:trPr>
        <w:tc>
          <w:tcPr>
            <w:tcW w:w="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2F683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6"/>
                <w:szCs w:val="6"/>
                <w:lang w:val="cs-CZ"/>
              </w:rPr>
            </w:pPr>
          </w:p>
        </w:tc>
        <w:tc>
          <w:tcPr>
            <w:tcW w:w="316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67AE45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6"/>
                <w:szCs w:val="6"/>
                <w:lang w:val="cs-CZ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</w:tcPr>
          <w:p w14:paraId="4C956D20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6"/>
                <w:szCs w:val="6"/>
                <w:lang w:val="cs-CZ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14:paraId="1B883939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6"/>
                <w:szCs w:val="6"/>
                <w:shd w:val="clear" w:color="auto" w:fill="80FFFF"/>
                <w:lang w:val="cs-CZ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5407F5F4" w14:textId="77777777" w:rsidR="002F2A07" w:rsidRPr="003061AD" w:rsidRDefault="002F2A07" w:rsidP="00D70A92">
            <w:pPr>
              <w:pStyle w:val="a0"/>
              <w:ind w:left="57" w:right="57" w:firstLine="0"/>
              <w:jc w:val="right"/>
              <w:rPr>
                <w:color w:val="40496A"/>
                <w:sz w:val="6"/>
                <w:szCs w:val="6"/>
                <w:lang w:val="cs-CZ"/>
              </w:rPr>
            </w:pPr>
          </w:p>
        </w:tc>
        <w:tc>
          <w:tcPr>
            <w:tcW w:w="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7EF6" w14:textId="77777777" w:rsidR="002F2A07" w:rsidRPr="003061AD" w:rsidRDefault="002F2A07" w:rsidP="00D70A92">
            <w:pPr>
              <w:pStyle w:val="a0"/>
              <w:ind w:left="57" w:right="57" w:firstLine="0"/>
              <w:rPr>
                <w:color w:val="40496A"/>
                <w:sz w:val="6"/>
                <w:szCs w:val="6"/>
                <w:lang w:val="cs-CZ"/>
              </w:rPr>
            </w:pPr>
          </w:p>
        </w:tc>
      </w:tr>
    </w:tbl>
    <w:p w14:paraId="36F52C32" w14:textId="77777777" w:rsidR="002F2A07" w:rsidRPr="003061AD" w:rsidRDefault="002F2A07">
      <w:pPr>
        <w:spacing w:line="240" w:lineRule="auto"/>
        <w:rPr>
          <w:rFonts w:ascii="Inter" w:hAnsi="Inter"/>
          <w:lang w:val="cs-CZ"/>
        </w:rPr>
      </w:pPr>
    </w:p>
    <w:p w14:paraId="0F3B65C8" w14:textId="7CDA8454" w:rsidR="00924544" w:rsidRPr="003061AD" w:rsidRDefault="00924544" w:rsidP="00435013">
      <w:pPr>
        <w:rPr>
          <w:rFonts w:ascii="Inter" w:hAnsi="Inter"/>
          <w:lang w:val="cs-CZ"/>
        </w:rPr>
      </w:pPr>
    </w:p>
    <w:p w14:paraId="4F232544" w14:textId="77777777" w:rsidR="00924544" w:rsidRPr="003061AD" w:rsidRDefault="00924544" w:rsidP="00435013">
      <w:pPr>
        <w:rPr>
          <w:rFonts w:ascii="Inter" w:hAnsi="Inter"/>
          <w:lang w:val="cs-CZ"/>
        </w:rPr>
      </w:pPr>
    </w:p>
    <w:p w14:paraId="3DFBD3BB" w14:textId="77777777" w:rsidR="00924544" w:rsidRPr="003061AD" w:rsidRDefault="00924544" w:rsidP="00435013">
      <w:pPr>
        <w:rPr>
          <w:rFonts w:ascii="Inter" w:hAnsi="Inter"/>
          <w:lang w:val="cs-CZ"/>
        </w:rPr>
      </w:pPr>
    </w:p>
    <w:p w14:paraId="270CC9BE" w14:textId="77777777" w:rsidR="00924544" w:rsidRPr="003061AD" w:rsidRDefault="00924544" w:rsidP="00435013">
      <w:pPr>
        <w:rPr>
          <w:rFonts w:ascii="Inter" w:hAnsi="Inter"/>
          <w:lang w:val="cs-CZ"/>
        </w:rPr>
      </w:pPr>
    </w:p>
    <w:p w14:paraId="3033562E" w14:textId="6075371A" w:rsidR="00CC18B8" w:rsidRPr="003061AD" w:rsidRDefault="00435013" w:rsidP="009844F9">
      <w:pPr>
        <w:rPr>
          <w:rFonts w:ascii="Inter" w:hAnsi="Inter"/>
          <w:lang w:val="cs-CZ"/>
        </w:rPr>
      </w:pPr>
      <w:r w:rsidRPr="003061AD">
        <w:rPr>
          <w:rFonts w:ascii="Inter" w:eastAsia="Inter" w:hAnsi="Inter" w:cs="Inter"/>
          <w:noProof/>
          <w:lang w:val="cs-CZ" w:bidi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101E9" wp14:editId="02730F5B">
                <wp:simplePos x="0" y="0"/>
                <wp:positionH relativeFrom="column">
                  <wp:posOffset>-10795</wp:posOffset>
                </wp:positionH>
                <wp:positionV relativeFrom="paragraph">
                  <wp:posOffset>47625</wp:posOffset>
                </wp:positionV>
                <wp:extent cx="5744845" cy="1380671"/>
                <wp:effectExtent l="0" t="0" r="27305" b="12700"/>
                <wp:wrapTopAndBottom/>
                <wp:docPr id="7" name="Rechteck: abgerundete Ecken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1380671"/>
                        </a:xfrm>
                        <a:prstGeom prst="roundRect">
                          <a:avLst>
                            <a:gd name="adj" fmla="val 11495"/>
                          </a:avLst>
                        </a:prstGeom>
                        <a:noFill/>
                        <a:ln w="19050">
                          <a:solidFill>
                            <a:srgbClr val="2870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B4B1B" w14:textId="432FD763" w:rsidR="00435013" w:rsidRPr="00F23AB9" w:rsidRDefault="003F5CD5" w:rsidP="00435013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b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23AB9">
                              <w:rPr>
                                <w:rFonts w:ascii="Inter" w:eastAsia="Arial" w:hAnsi="Inter" w:cs="Inter"/>
                                <w:b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>Kontakt pro média:</w:t>
                            </w:r>
                          </w:p>
                          <w:p w14:paraId="018D2A0C" w14:textId="22B45331" w:rsidR="00435013" w:rsidRPr="00F23AB9" w:rsidRDefault="00435013" w:rsidP="00435013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23AB9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>Erste Group | Tiskové oddělení, Am Belvedere 1, 1100 Vídeň</w:t>
                            </w:r>
                          </w:p>
                          <w:p w14:paraId="1F92BCAB" w14:textId="77777777" w:rsidR="00435013" w:rsidRPr="003C3BB1" w:rsidRDefault="00435013" w:rsidP="00435013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4472C4" w:themeColor="accent1"/>
                                <w:sz w:val="14"/>
                                <w:szCs w:val="14"/>
                                <w:shd w:val="clear" w:color="auto" w:fill="auto"/>
                                <w:lang w:val="en-US"/>
                              </w:rPr>
                            </w:pPr>
                            <w:r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Margarita Thiel, 050100 – 13425, e-mail: </w:t>
                            </w:r>
                            <w:hyperlink r:id="rId11" w:history="1">
                              <w:r w:rsidRPr="003C3BB1">
                                <w:rPr>
                                  <w:rStyle w:val="Hypertextovodkaz"/>
                                  <w:rFonts w:ascii="Inter" w:eastAsia="Inter" w:hAnsi="Inter" w:cs="Inter"/>
                                  <w:color w:val="4472C4" w:themeColor="accent1"/>
                                  <w:lang w:val="cs-CZ" w:bidi="cs-CZ"/>
                                </w:rPr>
                                <w:t>margarita.thiel@erstegroup.com</w:t>
                              </w:r>
                            </w:hyperlink>
                          </w:p>
                          <w:p w14:paraId="5B5CA956" w14:textId="77777777" w:rsidR="00435013" w:rsidRPr="002F2A07" w:rsidRDefault="00435013" w:rsidP="00435013">
                            <w:pPr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F2A07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Martin Sonn-Wende, 050100 – 11680, e-mail: </w:t>
                            </w:r>
                            <w:hyperlink r:id="rId12" w:history="1">
                              <w:r w:rsidRPr="002F2A07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martin.sonn-wende@erstegroup.com</w:t>
                              </w:r>
                            </w:hyperlink>
                            <w:r w:rsidRPr="002F2A07">
                              <w:rPr>
                                <w:rFonts w:ascii="Inter" w:eastAsia="Arial" w:hAnsi="Inter" w:cs="Inter"/>
                                <w:color w:val="2870ED"/>
                                <w:sz w:val="14"/>
                                <w:szCs w:val="14"/>
                                <w:lang w:val="cs-CZ" w:bidi="cs-CZ"/>
                              </w:rPr>
                              <w:t xml:space="preserve"> </w:t>
                            </w:r>
                          </w:p>
                          <w:p w14:paraId="0CD93CF2" w14:textId="77777777" w:rsidR="00435013" w:rsidRPr="002F2A07" w:rsidRDefault="00435013" w:rsidP="00435013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Style w:val="Hypertextovodkaz"/>
                                <w:rFonts w:ascii="Inter" w:hAnsi="Inter"/>
                                <w:color w:val="000000" w:themeColor="text1"/>
                                <w:lang w:val="en-US"/>
                              </w:rPr>
                            </w:pPr>
                            <w:r w:rsidRPr="002F2A07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Peter Klopf, 050100 – 11676, e-mail: </w:t>
                            </w:r>
                            <w:hyperlink r:id="rId13" w:history="1">
                              <w:r w:rsidRPr="002F2A07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peter.klopf@erstegroup.com</w:t>
                              </w:r>
                            </w:hyperlink>
                          </w:p>
                          <w:p w14:paraId="0503D2FB" w14:textId="77777777" w:rsidR="00435013" w:rsidRPr="002F2A07" w:rsidRDefault="00435013" w:rsidP="00435013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2870ED"/>
                                <w:sz w:val="14"/>
                                <w:szCs w:val="14"/>
                                <w:shd w:val="clear" w:color="auto" w:fill="auto"/>
                                <w:lang w:val="it-IT"/>
                              </w:rPr>
                            </w:pPr>
                            <w:r w:rsidRPr="002F2A07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Marvin Aschinger, 050100 – 17689, e-mail: </w:t>
                            </w:r>
                            <w:hyperlink r:id="rId14" w:history="1">
                              <w:r w:rsidRPr="002F2A07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marvin.aschinger@erstegroup.com</w:t>
                              </w:r>
                            </w:hyperlink>
                          </w:p>
                          <w:p w14:paraId="7EC18A19" w14:textId="77777777" w:rsidR="00435013" w:rsidRPr="002F2A07" w:rsidRDefault="00435013" w:rsidP="004350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it-IT"/>
                              </w:rPr>
                            </w:pPr>
                          </w:p>
                          <w:p w14:paraId="46480E44" w14:textId="77777777" w:rsidR="00423C5C" w:rsidRPr="003061AD" w:rsidRDefault="00423C5C" w:rsidP="00423C5C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Style w:val="Hypertextovodkaz"/>
                                <w:rFonts w:ascii="Inter" w:hAnsi="Inter"/>
                                <w:color w:val="2870ED"/>
                                <w:lang w:val="pl-PL"/>
                              </w:rPr>
                            </w:pPr>
                            <w:r w:rsidRPr="00711D5D">
                              <w:rPr>
                                <w:rFonts w:ascii="Inter" w:eastAsia="Arial" w:hAnsi="Inter" w:cs="Inter"/>
                                <w:color w:val="000000" w:themeColor="text1"/>
                                <w:sz w:val="14"/>
                                <w:szCs w:val="14"/>
                                <w:shd w:val="clear" w:color="auto" w:fill="auto"/>
                                <w:lang w:val="cs-CZ" w:bidi="cs-CZ"/>
                              </w:rPr>
                              <w:t xml:space="preserve">Text je k dispozici také na: </w:t>
                            </w:r>
                            <w:hyperlink r:id="rId15">
                              <w:r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https://www.erstegroup.com/en/news-media</w:t>
                              </w:r>
                            </w:hyperlink>
                          </w:p>
                          <w:p w14:paraId="61DBD3A5" w14:textId="77269C89" w:rsidR="00435013" w:rsidRPr="003061AD" w:rsidRDefault="00423C5C" w:rsidP="00423C5C">
                            <w:pPr>
                              <w:autoSpaceDE w:val="0"/>
                              <w:autoSpaceDN w:val="0"/>
                              <w:adjustRightInd w:val="0"/>
                              <w:ind w:left="-426"/>
                              <w:jc w:val="center"/>
                              <w:rPr>
                                <w:rFonts w:ascii="Inter" w:eastAsia="Arial" w:hAnsi="Inter"/>
                                <w:color w:val="000000" w:themeColor="text1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711D5D">
                              <w:rPr>
                                <w:rStyle w:val="Hypertextovodkaz"/>
                                <w:rFonts w:ascii="Inter" w:eastAsia="Inter" w:hAnsi="Inter" w:cs="Inter"/>
                                <w:color w:val="000000" w:themeColor="text1"/>
                                <w:u w:val="none"/>
                                <w:lang w:val="cs-CZ" w:bidi="cs-CZ"/>
                              </w:rPr>
                              <w:t xml:space="preserve">Pokud od nás nechcete v budoucnu dostávat žádné informace pro média, </w:t>
                            </w:r>
                            <w:hyperlink r:id="rId16" w:history="1">
                              <w:r w:rsidRPr="00711D5D">
                                <w:rPr>
                                  <w:rStyle w:val="Hypertextovodkaz"/>
                                  <w:rFonts w:ascii="Inter" w:eastAsia="Inter" w:hAnsi="Inter" w:cs="Inter"/>
                                  <w:color w:val="2870ED"/>
                                  <w:lang w:val="cs-CZ" w:bidi="cs-CZ"/>
                                </w:rPr>
                                <w:t>sdělte nám to prosím e-mailem na adrese presse@erstebank.at</w:t>
                              </w:r>
                            </w:hyperlink>
                            <w:r w:rsidRPr="00711D5D">
                              <w:rPr>
                                <w:rStyle w:val="Hypertextovodkaz"/>
                                <w:rFonts w:ascii="Inter" w:eastAsia="Inter" w:hAnsi="Inter" w:cs="Inter"/>
                                <w:color w:val="000000" w:themeColor="text1"/>
                                <w:u w:val="none"/>
                                <w:lang w:val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37C101E9" id="Rechteck: abgerundete Ecken 605" o:spid="_x0000_s1026" style="position:absolute;margin-left:-.85pt;margin-top:3.75pt;width:452.35pt;height:10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" filled="f" strokecolor="#2870ed" strokeweight="1.5pt">
                <v:stroke joinstyle="miter"/>
                <v:textbox style="mso-fit-shape-to-text:t" inset="5mm,,5mm">
                  <w:txbxContent>
                    <w:p w14:paraId="364B4B1B" w14:textId="432FD763" w:rsidR="00435013" w:rsidRPr="00F23AB9" w:rsidRDefault="003F5CD5" w:rsidP="00435013">
                      <w:pPr>
                        <w:ind w:left="-426"/>
                        <w:jc w:val="center"/>
                        <w:rPr>
                          <w:rFonts w:ascii="Inter" w:eastAsia="Arial" w:hAnsi="Inter"/>
                          <w:b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F23AB9">
                        <w:rPr>
                          <w:rFonts w:ascii="Inter" w:eastAsia="Arial" w:hAnsi="Inter" w:cs="Inter"/>
                          <w:b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>Kontakt pro média:</w:t>
                      </w:r>
                    </w:p>
                    <w:p w14:paraId="018D2A0C" w14:textId="22B45331" w:rsidR="00435013" w:rsidRPr="00F23AB9" w:rsidRDefault="00435013" w:rsidP="00435013">
                      <w:pPr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F23AB9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>Erste Group | Tiskové oddělení, Am Belvedere 1, 1100 Vídeň</w:t>
                      </w:r>
                    </w:p>
                    <w:p w14:paraId="1F92BCAB" w14:textId="77777777" w:rsidR="00435013" w:rsidRPr="003C3BB1" w:rsidRDefault="00435013" w:rsidP="00435013">
                      <w:pPr>
                        <w:ind w:left="-426"/>
                        <w:jc w:val="center"/>
                        <w:rPr>
                          <w:rFonts w:ascii="Inter" w:eastAsia="Arial" w:hAnsi="Inter"/>
                          <w:color w:val="4472C4" w:themeColor="accent1"/>
                          <w:sz w:val="14"/>
                          <w:szCs w:val="14"/>
                          <w:shd w:val="clear" w:color="auto" w:fill="auto"/>
                          <w:lang w:val="en-US"/>
                        </w:rPr>
                      </w:pPr>
                      <w:r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Margarita Thiel, 050100 – 13425, e-mail: </w:t>
                      </w:r>
                      <w:hyperlink r:id="rId17" w:history="1">
                        <w:r w:rsidRPr="003C3BB1">
                          <w:rPr>
                            <w:rStyle w:val="Hyperlink"/>
                            <w:rFonts w:ascii="Inter" w:eastAsia="Inter" w:hAnsi="Inter" w:cs="Inter"/>
                            <w:color w:val="4472C4" w:themeColor="accent1"/>
                            <w:lang w:val="cs-CZ" w:bidi="cs-CZ"/>
                          </w:rPr>
                          <w:t>margarita.thiel@erstegroup.com</w:t>
                        </w:r>
                      </w:hyperlink>
                    </w:p>
                    <w:p w14:paraId="5B5CA956" w14:textId="77777777" w:rsidR="00435013" w:rsidRPr="002F2A07" w:rsidRDefault="00435013" w:rsidP="00435013">
                      <w:pPr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2F2A07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Martin Sonn-Wende, 050100 – 11680, e-mail: </w:t>
                      </w:r>
                      <w:hyperlink r:id="rId18" w:history="1">
                        <w:r w:rsidRPr="002F2A07">
                          <w:rPr>
                            <w:rStyle w:val="Hyperlink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martin.sonn-wende@erstegroup.com</w:t>
                        </w:r>
                      </w:hyperlink>
                      <w:r w:rsidRPr="002F2A07">
                        <w:rPr>
                          <w:rFonts w:ascii="Inter" w:eastAsia="Arial" w:hAnsi="Inter" w:cs="Inter"/>
                          <w:color w:val="2870ED"/>
                          <w:sz w:val="14"/>
                          <w:szCs w:val="14"/>
                          <w:lang w:val="cs-CZ" w:bidi="cs-CZ"/>
                        </w:rPr>
                        <w:t xml:space="preserve"> </w:t>
                      </w:r>
                    </w:p>
                    <w:p w14:paraId="0CD93CF2" w14:textId="77777777" w:rsidR="00435013" w:rsidRPr="002F2A07" w:rsidRDefault="00435013" w:rsidP="00435013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Style w:val="Hyperlink"/>
                          <w:rFonts w:ascii="Inter" w:hAnsi="Inter"/>
                          <w:color w:val="000000" w:themeColor="text1"/>
                          <w:lang w:val="en-US"/>
                        </w:rPr>
                      </w:pPr>
                      <w:r w:rsidRPr="002F2A07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Peter Klopf, 050100 – 11676, e-mail: </w:t>
                      </w:r>
                      <w:hyperlink r:id="rId19" w:history="1">
                        <w:r w:rsidRPr="002F2A07">
                          <w:rPr>
                            <w:rStyle w:val="Hyperlink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peter.klopf@erstegroup.com</w:t>
                        </w:r>
                      </w:hyperlink>
                    </w:p>
                    <w:p w14:paraId="0503D2FB" w14:textId="77777777" w:rsidR="00435013" w:rsidRPr="002F2A07" w:rsidRDefault="00435013" w:rsidP="00435013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Fonts w:ascii="Inter" w:eastAsia="Arial" w:hAnsi="Inter"/>
                          <w:color w:val="2870ED"/>
                          <w:sz w:val="14"/>
                          <w:szCs w:val="14"/>
                          <w:shd w:val="clear" w:color="auto" w:fill="auto"/>
                          <w:lang w:val="it-IT"/>
                        </w:rPr>
                      </w:pPr>
                      <w:r w:rsidRPr="002F2A07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Marvin Aschinger, 050100 – 17689, e-mail: </w:t>
                      </w:r>
                      <w:hyperlink r:id="rId20" w:history="1">
                        <w:r w:rsidRPr="002F2A07">
                          <w:rPr>
                            <w:rStyle w:val="Hyperlink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marvin.aschinger@erstegroup.com</w:t>
                        </w:r>
                      </w:hyperlink>
                    </w:p>
                    <w:p w14:paraId="7EC18A19" w14:textId="77777777" w:rsidR="00435013" w:rsidRPr="002F2A07" w:rsidRDefault="00435013" w:rsidP="00435013">
                      <w:pPr>
                        <w:autoSpaceDE w:val="0"/>
                        <w:autoSpaceDN w:val="0"/>
                        <w:adjustRightInd w:val="0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it-IT"/>
                        </w:rPr>
                      </w:pPr>
                    </w:p>
                    <w:p w14:paraId="46480E44" w14:textId="77777777" w:rsidR="00423C5C" w:rsidRPr="003061AD" w:rsidRDefault="00423C5C" w:rsidP="00423C5C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Style w:val="Hyperlink"/>
                          <w:rFonts w:ascii="Inter" w:hAnsi="Inter"/>
                          <w:color w:val="2870ED"/>
                          <w:lang w:val="pl-PL"/>
                        </w:rPr>
                      </w:pPr>
                      <w:r w:rsidRPr="00711D5D">
                        <w:rPr>
                          <w:rFonts w:ascii="Inter" w:eastAsia="Arial" w:hAnsi="Inter" w:cs="Inter"/>
                          <w:color w:val="000000" w:themeColor="text1"/>
                          <w:sz w:val="14"/>
                          <w:szCs w:val="14"/>
                          <w:shd w:val="clear" w:color="auto" w:fill="auto"/>
                          <w:lang w:val="cs-CZ" w:bidi="cs-CZ"/>
                        </w:rPr>
                        <w:t xml:space="preserve">Text je k dispozici také na: </w:t>
                      </w:r>
                      <w:hyperlink r:id="rId21">
                        <w:r>
                          <w:rPr>
                            <w:rStyle w:val="Hyperlink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https://www.erstegroup.com/en/news-media</w:t>
                        </w:r>
                      </w:hyperlink>
                    </w:p>
                    <w:p w14:paraId="61DBD3A5" w14:textId="77269C89" w:rsidR="00435013" w:rsidRPr="003061AD" w:rsidRDefault="00423C5C" w:rsidP="00423C5C">
                      <w:pPr>
                        <w:autoSpaceDE w:val="0"/>
                        <w:autoSpaceDN w:val="0"/>
                        <w:adjustRightInd w:val="0"/>
                        <w:ind w:left="-426"/>
                        <w:jc w:val="center"/>
                        <w:rPr>
                          <w:rFonts w:ascii="Inter" w:eastAsia="Arial" w:hAnsi="Inter"/>
                          <w:color w:val="000000" w:themeColor="text1"/>
                          <w:sz w:val="14"/>
                          <w:szCs w:val="14"/>
                          <w:lang w:val="pl-PL"/>
                        </w:rPr>
                      </w:pPr>
                      <w:r w:rsidRPr="00711D5D">
                        <w:rPr>
                          <w:rStyle w:val="Hyperlink"/>
                          <w:rFonts w:ascii="Inter" w:eastAsia="Inter" w:hAnsi="Inter" w:cs="Inter"/>
                          <w:color w:val="000000" w:themeColor="text1"/>
                          <w:u w:val="none"/>
                          <w:lang w:val="cs-CZ" w:bidi="cs-CZ"/>
                        </w:rPr>
                        <w:t xml:space="preserve">Pokud od nás nechcete v budoucnu dostávat žádné informace pro média, </w:t>
                      </w:r>
                      <w:hyperlink r:id="rId22" w:history="1">
                        <w:r w:rsidRPr="00711D5D">
                          <w:rPr>
                            <w:rStyle w:val="Hyperlink"/>
                            <w:rFonts w:ascii="Inter" w:eastAsia="Inter" w:hAnsi="Inter" w:cs="Inter"/>
                            <w:color w:val="2870ED"/>
                            <w:lang w:val="cs-CZ" w:bidi="cs-CZ"/>
                          </w:rPr>
                          <w:t>sdělte nám to prosím e-mailem na adrese presse@erstebank.at</w:t>
                        </w:r>
                      </w:hyperlink>
                      <w:r w:rsidRPr="00711D5D">
                        <w:rPr>
                          <w:rStyle w:val="Hyperlink"/>
                          <w:rFonts w:ascii="Inter" w:eastAsia="Inter" w:hAnsi="Inter" w:cs="Inter"/>
                          <w:color w:val="000000" w:themeColor="text1"/>
                          <w:u w:val="none"/>
                          <w:lang w:val="cs-CZ" w:bidi="cs-CZ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CC18B8" w:rsidRPr="003061AD" w:rsidSect="00785CBB">
      <w:headerReference w:type="default" r:id="rId23"/>
      <w:headerReference w:type="first" r:id="rId24"/>
      <w:footerReference w:type="first" r:id="rId25"/>
      <w:pgSz w:w="11900" w:h="16840"/>
      <w:pgMar w:top="2268" w:right="1417" w:bottom="1276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B3E" w14:textId="77777777" w:rsidR="001710C2" w:rsidRDefault="001710C2" w:rsidP="009844F9">
      <w:r>
        <w:separator/>
      </w:r>
    </w:p>
  </w:endnote>
  <w:endnote w:type="continuationSeparator" w:id="0">
    <w:p w14:paraId="29CA8A53" w14:textId="77777777" w:rsidR="001710C2" w:rsidRDefault="001710C2" w:rsidP="009844F9">
      <w:r>
        <w:continuationSeparator/>
      </w:r>
    </w:p>
  </w:endnote>
  <w:endnote w:type="continuationNotice" w:id="1">
    <w:p w14:paraId="01E463AA" w14:textId="77777777" w:rsidR="001710C2" w:rsidRDefault="001710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IX Two Text">
    <w:charset w:val="00"/>
    <w:family w:val="auto"/>
    <w:pitch w:val="variable"/>
    <w:sig w:usb0="A00002FF" w:usb1="0000001F" w:usb2="00000000" w:usb3="00000000" w:csb0="0000019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Times New Roman (Headings CS)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2745" w14:textId="77777777" w:rsidR="0069608C" w:rsidRDefault="00553F90" w:rsidP="0069608C">
    <w:pPr>
      <w:ind w:left="-426"/>
      <w:jc w:val="center"/>
      <w:rPr>
        <w:rFonts w:eastAsia="Arial"/>
        <w:b/>
        <w:bCs/>
        <w:sz w:val="14"/>
        <w:szCs w:val="14"/>
      </w:rPr>
    </w:pPr>
    <w:r w:rsidRPr="00553F90">
      <w:rPr>
        <w:rFonts w:eastAsia="Arial"/>
        <w:noProof/>
        <w:sz w:val="14"/>
        <w:szCs w:val="14"/>
        <w:shd w:val="clear" w:color="auto" w:fill="auto"/>
        <w:lang w:val="cs-CZ" w:bidi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47806B" wp14:editId="5216280A">
              <wp:simplePos x="0" y="0"/>
              <wp:positionH relativeFrom="column">
                <wp:posOffset>-890905</wp:posOffset>
              </wp:positionH>
              <wp:positionV relativeFrom="paragraph">
                <wp:posOffset>362162</wp:posOffset>
              </wp:positionV>
              <wp:extent cx="7543800" cy="270933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70933"/>
                      </a:xfrm>
                      <a:prstGeom prst="rect">
                        <a:avLst/>
                      </a:prstGeom>
                      <a:solidFill>
                        <a:srgbClr val="0077B3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4B35979A" id="Rechteck 4" o:spid="_x0000_s1026" style="position:absolute;margin-left:-70.15pt;margin-top:28.5pt;width:594pt;height:2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" fillcolor="#0077b3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F210" w14:textId="77777777" w:rsidR="001710C2" w:rsidRDefault="001710C2" w:rsidP="009844F9">
      <w:r>
        <w:separator/>
      </w:r>
    </w:p>
  </w:footnote>
  <w:footnote w:type="continuationSeparator" w:id="0">
    <w:p w14:paraId="446796E4" w14:textId="77777777" w:rsidR="001710C2" w:rsidRDefault="001710C2" w:rsidP="009844F9">
      <w:r>
        <w:continuationSeparator/>
      </w:r>
    </w:p>
  </w:footnote>
  <w:footnote w:type="continuationNotice" w:id="1">
    <w:p w14:paraId="0DB219A2" w14:textId="77777777" w:rsidR="001710C2" w:rsidRDefault="001710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0376" w14:textId="77777777" w:rsidR="00897B52" w:rsidRPr="00E57665" w:rsidRDefault="002B44FF" w:rsidP="0005724A">
    <w:pPr>
      <w:pStyle w:val="Zhlav"/>
    </w:pPr>
    <w:r w:rsidRPr="0066165B">
      <w:rPr>
        <w:noProof/>
        <w:highlight w:val="blue"/>
        <w:lang w:val="cs-CZ" w:bidi="cs-CZ"/>
      </w:rPr>
      <w:drawing>
        <wp:anchor distT="0" distB="0" distL="114300" distR="114300" simplePos="0" relativeHeight="251658243" behindDoc="0" locked="0" layoutInCell="1" allowOverlap="1" wp14:anchorId="1D2BB956" wp14:editId="3171D9CE">
          <wp:simplePos x="0" y="0"/>
          <wp:positionH relativeFrom="column">
            <wp:posOffset>-747</wp:posOffset>
          </wp:positionH>
          <wp:positionV relativeFrom="paragraph">
            <wp:posOffset>123190</wp:posOffset>
          </wp:positionV>
          <wp:extent cx="987136" cy="469323"/>
          <wp:effectExtent l="0" t="0" r="3810" b="63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136" cy="46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165B">
      <w:rPr>
        <w:noProof/>
        <w:highlight w:val="blue"/>
        <w:lang w:val="cs-CZ" w:bidi="cs-CZ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7BD8B33" wp14:editId="3D921BCA">
              <wp:simplePos x="0" y="0"/>
              <wp:positionH relativeFrom="page">
                <wp:posOffset>427355</wp:posOffset>
              </wp:positionH>
              <wp:positionV relativeFrom="page">
                <wp:posOffset>260985</wp:posOffset>
              </wp:positionV>
              <wp:extent cx="6767830" cy="755650"/>
              <wp:effectExtent l="0" t="0" r="1270" b="6350"/>
              <wp:wrapNone/>
              <wp:docPr id="589" name="Rechteck: abgerundete Ecken 5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7830" cy="755650"/>
                      </a:xfrm>
                      <a:prstGeom prst="roundRect">
                        <a:avLst>
                          <a:gd name="adj" fmla="val 9377"/>
                        </a:avLst>
                      </a:prstGeom>
                      <a:solidFill>
                        <a:srgbClr val="2870ED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E454B2" w14:textId="20B90243" w:rsidR="001D07BC" w:rsidRPr="00F064B6" w:rsidRDefault="00D2183A" w:rsidP="00962EBC">
                          <w:pPr>
                            <w:pStyle w:val="Info"/>
                            <w:spacing w:before="120" w:line="276" w:lineRule="auto"/>
                            <w:jc w:val="right"/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Inter" w:eastAsia="Inter" w:hAnsi="Inter" w:cs="Inter"/>
                              <w:b/>
                              <w:color w:val="FFFFFF" w:themeColor="background1"/>
                              <w:sz w:val="28"/>
                              <w:szCs w:val="52"/>
                              <w:lang w:val="cs-CZ" w:bidi="cs-CZ"/>
                            </w:rPr>
                            <w:t>Tisková zpráva</w:t>
                          </w:r>
                          <w:r w:rsidR="001D07BC" w:rsidRPr="00F064B6">
                            <w:rPr>
                              <w:rFonts w:ascii="Inter" w:eastAsia="Inter" w:hAnsi="Inter" w:cs="Inter"/>
                              <w:color w:val="FFFFFF" w:themeColor="background1"/>
                              <w:lang w:val="cs-CZ" w:bidi="cs-CZ"/>
                            </w:rPr>
                            <w:br/>
                          </w:r>
                          <w:r w:rsidR="00A85FA9" w:rsidRPr="00F064B6">
                            <w:rPr>
                              <w:rFonts w:ascii="Inter" w:eastAsia="Inter" w:hAnsi="Inter" w:cs="Inter"/>
                              <w:color w:val="FFFFFF" w:themeColor="background1"/>
                              <w:sz w:val="18"/>
                              <w:szCs w:val="32"/>
                              <w:lang w:val="cs-CZ" w:bidi="cs-CZ"/>
                            </w:rPr>
                            <w:t>Vídeň – 30. dubna 2025</w:t>
                          </w:r>
                        </w:p>
                        <w:p w14:paraId="0392233C" w14:textId="77777777" w:rsidR="002B44FF" w:rsidRPr="00962EBC" w:rsidRDefault="002B44FF" w:rsidP="001D07B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oundrect w14:anchorId="77BD8B33" id="Rechteck: abgerundete Ecken 589" o:spid="_x0000_s1027" style="position:absolute;margin-left:33.65pt;margin-top:20.55pt;width:532.9pt;height:59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" fillcolor="#2870ed" stroked="f" strokeweight=".25pt">
              <v:stroke joinstyle="miter"/>
              <v:textbox>
                <w:txbxContent>
                  <w:p w14:paraId="65E454B2" w14:textId="20B90243" w:rsidR="001D07BC" w:rsidRPr="00F064B6" w:rsidRDefault="00D2183A" w:rsidP="00962EBC">
                    <w:pPr>
                      <w:pStyle w:val="Info"/>
                      <w:spacing w:before="120" w:line="276" w:lineRule="auto"/>
                      <w:jc w:val="right"/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</w:pPr>
                    <w:r>
                      <w:rPr>
                        <w:rFonts w:ascii="Inter" w:eastAsia="Inter" w:hAnsi="Inter" w:cs="Inter"/>
                        <w:b/>
                        <w:color w:val="FFFFFF" w:themeColor="background1"/>
                        <w:sz w:val="28"/>
                        <w:szCs w:val="52"/>
                        <w:lang w:val="cs-CZ" w:bidi="cs-CZ"/>
                      </w:rPr>
                      <w:t>Tisková zpráva</w:t>
                    </w:r>
                    <w:r w:rsidR="001D07BC" w:rsidRPr="00F064B6">
                      <w:rPr>
                        <w:rFonts w:ascii="Inter" w:eastAsia="Inter" w:hAnsi="Inter" w:cs="Inter"/>
                        <w:color w:val="FFFFFF" w:themeColor="background1"/>
                        <w:lang w:val="cs-CZ" w:bidi="cs-CZ"/>
                      </w:rPr>
                      <w:br/>
                    </w:r>
                    <w:r w:rsidR="00A85FA9" w:rsidRPr="00F064B6">
                      <w:rPr>
                        <w:rFonts w:ascii="Inter" w:eastAsia="Inter" w:hAnsi="Inter" w:cs="Inter"/>
                        <w:color w:val="FFFFFF" w:themeColor="background1"/>
                        <w:sz w:val="18"/>
                        <w:szCs w:val="32"/>
                        <w:lang w:val="cs-CZ" w:bidi="cs-CZ"/>
                      </w:rPr>
                      <w:t>Vídeň – 30. dubna 2025</w:t>
                    </w:r>
                  </w:p>
                  <w:p w14:paraId="0392233C" w14:textId="77777777" w:rsidR="002B44FF" w:rsidRPr="00962EBC" w:rsidRDefault="002B44FF" w:rsidP="001D07BC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3A4E" w14:textId="77777777" w:rsidR="009844F9" w:rsidRDefault="00E67431">
    <w:pPr>
      <w:pStyle w:val="Zhlav"/>
    </w:pPr>
    <w:r w:rsidRPr="00E67431">
      <w:rPr>
        <w:noProof/>
        <w:lang w:val="cs-CZ" w:bidi="cs-CZ"/>
      </w:rPr>
      <w:drawing>
        <wp:anchor distT="0" distB="0" distL="114300" distR="114300" simplePos="0" relativeHeight="251658241" behindDoc="1" locked="0" layoutInCell="1" allowOverlap="1" wp14:anchorId="2940DC64" wp14:editId="3853B129">
          <wp:simplePos x="0" y="0"/>
          <wp:positionH relativeFrom="column">
            <wp:posOffset>3363595</wp:posOffset>
          </wp:positionH>
          <wp:positionV relativeFrom="paragraph">
            <wp:posOffset>146897</wp:posOffset>
          </wp:positionV>
          <wp:extent cx="2904490" cy="520700"/>
          <wp:effectExtent l="0" t="0" r="3810" b="0"/>
          <wp:wrapTight wrapText="bothSides">
            <wp:wrapPolygon edited="0">
              <wp:start x="0" y="0"/>
              <wp:lineTo x="0" y="21073"/>
              <wp:lineTo x="21534" y="21073"/>
              <wp:lineTo x="21534" y="0"/>
              <wp:lineTo x="0" y="0"/>
            </wp:wrapPolygon>
          </wp:wrapTight>
          <wp:docPr id="22" name="Grafik 22" descr="P:\01980394\OE0394\OE_ORD\PRESSE\E. ADMINISTRATION\Logos\Erste Bank\a_NEUE LOGOs ab Okt 2017\EBSPK_office_external-mate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1980394\OE0394\OE_ORD\PRESSE\E. ADMINISTRATION\Logos\Erste Bank\a_NEUE LOGOs ab Okt 2017\EBSPK_office_external-mater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4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431">
      <w:rPr>
        <w:noProof/>
        <w:lang w:val="cs-CZ" w:bidi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C03AA5" wp14:editId="5296DA74">
              <wp:simplePos x="0" y="0"/>
              <wp:positionH relativeFrom="page">
                <wp:posOffset>19262</wp:posOffset>
              </wp:positionH>
              <wp:positionV relativeFrom="page">
                <wp:posOffset>3387</wp:posOffset>
              </wp:positionV>
              <wp:extent cx="7560310" cy="1218565"/>
              <wp:effectExtent l="0" t="0" r="0" b="63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18565"/>
                      </a:xfrm>
                      <a:prstGeom prst="rect">
                        <a:avLst/>
                      </a:prstGeom>
                      <a:solidFill>
                        <a:srgbClr val="BCE4FA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438913" w14:textId="77777777" w:rsidR="00E67431" w:rsidRDefault="00E67431" w:rsidP="00E67431">
                          <w:pPr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497C"/>
                              <w:sz w:val="28"/>
                              <w:szCs w:val="28"/>
                            </w:rPr>
                          </w:pPr>
                        </w:p>
                        <w:p w14:paraId="74EE9B08" w14:textId="77777777" w:rsidR="00E67431" w:rsidRDefault="00E67431" w:rsidP="00E67431">
                          <w:pPr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497C"/>
                              <w:sz w:val="28"/>
                              <w:szCs w:val="28"/>
                            </w:rPr>
                          </w:pPr>
                        </w:p>
                        <w:p w14:paraId="00BE68C9" w14:textId="77777777" w:rsidR="00E67431" w:rsidRDefault="00E67431" w:rsidP="003C10CD">
                          <w:pPr>
                            <w:pStyle w:val="Nadpis3"/>
                            <w:spacing w:after="40"/>
                            <w:ind w:left="567" w:right="556"/>
                            <w:rPr>
                              <w:shd w:val="clear" w:color="auto" w:fill="auto"/>
                            </w:rPr>
                          </w:pPr>
                          <w:proofErr w:type="spellStart"/>
                          <w:r w:rsidRPr="00E67431">
                            <w:rPr>
                              <w:shd w:val="clear" w:color="auto" w:fill="auto"/>
                              <w:lang w:val="cs-CZ" w:bidi="cs-CZ"/>
                            </w:rPr>
                            <w:t>Presseaussendung</w:t>
                          </w:r>
                          <w:proofErr w:type="spellEnd"/>
                        </w:p>
                        <w:p w14:paraId="23C6A9A2" w14:textId="0D7BDD0D" w:rsidR="003C10CD" w:rsidRPr="003C10CD" w:rsidRDefault="003C10CD" w:rsidP="00711920">
                          <w:pPr>
                            <w:pStyle w:val="Datum"/>
                          </w:pPr>
                          <w:r w:rsidRPr="003C10CD">
                            <w:rPr>
                              <w:lang w:val="cs-CZ" w:bidi="cs-CZ"/>
                            </w:rPr>
                            <w:fldChar w:fldCharType="begin"/>
                          </w:r>
                          <w:r w:rsidRPr="003C10CD">
                            <w:rPr>
                              <w:lang w:val="cs-CZ" w:bidi="cs-CZ"/>
                            </w:rPr>
                            <w:instrText xml:space="preserve"> TIME \@ "d. MMMM yyyy" </w:instrText>
                          </w:r>
                          <w:r w:rsidRPr="003C10CD">
                            <w:rPr>
                              <w:lang w:val="cs-CZ" w:bidi="cs-CZ"/>
                            </w:rPr>
                            <w:fldChar w:fldCharType="separate"/>
                          </w:r>
                          <w:r w:rsidR="00937321">
                            <w:rPr>
                              <w:noProof/>
                              <w:lang w:val="cs-CZ" w:bidi="cs-CZ"/>
                            </w:rPr>
                            <w:t>29. dubna 2025</w:t>
                          </w:r>
                          <w:r w:rsidRPr="003C10CD">
                            <w:rPr>
                              <w:lang w:val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03AA5" id="Rechteck 2" o:spid="_x0000_s1028" style="position:absolute;margin-left:1.5pt;margin-top:.25pt;width:595.3pt;height:9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" fillcolor="#bce4fa" stroked="f">
              <v:textbox>
                <w:txbxContent>
                  <w:p w14:paraId="77438913" w14:textId="77777777" w:rsidR="00E67431" w:rsidRDefault="00E67431" w:rsidP="00E67431">
                    <w:pPr>
                      <w:rPr>
                        <w:rFonts w:ascii="Open Sans" w:eastAsia="Arial" w:hAnsi="Open Sans" w:cs="Open Sans"/>
                        <w:b/>
                        <w:bCs/>
                        <w:color w:val="00497C"/>
                        <w:sz w:val="28"/>
                        <w:szCs w:val="28"/>
                      </w:rPr>
                    </w:pPr>
                  </w:p>
                  <w:p w14:paraId="74EE9B08" w14:textId="77777777" w:rsidR="00E67431" w:rsidRDefault="00E67431" w:rsidP="00E67431">
                    <w:pPr>
                      <w:rPr>
                        <w:rFonts w:ascii="Open Sans" w:eastAsia="Arial" w:hAnsi="Open Sans" w:cs="Open Sans"/>
                        <w:b/>
                        <w:bCs/>
                        <w:color w:val="00497C"/>
                        <w:sz w:val="28"/>
                        <w:szCs w:val="28"/>
                      </w:rPr>
                    </w:pPr>
                  </w:p>
                  <w:p w14:paraId="00BE68C9" w14:textId="77777777" w:rsidR="00E67431" w:rsidRDefault="00E67431" w:rsidP="003C10CD">
                    <w:pPr>
                      <w:pStyle w:val="Nadpis3"/>
                      <w:spacing w:after="40"/>
                      <w:ind w:left="567" w:right="556"/>
                      <w:rPr>
                        <w:shd w:val="clear" w:color="auto" w:fill="auto"/>
                      </w:rPr>
                    </w:pPr>
                    <w:proofErr w:type="spellStart"/>
                    <w:r w:rsidRPr="00E67431">
                      <w:rPr>
                        <w:shd w:val="clear" w:color="auto" w:fill="auto"/>
                        <w:lang w:val="cs-CZ" w:bidi="cs-CZ"/>
                      </w:rPr>
                      <w:t>Presseaussendung</w:t>
                    </w:r>
                    <w:proofErr w:type="spellEnd"/>
                  </w:p>
                  <w:p w14:paraId="23C6A9A2" w14:textId="0D7BDD0D" w:rsidR="003C10CD" w:rsidRPr="003C10CD" w:rsidRDefault="003C10CD" w:rsidP="00711920">
                    <w:pPr>
                      <w:pStyle w:val="Datum"/>
                    </w:pPr>
                    <w:r w:rsidRPr="003C10CD">
                      <w:rPr>
                        <w:lang w:val="cs-CZ" w:bidi="cs-CZ"/>
                      </w:rPr>
                      <w:fldChar w:fldCharType="begin"/>
                    </w:r>
                    <w:r w:rsidRPr="003C10CD">
                      <w:rPr>
                        <w:lang w:val="cs-CZ" w:bidi="cs-CZ"/>
                      </w:rPr>
                      <w:instrText xml:space="preserve"> TIME \@ "d. MMMM yyyy" </w:instrText>
                    </w:r>
                    <w:r w:rsidRPr="003C10CD">
                      <w:rPr>
                        <w:lang w:val="cs-CZ" w:bidi="cs-CZ"/>
                      </w:rPr>
                      <w:fldChar w:fldCharType="separate"/>
                    </w:r>
                    <w:r w:rsidR="00937321">
                      <w:rPr>
                        <w:noProof/>
                        <w:lang w:val="cs-CZ" w:bidi="cs-CZ"/>
                      </w:rPr>
                      <w:t>29. dubna 2025</w:t>
                    </w:r>
                    <w:r w:rsidRPr="003C10CD">
                      <w:rPr>
                        <w:lang w:val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665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4D9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0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04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32D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A2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EC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EC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C6D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61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71B67"/>
    <w:multiLevelType w:val="hybridMultilevel"/>
    <w:tmpl w:val="6CC6400A"/>
    <w:lvl w:ilvl="0" w:tplc="85884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6232"/>
    <w:multiLevelType w:val="multilevel"/>
    <w:tmpl w:val="DFD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3643A"/>
    <w:multiLevelType w:val="hybridMultilevel"/>
    <w:tmpl w:val="80BA015E"/>
    <w:lvl w:ilvl="0" w:tplc="BABC3774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E34BE"/>
    <w:multiLevelType w:val="hybridMultilevel"/>
    <w:tmpl w:val="B1C45F4E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5D3B6693"/>
    <w:multiLevelType w:val="hybridMultilevel"/>
    <w:tmpl w:val="139499B8"/>
    <w:lvl w:ilvl="0" w:tplc="19205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B587E"/>
    <w:multiLevelType w:val="multilevel"/>
    <w:tmpl w:val="57B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9C7D64"/>
    <w:multiLevelType w:val="multilevel"/>
    <w:tmpl w:val="538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542518">
    <w:abstractNumId w:val="10"/>
  </w:num>
  <w:num w:numId="2" w16cid:durableId="561790537">
    <w:abstractNumId w:val="13"/>
  </w:num>
  <w:num w:numId="3" w16cid:durableId="2046561103">
    <w:abstractNumId w:val="0"/>
  </w:num>
  <w:num w:numId="4" w16cid:durableId="850411415">
    <w:abstractNumId w:val="1"/>
  </w:num>
  <w:num w:numId="5" w16cid:durableId="1728530227">
    <w:abstractNumId w:val="2"/>
  </w:num>
  <w:num w:numId="6" w16cid:durableId="1263806915">
    <w:abstractNumId w:val="3"/>
  </w:num>
  <w:num w:numId="7" w16cid:durableId="857625536">
    <w:abstractNumId w:val="8"/>
  </w:num>
  <w:num w:numId="8" w16cid:durableId="453066449">
    <w:abstractNumId w:val="4"/>
  </w:num>
  <w:num w:numId="9" w16cid:durableId="1890844800">
    <w:abstractNumId w:val="5"/>
  </w:num>
  <w:num w:numId="10" w16cid:durableId="815755602">
    <w:abstractNumId w:val="6"/>
  </w:num>
  <w:num w:numId="11" w16cid:durableId="374353736">
    <w:abstractNumId w:val="7"/>
  </w:num>
  <w:num w:numId="12" w16cid:durableId="304358698">
    <w:abstractNumId w:val="9"/>
  </w:num>
  <w:num w:numId="13" w16cid:durableId="1538738429">
    <w:abstractNumId w:val="12"/>
  </w:num>
  <w:num w:numId="14" w16cid:durableId="1955407901">
    <w:abstractNumId w:val="14"/>
  </w:num>
  <w:num w:numId="15" w16cid:durableId="661278191">
    <w:abstractNumId w:val="12"/>
    <w:lvlOverride w:ilvl="0">
      <w:startOverride w:val="1"/>
    </w:lvlOverride>
  </w:num>
  <w:num w:numId="16" w16cid:durableId="597297849">
    <w:abstractNumId w:val="12"/>
    <w:lvlOverride w:ilvl="0">
      <w:startOverride w:val="1"/>
    </w:lvlOverride>
  </w:num>
  <w:num w:numId="17" w16cid:durableId="726101513">
    <w:abstractNumId w:val="12"/>
    <w:lvlOverride w:ilvl="0">
      <w:startOverride w:val="1"/>
    </w:lvlOverride>
  </w:num>
  <w:num w:numId="18" w16cid:durableId="1403218969">
    <w:abstractNumId w:val="16"/>
  </w:num>
  <w:num w:numId="19" w16cid:durableId="193467291">
    <w:abstractNumId w:val="11"/>
  </w:num>
  <w:num w:numId="20" w16cid:durableId="1715809986">
    <w:abstractNumId w:val="15"/>
  </w:num>
  <w:num w:numId="21" w16cid:durableId="983852721">
    <w:abstractNumId w:val="12"/>
  </w:num>
  <w:num w:numId="22" w16cid:durableId="2123570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51"/>
    <w:rsid w:val="00021D4D"/>
    <w:rsid w:val="000222D3"/>
    <w:rsid w:val="00027A28"/>
    <w:rsid w:val="0005668A"/>
    <w:rsid w:val="0005724A"/>
    <w:rsid w:val="00060161"/>
    <w:rsid w:val="000639E7"/>
    <w:rsid w:val="00067770"/>
    <w:rsid w:val="00071C74"/>
    <w:rsid w:val="0007302D"/>
    <w:rsid w:val="000746A8"/>
    <w:rsid w:val="00080652"/>
    <w:rsid w:val="0008090D"/>
    <w:rsid w:val="000A5343"/>
    <w:rsid w:val="000B694D"/>
    <w:rsid w:val="000C7445"/>
    <w:rsid w:val="000C7C0C"/>
    <w:rsid w:val="000D1AFA"/>
    <w:rsid w:val="000D4287"/>
    <w:rsid w:val="000D7320"/>
    <w:rsid w:val="000E509A"/>
    <w:rsid w:val="000F23A3"/>
    <w:rsid w:val="001006BB"/>
    <w:rsid w:val="001072B6"/>
    <w:rsid w:val="00112F22"/>
    <w:rsid w:val="00113355"/>
    <w:rsid w:val="0011768D"/>
    <w:rsid w:val="00117FB4"/>
    <w:rsid w:val="00131718"/>
    <w:rsid w:val="00134865"/>
    <w:rsid w:val="00136920"/>
    <w:rsid w:val="00152EBF"/>
    <w:rsid w:val="001668A6"/>
    <w:rsid w:val="00167E7A"/>
    <w:rsid w:val="001710C2"/>
    <w:rsid w:val="001739E1"/>
    <w:rsid w:val="00187E4B"/>
    <w:rsid w:val="00191778"/>
    <w:rsid w:val="0019465C"/>
    <w:rsid w:val="00196F27"/>
    <w:rsid w:val="0019748B"/>
    <w:rsid w:val="001A2803"/>
    <w:rsid w:val="001B1F89"/>
    <w:rsid w:val="001C5B42"/>
    <w:rsid w:val="001D07BC"/>
    <w:rsid w:val="001D4FE8"/>
    <w:rsid w:val="001D508E"/>
    <w:rsid w:val="001D6751"/>
    <w:rsid w:val="001D6A7F"/>
    <w:rsid w:val="001D730C"/>
    <w:rsid w:val="001D745F"/>
    <w:rsid w:val="001E5EB6"/>
    <w:rsid w:val="00224C8A"/>
    <w:rsid w:val="0025182E"/>
    <w:rsid w:val="002539DD"/>
    <w:rsid w:val="00260790"/>
    <w:rsid w:val="002661DB"/>
    <w:rsid w:val="00280154"/>
    <w:rsid w:val="00291755"/>
    <w:rsid w:val="002977DF"/>
    <w:rsid w:val="002A0D59"/>
    <w:rsid w:val="002A220D"/>
    <w:rsid w:val="002A27C0"/>
    <w:rsid w:val="002B44FF"/>
    <w:rsid w:val="002B49C0"/>
    <w:rsid w:val="002B7D0C"/>
    <w:rsid w:val="002C18D8"/>
    <w:rsid w:val="002D10B2"/>
    <w:rsid w:val="002D42B3"/>
    <w:rsid w:val="002D5D4F"/>
    <w:rsid w:val="002D73C5"/>
    <w:rsid w:val="002F1921"/>
    <w:rsid w:val="002F1CBD"/>
    <w:rsid w:val="002F2A07"/>
    <w:rsid w:val="002F3D38"/>
    <w:rsid w:val="002F71C4"/>
    <w:rsid w:val="00302879"/>
    <w:rsid w:val="003061AD"/>
    <w:rsid w:val="00315858"/>
    <w:rsid w:val="00323F53"/>
    <w:rsid w:val="0033172B"/>
    <w:rsid w:val="003521DB"/>
    <w:rsid w:val="00356651"/>
    <w:rsid w:val="00380EDD"/>
    <w:rsid w:val="003914EE"/>
    <w:rsid w:val="00393B6C"/>
    <w:rsid w:val="003A7138"/>
    <w:rsid w:val="003B3C0A"/>
    <w:rsid w:val="003B6AED"/>
    <w:rsid w:val="003C10CD"/>
    <w:rsid w:val="003E2823"/>
    <w:rsid w:val="003E5DAD"/>
    <w:rsid w:val="003E7F90"/>
    <w:rsid w:val="003F420F"/>
    <w:rsid w:val="003F5CD5"/>
    <w:rsid w:val="003F5D63"/>
    <w:rsid w:val="00422422"/>
    <w:rsid w:val="00423C5C"/>
    <w:rsid w:val="00426162"/>
    <w:rsid w:val="004307B6"/>
    <w:rsid w:val="00431C8D"/>
    <w:rsid w:val="0043306E"/>
    <w:rsid w:val="00435013"/>
    <w:rsid w:val="00437697"/>
    <w:rsid w:val="004479C8"/>
    <w:rsid w:val="00454508"/>
    <w:rsid w:val="004547D8"/>
    <w:rsid w:val="00455E1D"/>
    <w:rsid w:val="004602D2"/>
    <w:rsid w:val="004677D1"/>
    <w:rsid w:val="00470F63"/>
    <w:rsid w:val="004B2716"/>
    <w:rsid w:val="004C0253"/>
    <w:rsid w:val="004E4798"/>
    <w:rsid w:val="004F1AB5"/>
    <w:rsid w:val="00506C14"/>
    <w:rsid w:val="00512320"/>
    <w:rsid w:val="0054376A"/>
    <w:rsid w:val="005503D9"/>
    <w:rsid w:val="00550881"/>
    <w:rsid w:val="005530C3"/>
    <w:rsid w:val="00553F90"/>
    <w:rsid w:val="00555D69"/>
    <w:rsid w:val="00556CEB"/>
    <w:rsid w:val="00557FF6"/>
    <w:rsid w:val="005611EC"/>
    <w:rsid w:val="0056412E"/>
    <w:rsid w:val="0057621C"/>
    <w:rsid w:val="00580D9F"/>
    <w:rsid w:val="00580FEC"/>
    <w:rsid w:val="00583F36"/>
    <w:rsid w:val="00584B98"/>
    <w:rsid w:val="00587FBD"/>
    <w:rsid w:val="00592FE0"/>
    <w:rsid w:val="00597A2D"/>
    <w:rsid w:val="005A16C2"/>
    <w:rsid w:val="005A4A85"/>
    <w:rsid w:val="005C139E"/>
    <w:rsid w:val="005C34A1"/>
    <w:rsid w:val="005C77CE"/>
    <w:rsid w:val="005D0010"/>
    <w:rsid w:val="005D155B"/>
    <w:rsid w:val="005D2D7A"/>
    <w:rsid w:val="005D40A0"/>
    <w:rsid w:val="005D5601"/>
    <w:rsid w:val="005E1A12"/>
    <w:rsid w:val="0060593E"/>
    <w:rsid w:val="00607AA1"/>
    <w:rsid w:val="0061228C"/>
    <w:rsid w:val="00612440"/>
    <w:rsid w:val="00615FF0"/>
    <w:rsid w:val="006215BD"/>
    <w:rsid w:val="00630EAE"/>
    <w:rsid w:val="0063358D"/>
    <w:rsid w:val="00636FF7"/>
    <w:rsid w:val="00644CC0"/>
    <w:rsid w:val="0064757E"/>
    <w:rsid w:val="00653108"/>
    <w:rsid w:val="006613AF"/>
    <w:rsid w:val="0066165B"/>
    <w:rsid w:val="00663059"/>
    <w:rsid w:val="00664280"/>
    <w:rsid w:val="00677111"/>
    <w:rsid w:val="00687982"/>
    <w:rsid w:val="0069608C"/>
    <w:rsid w:val="006A141D"/>
    <w:rsid w:val="006A3622"/>
    <w:rsid w:val="006A3921"/>
    <w:rsid w:val="006A47C9"/>
    <w:rsid w:val="006C4B16"/>
    <w:rsid w:val="006D207F"/>
    <w:rsid w:val="006D2313"/>
    <w:rsid w:val="006D6B2A"/>
    <w:rsid w:val="006E5BEE"/>
    <w:rsid w:val="006F1F39"/>
    <w:rsid w:val="00711293"/>
    <w:rsid w:val="007112BD"/>
    <w:rsid w:val="00711920"/>
    <w:rsid w:val="00711D5D"/>
    <w:rsid w:val="00711FD9"/>
    <w:rsid w:val="00713181"/>
    <w:rsid w:val="0071615B"/>
    <w:rsid w:val="007263E4"/>
    <w:rsid w:val="00736C4C"/>
    <w:rsid w:val="00745D18"/>
    <w:rsid w:val="007571EA"/>
    <w:rsid w:val="00757CC0"/>
    <w:rsid w:val="00764969"/>
    <w:rsid w:val="007711B0"/>
    <w:rsid w:val="00774E0D"/>
    <w:rsid w:val="0077704D"/>
    <w:rsid w:val="00781B84"/>
    <w:rsid w:val="00781C80"/>
    <w:rsid w:val="00785CBB"/>
    <w:rsid w:val="007A12A6"/>
    <w:rsid w:val="007B3D66"/>
    <w:rsid w:val="007C241A"/>
    <w:rsid w:val="007C4195"/>
    <w:rsid w:val="007D4273"/>
    <w:rsid w:val="007E45B9"/>
    <w:rsid w:val="007E4B3F"/>
    <w:rsid w:val="007E59D6"/>
    <w:rsid w:val="007E7419"/>
    <w:rsid w:val="007E7492"/>
    <w:rsid w:val="0080247D"/>
    <w:rsid w:val="00820694"/>
    <w:rsid w:val="0082079A"/>
    <w:rsid w:val="00831ED7"/>
    <w:rsid w:val="008355F4"/>
    <w:rsid w:val="0085607C"/>
    <w:rsid w:val="008568D5"/>
    <w:rsid w:val="00866234"/>
    <w:rsid w:val="00890B7D"/>
    <w:rsid w:val="00897B52"/>
    <w:rsid w:val="008A4E98"/>
    <w:rsid w:val="008A539B"/>
    <w:rsid w:val="008B419D"/>
    <w:rsid w:val="008E1FA8"/>
    <w:rsid w:val="008F4334"/>
    <w:rsid w:val="008F568D"/>
    <w:rsid w:val="009170AC"/>
    <w:rsid w:val="00920859"/>
    <w:rsid w:val="009238C5"/>
    <w:rsid w:val="00924544"/>
    <w:rsid w:val="009247A0"/>
    <w:rsid w:val="00937321"/>
    <w:rsid w:val="009408FA"/>
    <w:rsid w:val="00947639"/>
    <w:rsid w:val="00951C91"/>
    <w:rsid w:val="00962EBC"/>
    <w:rsid w:val="00974B5B"/>
    <w:rsid w:val="009826C8"/>
    <w:rsid w:val="009844F9"/>
    <w:rsid w:val="00990655"/>
    <w:rsid w:val="009955F5"/>
    <w:rsid w:val="009C06BB"/>
    <w:rsid w:val="009C1D5B"/>
    <w:rsid w:val="009C57D6"/>
    <w:rsid w:val="009C7387"/>
    <w:rsid w:val="009C7D32"/>
    <w:rsid w:val="009E0111"/>
    <w:rsid w:val="009E059C"/>
    <w:rsid w:val="00A00816"/>
    <w:rsid w:val="00A10285"/>
    <w:rsid w:val="00A1759F"/>
    <w:rsid w:val="00A239C0"/>
    <w:rsid w:val="00A23F87"/>
    <w:rsid w:val="00A24B0B"/>
    <w:rsid w:val="00A25DAA"/>
    <w:rsid w:val="00A315E1"/>
    <w:rsid w:val="00A32B4D"/>
    <w:rsid w:val="00A3785C"/>
    <w:rsid w:val="00A43CEA"/>
    <w:rsid w:val="00A4641A"/>
    <w:rsid w:val="00A55FE4"/>
    <w:rsid w:val="00A6002A"/>
    <w:rsid w:val="00A73A09"/>
    <w:rsid w:val="00A84C1A"/>
    <w:rsid w:val="00A85FA9"/>
    <w:rsid w:val="00A871C5"/>
    <w:rsid w:val="00A876E6"/>
    <w:rsid w:val="00A97970"/>
    <w:rsid w:val="00A97F87"/>
    <w:rsid w:val="00AA1D47"/>
    <w:rsid w:val="00AB0A61"/>
    <w:rsid w:val="00AB12A4"/>
    <w:rsid w:val="00AC3985"/>
    <w:rsid w:val="00AD6212"/>
    <w:rsid w:val="00AE2C02"/>
    <w:rsid w:val="00AE6275"/>
    <w:rsid w:val="00AF1580"/>
    <w:rsid w:val="00AF6E36"/>
    <w:rsid w:val="00B16425"/>
    <w:rsid w:val="00B16D68"/>
    <w:rsid w:val="00B2305D"/>
    <w:rsid w:val="00B3111E"/>
    <w:rsid w:val="00B368BB"/>
    <w:rsid w:val="00B36E02"/>
    <w:rsid w:val="00B6218A"/>
    <w:rsid w:val="00B65DBF"/>
    <w:rsid w:val="00B74C56"/>
    <w:rsid w:val="00B938F2"/>
    <w:rsid w:val="00B97411"/>
    <w:rsid w:val="00BA2B75"/>
    <w:rsid w:val="00BB1981"/>
    <w:rsid w:val="00BC24BB"/>
    <w:rsid w:val="00BC4088"/>
    <w:rsid w:val="00BC5E2E"/>
    <w:rsid w:val="00BC7769"/>
    <w:rsid w:val="00BC7DF6"/>
    <w:rsid w:val="00BD61C2"/>
    <w:rsid w:val="00BD6D0D"/>
    <w:rsid w:val="00BE1673"/>
    <w:rsid w:val="00BF0011"/>
    <w:rsid w:val="00BF0F8E"/>
    <w:rsid w:val="00BF52E2"/>
    <w:rsid w:val="00C1080F"/>
    <w:rsid w:val="00C31F96"/>
    <w:rsid w:val="00C359D1"/>
    <w:rsid w:val="00C50C0C"/>
    <w:rsid w:val="00C53995"/>
    <w:rsid w:val="00C5551A"/>
    <w:rsid w:val="00C5786B"/>
    <w:rsid w:val="00C60392"/>
    <w:rsid w:val="00C63738"/>
    <w:rsid w:val="00C67350"/>
    <w:rsid w:val="00C71EFA"/>
    <w:rsid w:val="00C76836"/>
    <w:rsid w:val="00C83853"/>
    <w:rsid w:val="00C87B53"/>
    <w:rsid w:val="00C93B0D"/>
    <w:rsid w:val="00C94C4E"/>
    <w:rsid w:val="00CA4B96"/>
    <w:rsid w:val="00CB126C"/>
    <w:rsid w:val="00CB3528"/>
    <w:rsid w:val="00CB4815"/>
    <w:rsid w:val="00CC0BF7"/>
    <w:rsid w:val="00CC18B8"/>
    <w:rsid w:val="00CC3F85"/>
    <w:rsid w:val="00CC6626"/>
    <w:rsid w:val="00CD519A"/>
    <w:rsid w:val="00CE05CE"/>
    <w:rsid w:val="00CE1435"/>
    <w:rsid w:val="00CF58BD"/>
    <w:rsid w:val="00CF67B6"/>
    <w:rsid w:val="00CF6A41"/>
    <w:rsid w:val="00CF7AA4"/>
    <w:rsid w:val="00D021AE"/>
    <w:rsid w:val="00D2183A"/>
    <w:rsid w:val="00D3103F"/>
    <w:rsid w:val="00D55211"/>
    <w:rsid w:val="00D5643A"/>
    <w:rsid w:val="00D71087"/>
    <w:rsid w:val="00D71BDB"/>
    <w:rsid w:val="00D75F8E"/>
    <w:rsid w:val="00D77402"/>
    <w:rsid w:val="00D8467A"/>
    <w:rsid w:val="00D86268"/>
    <w:rsid w:val="00D91525"/>
    <w:rsid w:val="00D95C9A"/>
    <w:rsid w:val="00D975B2"/>
    <w:rsid w:val="00DA2BED"/>
    <w:rsid w:val="00DC3127"/>
    <w:rsid w:val="00DC6F1B"/>
    <w:rsid w:val="00DD75B2"/>
    <w:rsid w:val="00DF2271"/>
    <w:rsid w:val="00E01C1E"/>
    <w:rsid w:val="00E0385E"/>
    <w:rsid w:val="00E1269F"/>
    <w:rsid w:val="00E271CE"/>
    <w:rsid w:val="00E3288D"/>
    <w:rsid w:val="00E355EE"/>
    <w:rsid w:val="00E53567"/>
    <w:rsid w:val="00E5507D"/>
    <w:rsid w:val="00E57665"/>
    <w:rsid w:val="00E630E9"/>
    <w:rsid w:val="00E66A6D"/>
    <w:rsid w:val="00E67431"/>
    <w:rsid w:val="00E77A46"/>
    <w:rsid w:val="00E809BC"/>
    <w:rsid w:val="00E837D9"/>
    <w:rsid w:val="00E95F2B"/>
    <w:rsid w:val="00EB0D7D"/>
    <w:rsid w:val="00EB2F91"/>
    <w:rsid w:val="00ED59B1"/>
    <w:rsid w:val="00EE1DAD"/>
    <w:rsid w:val="00EE1E32"/>
    <w:rsid w:val="00EE2893"/>
    <w:rsid w:val="00EE58D4"/>
    <w:rsid w:val="00EE774A"/>
    <w:rsid w:val="00F01CF9"/>
    <w:rsid w:val="00F03E0B"/>
    <w:rsid w:val="00F047C7"/>
    <w:rsid w:val="00F04DDA"/>
    <w:rsid w:val="00F064B6"/>
    <w:rsid w:val="00F21C96"/>
    <w:rsid w:val="00F234FE"/>
    <w:rsid w:val="00F23AB9"/>
    <w:rsid w:val="00F3095B"/>
    <w:rsid w:val="00F32690"/>
    <w:rsid w:val="00F50871"/>
    <w:rsid w:val="00F56C8E"/>
    <w:rsid w:val="00F65DD2"/>
    <w:rsid w:val="00F664E7"/>
    <w:rsid w:val="00F734F9"/>
    <w:rsid w:val="00F7399E"/>
    <w:rsid w:val="00F8607D"/>
    <w:rsid w:val="00F94D45"/>
    <w:rsid w:val="00FA4505"/>
    <w:rsid w:val="00FB3B2E"/>
    <w:rsid w:val="00FB6F12"/>
    <w:rsid w:val="00FB6F87"/>
    <w:rsid w:val="00FC1F9B"/>
    <w:rsid w:val="00FC2EF2"/>
    <w:rsid w:val="00FC3A18"/>
    <w:rsid w:val="00FC7C1A"/>
    <w:rsid w:val="00FD1B49"/>
    <w:rsid w:val="00FE02FC"/>
    <w:rsid w:val="169AD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45EF"/>
  <w15:chartTrackingRefBased/>
  <w15:docId w15:val="{D0616308-F47D-45B1-8403-A18955F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F9"/>
    <w:pPr>
      <w:spacing w:line="288" w:lineRule="auto"/>
    </w:pPr>
    <w:rPr>
      <w:rFonts w:ascii="Arial" w:hAnsi="Arial" w:cs="Arial"/>
      <w:sz w:val="20"/>
      <w:szCs w:val="20"/>
      <w:shd w:val="clear" w:color="auto" w:fill="FFFFFF"/>
      <w:lang w:val="de-AT" w:eastAsia="de-DE"/>
    </w:rPr>
  </w:style>
  <w:style w:type="paragraph" w:styleId="Nadpis1">
    <w:name w:val="heading 1"/>
    <w:basedOn w:val="Nzev"/>
    <w:next w:val="Normln"/>
    <w:link w:val="Nadpis1Char"/>
    <w:uiPriority w:val="9"/>
    <w:qFormat/>
    <w:rsid w:val="002B7D0C"/>
    <w:pPr>
      <w:outlineLvl w:val="0"/>
    </w:pPr>
    <w:rPr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7D0C"/>
    <w:pPr>
      <w:keepNext/>
      <w:keepLines/>
      <w:spacing w:before="40" w:after="120"/>
      <w:outlineLvl w:val="1"/>
    </w:pPr>
    <w:rPr>
      <w:rFonts w:eastAsiaTheme="majorEastAsia" w:cstheme="majorBidi"/>
      <w:b/>
      <w:bCs/>
      <w:color w:val="00497B"/>
      <w:sz w:val="40"/>
      <w:szCs w:val="4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B7D0C"/>
    <w:pPr>
      <w:outlineLvl w:val="2"/>
    </w:pPr>
    <w:rPr>
      <w:sz w:val="32"/>
      <w:szCs w:val="32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B7D0C"/>
    <w:p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qFormat/>
    <w:rsid w:val="00553F90"/>
    <w:rPr>
      <w:rFonts w:eastAsia="Arial"/>
      <w:color w:val="00497C"/>
      <w:sz w:val="14"/>
      <w:szCs w:val="14"/>
      <w:u w:val="singl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897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B52"/>
    <w:rPr>
      <w:noProof/>
      <w:lang w:val="de-AT"/>
    </w:rPr>
  </w:style>
  <w:style w:type="paragraph" w:styleId="Zpat">
    <w:name w:val="footer"/>
    <w:basedOn w:val="Normln"/>
    <w:link w:val="ZpatChar"/>
    <w:uiPriority w:val="99"/>
    <w:unhideWhenUsed/>
    <w:rsid w:val="00897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B52"/>
    <w:rPr>
      <w:noProof/>
      <w:lang w:val="de-AT"/>
    </w:rPr>
  </w:style>
  <w:style w:type="paragraph" w:styleId="Nzev">
    <w:name w:val="Title"/>
    <w:basedOn w:val="Normln"/>
    <w:next w:val="Normln"/>
    <w:link w:val="NzevChar"/>
    <w:uiPriority w:val="10"/>
    <w:qFormat/>
    <w:rsid w:val="00224C8A"/>
    <w:pPr>
      <w:tabs>
        <w:tab w:val="left" w:pos="4067"/>
      </w:tabs>
    </w:pPr>
    <w:rPr>
      <w:b/>
      <w:bCs/>
      <w:color w:val="00497B"/>
      <w:sz w:val="50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224C8A"/>
    <w:rPr>
      <w:rFonts w:ascii="Arial" w:hAnsi="Arial" w:cs="Arial"/>
      <w:b/>
      <w:bCs/>
      <w:noProof/>
      <w:color w:val="00497B"/>
      <w:sz w:val="50"/>
      <w:szCs w:val="50"/>
      <w:lang w:val="de-AT"/>
    </w:rPr>
  </w:style>
  <w:style w:type="character" w:customStyle="1" w:styleId="Nadpis2Char">
    <w:name w:val="Nadpis 2 Char"/>
    <w:basedOn w:val="Standardnpsmoodstavce"/>
    <w:link w:val="Nadpis2"/>
    <w:uiPriority w:val="9"/>
    <w:rsid w:val="002B7D0C"/>
    <w:rPr>
      <w:rFonts w:ascii="Arial" w:eastAsiaTheme="majorEastAsia" w:hAnsi="Arial" w:cstheme="majorBidi"/>
      <w:b/>
      <w:bCs/>
      <w:noProof/>
      <w:color w:val="00497B"/>
      <w:sz w:val="40"/>
      <w:szCs w:val="40"/>
      <w:lang w:val="de-AT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2B7D0C"/>
    <w:rPr>
      <w:rFonts w:ascii="Arial" w:hAnsi="Arial" w:cs="Arial"/>
      <w:b/>
      <w:bCs/>
      <w:noProof/>
      <w:color w:val="00497B"/>
      <w:sz w:val="56"/>
      <w:szCs w:val="56"/>
      <w:lang w:val="de-AT"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2B7D0C"/>
    <w:rPr>
      <w:rFonts w:ascii="Arial" w:eastAsiaTheme="majorEastAsia" w:hAnsi="Arial" w:cstheme="majorBidi"/>
      <w:b/>
      <w:bCs/>
      <w:noProof/>
      <w:color w:val="00497B"/>
      <w:sz w:val="32"/>
      <w:szCs w:val="32"/>
      <w:lang w:val="de-AT" w:eastAsia="de-DE"/>
    </w:rPr>
  </w:style>
  <w:style w:type="paragraph" w:customStyle="1" w:styleId="berschrift3mitHintergrund">
    <w:name w:val="Überschrift 3 mit Hintergrund"/>
    <w:basedOn w:val="Nadpis3"/>
    <w:qFormat/>
    <w:rsid w:val="00E57665"/>
    <w:pPr>
      <w:shd w:val="clear" w:color="auto" w:fill="A3C0D7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576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7665"/>
    <w:rPr>
      <w:rFonts w:ascii="Arial" w:hAnsi="Arial" w:cs="Arial"/>
      <w:i/>
      <w:iCs/>
      <w:noProof/>
      <w:color w:val="4472C4" w:themeColor="accent1"/>
      <w:sz w:val="20"/>
      <w:szCs w:val="20"/>
      <w:lang w:val="de-AT" w:eastAsia="de-DE"/>
    </w:rPr>
  </w:style>
  <w:style w:type="paragraph" w:styleId="Odstavecseseznamem">
    <w:name w:val="List Paragraph"/>
    <w:basedOn w:val="Normln"/>
    <w:uiPriority w:val="34"/>
    <w:qFormat/>
    <w:rsid w:val="00AC3985"/>
    <w:pPr>
      <w:numPr>
        <w:numId w:val="13"/>
      </w:numPr>
      <w:ind w:right="986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2B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2B7D0C"/>
    <w:rPr>
      <w:rFonts w:ascii="Arial" w:eastAsiaTheme="majorEastAsia" w:hAnsi="Arial" w:cstheme="majorBidi"/>
      <w:b/>
      <w:bCs/>
      <w:noProof/>
      <w:color w:val="00497B"/>
      <w:lang w:val="de-AT" w:eastAsia="de-DE"/>
    </w:rPr>
  </w:style>
  <w:style w:type="character" w:customStyle="1" w:styleId="UnresolvedMention1">
    <w:name w:val="Unresolved Mention1"/>
    <w:basedOn w:val="Standardnpsmoodstavce"/>
    <w:uiPriority w:val="99"/>
    <w:rsid w:val="005A4A85"/>
    <w:rPr>
      <w:color w:val="605E5C"/>
      <w:shd w:val="clear" w:color="auto" w:fill="E1DFDD"/>
    </w:rPr>
  </w:style>
  <w:style w:type="paragraph" w:customStyle="1" w:styleId="Aufzhlung">
    <w:name w:val="Aufzählung"/>
    <w:basedOn w:val="Normln"/>
    <w:uiPriority w:val="1"/>
    <w:qFormat/>
    <w:rsid w:val="00E67431"/>
    <w:pPr>
      <w:spacing w:line="320" w:lineRule="atLeast"/>
      <w:jc w:val="both"/>
    </w:pPr>
    <w:rPr>
      <w:rFonts w:ascii="Helvetica" w:eastAsia="Helvetica" w:hAnsi="Helvetica" w:cs="Helvetica"/>
      <w:sz w:val="24"/>
      <w:szCs w:val="24"/>
      <w:shd w:val="clear" w:color="auto" w:fill="auto"/>
      <w:lang w:eastAsia="de-AT" w:bidi="de-AT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unhideWhenUsed/>
    <w:rsid w:val="00E67431"/>
    <w:pPr>
      <w:spacing w:line="240" w:lineRule="auto"/>
    </w:pPr>
    <w:rPr>
      <w:rFonts w:eastAsia="Calibri" w:cs="Times New Roman"/>
      <w:shd w:val="clear" w:color="auto" w:fill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7431"/>
    <w:rPr>
      <w:rFonts w:ascii="Arial" w:eastAsia="Calibri" w:hAnsi="Arial" w:cs="Times New Roman"/>
      <w:sz w:val="20"/>
      <w:szCs w:val="20"/>
      <w:lang w:val="de-AT"/>
    </w:rPr>
  </w:style>
  <w:style w:type="character" w:styleId="Siln">
    <w:name w:val="Strong"/>
    <w:basedOn w:val="Standardnpsmoodstavce"/>
    <w:uiPriority w:val="22"/>
    <w:qFormat/>
    <w:rsid w:val="0069608C"/>
    <w:rPr>
      <w:b/>
      <w:bCs/>
    </w:rPr>
  </w:style>
  <w:style w:type="character" w:styleId="Sledovanodkaz">
    <w:name w:val="FollowedHyperlink"/>
    <w:basedOn w:val="Hypertextovodkaz"/>
    <w:uiPriority w:val="99"/>
    <w:unhideWhenUsed/>
    <w:rsid w:val="00553F90"/>
    <w:rPr>
      <w:rFonts w:eastAsia="Arial"/>
      <w:color w:val="00497C"/>
      <w:sz w:val="14"/>
      <w:szCs w:val="14"/>
      <w:u w:val="single"/>
      <w:shd w:val="clear" w:color="auto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553F90"/>
    <w:rPr>
      <w:sz w:val="16"/>
      <w:szCs w:val="16"/>
    </w:rPr>
  </w:style>
  <w:style w:type="paragraph" w:styleId="Datum">
    <w:name w:val="Date"/>
    <w:basedOn w:val="Normln"/>
    <w:next w:val="Normln"/>
    <w:link w:val="DatumChar"/>
    <w:autoRedefine/>
    <w:uiPriority w:val="99"/>
    <w:unhideWhenUsed/>
    <w:rsid w:val="00711920"/>
    <w:pPr>
      <w:ind w:left="567"/>
    </w:pPr>
    <w:rPr>
      <w:color w:val="00497B"/>
      <w:shd w:val="clear" w:color="auto" w:fill="auto"/>
    </w:rPr>
  </w:style>
  <w:style w:type="character" w:customStyle="1" w:styleId="DatumChar">
    <w:name w:val="Datum Char"/>
    <w:basedOn w:val="Standardnpsmoodstavce"/>
    <w:link w:val="Datum"/>
    <w:uiPriority w:val="99"/>
    <w:rsid w:val="00711920"/>
    <w:rPr>
      <w:rFonts w:ascii="Arial" w:hAnsi="Arial" w:cs="Arial"/>
      <w:noProof/>
      <w:color w:val="00497B"/>
      <w:sz w:val="20"/>
      <w:szCs w:val="20"/>
      <w:lang w:val="de-AT" w:eastAsia="de-DE"/>
    </w:rPr>
  </w:style>
  <w:style w:type="paragraph" w:customStyle="1" w:styleId="Zitat1">
    <w:name w:val="Zitat1"/>
    <w:basedOn w:val="Normln"/>
    <w:qFormat/>
    <w:rsid w:val="00745D18"/>
    <w:pPr>
      <w:spacing w:line="312" w:lineRule="auto"/>
      <w:ind w:left="459" w:right="312"/>
    </w:pPr>
    <w:rPr>
      <w:i/>
      <w:iCs/>
      <w:color w:val="00497C"/>
      <w:shd w:val="clear" w:color="auto" w:fill="auto"/>
    </w:rPr>
  </w:style>
  <w:style w:type="paragraph" w:customStyle="1" w:styleId="QuoteIn-Text">
    <w:name w:val="Quote In-Text"/>
    <w:basedOn w:val="Normln"/>
    <w:next w:val="Normln"/>
    <w:link w:val="QuoteIn-TextZchn"/>
    <w:qFormat/>
    <w:rsid w:val="00AC3985"/>
    <w:rPr>
      <w:i/>
      <w:iCs/>
      <w:color w:val="000000" w:themeColor="text1"/>
      <w:shd w:val="clear" w:color="auto" w:fill="auto"/>
    </w:rPr>
  </w:style>
  <w:style w:type="character" w:customStyle="1" w:styleId="QuoteIn-TextZchn">
    <w:name w:val="Quote In-Text Zchn"/>
    <w:basedOn w:val="Standardnpsmoodstavce"/>
    <w:link w:val="QuoteIn-Text"/>
    <w:rsid w:val="00AC3985"/>
    <w:rPr>
      <w:rFonts w:ascii="Arial" w:hAnsi="Arial" w:cs="Arial"/>
      <w:i/>
      <w:iCs/>
      <w:noProof/>
      <w:color w:val="000000" w:themeColor="text1"/>
      <w:sz w:val="20"/>
      <w:szCs w:val="20"/>
      <w:lang w:val="de-AT" w:eastAsia="de-DE"/>
    </w:rPr>
  </w:style>
  <w:style w:type="paragraph" w:customStyle="1" w:styleId="Default">
    <w:name w:val="Default"/>
    <w:rsid w:val="005503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Externer-Hyperlink">
    <w:name w:val="Externer-Hyperlink"/>
    <w:basedOn w:val="Normln"/>
    <w:qFormat/>
    <w:rsid w:val="005C34A1"/>
    <w:rPr>
      <w:b/>
      <w:bCs/>
      <w:color w:val="00497C"/>
      <w:u w:val="single"/>
    </w:rPr>
  </w:style>
  <w:style w:type="paragraph" w:customStyle="1" w:styleId="Credits">
    <w:name w:val="Credits"/>
    <w:basedOn w:val="Normln"/>
    <w:qFormat/>
    <w:rsid w:val="005C34A1"/>
    <w:rPr>
      <w:sz w:val="16"/>
      <w:szCs w:val="16"/>
    </w:rPr>
  </w:style>
  <w:style w:type="paragraph" w:customStyle="1" w:styleId="berschrift-Kopfzeile">
    <w:name w:val="Überschrift-Kopfzeile"/>
    <w:basedOn w:val="Nadpis3"/>
    <w:qFormat/>
    <w:rsid w:val="00584B98"/>
    <w:pPr>
      <w:spacing w:after="40"/>
      <w:ind w:left="567" w:right="556"/>
    </w:pPr>
    <w:rPr>
      <w:shd w:val="clear" w:color="auto" w:fill="auto"/>
    </w:rPr>
  </w:style>
  <w:style w:type="paragraph" w:customStyle="1" w:styleId="ListenabsatzFliesstext">
    <w:name w:val="Listenabsatz Fliesstext"/>
    <w:basedOn w:val="Odstavecseseznamem"/>
    <w:qFormat/>
    <w:rsid w:val="00AC3985"/>
    <w:rPr>
      <w:sz w:val="20"/>
      <w:szCs w:val="20"/>
    </w:rPr>
  </w:style>
  <w:style w:type="paragraph" w:styleId="Bezmezer">
    <w:name w:val="No Spacing"/>
    <w:uiPriority w:val="1"/>
    <w:qFormat/>
    <w:rsid w:val="00A23F87"/>
    <w:rPr>
      <w:rFonts w:ascii="Arial" w:eastAsia="Calibri" w:hAnsi="Arial" w:cs="Times New Roman"/>
      <w:sz w:val="22"/>
      <w:szCs w:val="22"/>
      <w:lang w:val="de-AT"/>
    </w:rPr>
  </w:style>
  <w:style w:type="paragraph" w:customStyle="1" w:styleId="Info">
    <w:name w:val="Info"/>
    <w:basedOn w:val="Normln"/>
    <w:uiPriority w:val="11"/>
    <w:qFormat/>
    <w:rsid w:val="001D07BC"/>
    <w:pPr>
      <w:spacing w:line="169" w:lineRule="exact"/>
    </w:pPr>
    <w:rPr>
      <w:rFonts w:asciiTheme="minorHAnsi" w:hAnsiTheme="minorHAnsi" w:cstheme="minorBidi"/>
      <w:color w:val="000000" w:themeColor="text1"/>
      <w:sz w:val="13"/>
      <w:szCs w:val="22"/>
      <w:shd w:val="clear" w:color="auto" w:fill="auto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E32"/>
    <w:rPr>
      <w:rFonts w:eastAsiaTheme="minorHAnsi" w:cs="Arial"/>
      <w:b/>
      <w:bCs/>
      <w:noProof/>
      <w:shd w:val="clear" w:color="auto" w:fill="FFFFFF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E32"/>
    <w:rPr>
      <w:rFonts w:ascii="Arial" w:eastAsia="Calibri" w:hAnsi="Arial" w:cs="Arial"/>
      <w:b/>
      <w:bCs/>
      <w:noProof/>
      <w:sz w:val="20"/>
      <w:szCs w:val="20"/>
      <w:lang w:val="de-AT" w:eastAsia="de-DE"/>
    </w:rPr>
  </w:style>
  <w:style w:type="paragraph" w:styleId="Revize">
    <w:name w:val="Revision"/>
    <w:hidden/>
    <w:uiPriority w:val="99"/>
    <w:semiHidden/>
    <w:rsid w:val="0011768D"/>
    <w:rPr>
      <w:rFonts w:ascii="Arial" w:hAnsi="Arial" w:cs="Arial"/>
      <w:noProof/>
      <w:sz w:val="20"/>
      <w:szCs w:val="20"/>
      <w:shd w:val="clear" w:color="auto" w:fill="FFFFFF"/>
      <w:lang w:val="de-AT" w:eastAsia="de-DE"/>
    </w:rPr>
  </w:style>
  <w:style w:type="character" w:customStyle="1" w:styleId="FettimText">
    <w:name w:val="Fett im Text"/>
    <w:uiPriority w:val="1"/>
    <w:qFormat/>
    <w:rsid w:val="00C53995"/>
    <w:rPr>
      <w:rFonts w:ascii="STIX Two Text" w:hAnsi="STIX Two Text"/>
      <w:b/>
    </w:rPr>
  </w:style>
  <w:style w:type="character" w:customStyle="1" w:styleId="a">
    <w:name w:val="Другое_"/>
    <w:basedOn w:val="Standardnpsmoodstavce"/>
    <w:link w:val="a0"/>
    <w:rsid w:val="002F2A07"/>
    <w:rPr>
      <w:rFonts w:ascii="Arial" w:eastAsia="Arial" w:hAnsi="Arial" w:cs="Arial"/>
      <w:color w:val="373F54"/>
      <w:sz w:val="20"/>
      <w:szCs w:val="20"/>
    </w:rPr>
  </w:style>
  <w:style w:type="paragraph" w:customStyle="1" w:styleId="a0">
    <w:name w:val="Другое"/>
    <w:basedOn w:val="Normln"/>
    <w:link w:val="a"/>
    <w:rsid w:val="002F2A07"/>
    <w:pPr>
      <w:widowControl w:val="0"/>
      <w:spacing w:line="240" w:lineRule="auto"/>
      <w:ind w:firstLine="140"/>
    </w:pPr>
    <w:rPr>
      <w:rFonts w:eastAsia="Arial"/>
      <w:color w:val="373F54"/>
      <w:shd w:val="clear" w:color="auto" w:fill="auto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klopf@erstegroup.com" TargetMode="External"/><Relationship Id="rId18" Type="http://schemas.openxmlformats.org/officeDocument/2006/relationships/hyperlink" Target="mailto:martin.sonn-wende@erstegroup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rstegroup.com/en/news-medi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rtin.sonn-wende@erstegroup.com" TargetMode="External"/><Relationship Id="rId17" Type="http://schemas.openxmlformats.org/officeDocument/2006/relationships/hyperlink" Target="mailto:margarita.thiel@erstegroup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sse@erstebank.at" TargetMode="External"/><Relationship Id="rId20" Type="http://schemas.openxmlformats.org/officeDocument/2006/relationships/hyperlink" Target="mailto:marvin.aschinger@erste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arita.thiel@erstegroup.com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erstegroup.com/en/news-media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peter.klopf@erste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vin.aschinger@erstegroup.com" TargetMode="External"/><Relationship Id="rId22" Type="http://schemas.openxmlformats.org/officeDocument/2006/relationships/hyperlink" Target="mailto:presse@erstebank.a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TaxCatchAll xmlns="c2323869-9312-41a6-b73b-7b8186d7ec70" xsi:nil="true"/>
    <lcf76f155ced4ddcb4097134ff3c332f xmlns="4fbe574a-ea71-4a7a-8b6c-7f8379c27a3b">
      <Terms xmlns="http://schemas.microsoft.com/office/infopath/2007/PartnerControls"/>
    </lcf76f155ced4ddcb4097134ff3c332f>
    <cwdf xmlns="4fbe574a-ea71-4a7a-8b6c-7f8379c27a3b">
      <UserInfo>
        <DisplayName/>
        <AccountId xsi:nil="true"/>
        <AccountType/>
      </UserInfo>
    </cwdf>
    <Ordnertyp xmlns="4fbe574a-ea71-4a7a-8b6c-7f8379c27a3b">Projektordner</Ordnertyp>
    <Ordnerart xmlns="4fbe574a-ea71-4a7a-8b6c-7f8379c27a3b">Projektordner</Ordnerar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EF6D673F6C444A56AD1A69ED879D5" ma:contentTypeVersion="27" ma:contentTypeDescription="Create a new document." ma:contentTypeScope="" ma:versionID="6d4daa362aadb486fb41c4cc955efebe">
  <xsd:schema xmlns:xsd="http://www.w3.org/2001/XMLSchema" xmlns:xs="http://www.w3.org/2001/XMLSchema" xmlns:p="http://schemas.microsoft.com/office/2006/metadata/properties" xmlns:ns1="http://schemas.microsoft.com/sharepoint/v3" xmlns:ns2="4fbe574a-ea71-4a7a-8b6c-7f8379c27a3b" xmlns:ns3="c2323869-9312-41a6-b73b-7b8186d7ec70" xmlns:ns4="http://schemas.microsoft.com/sharepoint/v4" targetNamespace="http://schemas.microsoft.com/office/2006/metadata/properties" ma:root="true" ma:fieldsID="d83ecdb2d50dd7884806a39175ce36bf" ns1:_="" ns2:_="" ns3:_="" ns4:_="">
    <xsd:import namespace="http://schemas.microsoft.com/sharepoint/v3"/>
    <xsd:import namespace="4fbe574a-ea71-4a7a-8b6c-7f8379c27a3b"/>
    <xsd:import namespace="c2323869-9312-41a6-b73b-7b8186d7ec7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cwdf" minOccurs="0"/>
                <xsd:element ref="ns2:MediaServiceBillingMetadata" minOccurs="0"/>
                <xsd:element ref="ns2:Ordnerart" minOccurs="0"/>
                <xsd:element ref="ns2:Ordner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574a-ea71-4a7a-8b6c-7f8379c2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wdf" ma:index="29" nillable="true" ma:displayName="cwdf" ma:description="GR" ma:format="Dropdown" ma:list="UserInfo" ma:SharePointGroup="0" ma:internalName="cwd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Ordnerart" ma:index="31" nillable="true" ma:displayName="Ordnerart" ma:default="Projektordner" ma:format="Dropdown" ma:internalName="Ordnerart">
      <xsd:simpleType>
        <xsd:restriction base="dms:Choice">
          <xsd:enumeration value="Genereller Ordner"/>
          <xsd:enumeration value="Projektordner"/>
          <xsd:enumeration value="Jahresordner"/>
        </xsd:restriction>
      </xsd:simpleType>
    </xsd:element>
    <xsd:element name="Ordnertyp" ma:index="32" nillable="true" ma:displayName="Ordnertyp" ma:default="Projektordner" ma:format="RadioButtons" ma:internalName="Ordnertyp">
      <xsd:simpleType>
        <xsd:restriction base="dms:Choice">
          <xsd:enumeration value="Projektordner"/>
          <xsd:enumeration value="Jahresordner"/>
          <xsd:enumeration value="Genereller Ordn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23869-9312-41a6-b73b-7b8186d7e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8366b5-4854-423f-9ece-b76b9890fd11}" ma:internalName="TaxCatchAll" ma:showField="CatchAllData" ma:web="c2323869-9312-41a6-b73b-7b8186d7e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F4E33-DEAC-4DAA-9AD4-412F9ADAD9C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c2323869-9312-41a6-b73b-7b8186d7ec70"/>
    <ds:schemaRef ds:uri="4fbe574a-ea71-4a7a-8b6c-7f8379c27a3b"/>
  </ds:schemaRefs>
</ds:datastoreItem>
</file>

<file path=customXml/itemProps2.xml><?xml version="1.0" encoding="utf-8"?>
<ds:datastoreItem xmlns:ds="http://schemas.openxmlformats.org/officeDocument/2006/customXml" ds:itemID="{D634103A-8CAF-486F-A23F-AF4FFBD04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65506-BF73-4BA7-AE85-D7D92B6E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be574a-ea71-4a7a-8b6c-7f8379c27a3b"/>
    <ds:schemaRef ds:uri="c2323869-9312-41a6-b73b-7b8186d7ec7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C5707-1DCB-4AAC-9DE9-802E974CD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1638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11285</CharactersWithSpaces>
  <SharedDoc>false</SharedDoc>
  <HLinks>
    <vt:vector size="36" baseType="variant">
      <vt:variant>
        <vt:i4>1310774</vt:i4>
      </vt:variant>
      <vt:variant>
        <vt:i4>15</vt:i4>
      </vt:variant>
      <vt:variant>
        <vt:i4>0</vt:i4>
      </vt:variant>
      <vt:variant>
        <vt:i4>5</vt:i4>
      </vt:variant>
      <vt:variant>
        <vt:lpwstr>mailto:presse@erstebank.at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https://www.erstegroup.com/en/news-media</vt:lpwstr>
      </vt:variant>
      <vt:variant>
        <vt:lpwstr/>
      </vt:variant>
      <vt:variant>
        <vt:i4>1704056</vt:i4>
      </vt:variant>
      <vt:variant>
        <vt:i4>9</vt:i4>
      </vt:variant>
      <vt:variant>
        <vt:i4>0</vt:i4>
      </vt:variant>
      <vt:variant>
        <vt:i4>5</vt:i4>
      </vt:variant>
      <vt:variant>
        <vt:lpwstr>mailto:marvin.aschinger@erstegroup.com</vt:lpwstr>
      </vt:variant>
      <vt:variant>
        <vt:lpwstr/>
      </vt:variant>
      <vt:variant>
        <vt:i4>4390949</vt:i4>
      </vt:variant>
      <vt:variant>
        <vt:i4>6</vt:i4>
      </vt:variant>
      <vt:variant>
        <vt:i4>0</vt:i4>
      </vt:variant>
      <vt:variant>
        <vt:i4>5</vt:i4>
      </vt:variant>
      <vt:variant>
        <vt:lpwstr>mailto:peter.klopf@erstegroup.com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mailto:martin.sonn-wende@erstegroup.com</vt:lpwstr>
      </vt:variant>
      <vt:variant>
        <vt:lpwstr/>
      </vt:variant>
      <vt:variant>
        <vt:i4>5242932</vt:i4>
      </vt:variant>
      <vt:variant>
        <vt:i4>0</vt:i4>
      </vt:variant>
      <vt:variant>
        <vt:i4>0</vt:i4>
      </vt:variant>
      <vt:variant>
        <vt:i4>5</vt:i4>
      </vt:variant>
      <vt:variant>
        <vt:lpwstr>mailto:margarita.thiel@erstegroup.com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Klopf</dc:creator>
  <cp:keywords/>
  <dc:description/>
  <cp:lastModifiedBy>Bouc František</cp:lastModifiedBy>
  <cp:revision>2</cp:revision>
  <cp:lastPrinted>2025-04-25T16:19:00Z</cp:lastPrinted>
  <dcterms:created xsi:type="dcterms:W3CDTF">2025-04-29T16:11:00Z</dcterms:created>
  <dcterms:modified xsi:type="dcterms:W3CDTF">2025-04-29T16:11:00Z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0x010100409EF6D673F6C444A56AD1A69ED879D5</vt:lpwstr>
  </property>
  <property fmtid="{D5CDD505-2E9C-101B-9397-08002B2CF9AE}" pid="3" name="MediaServiceImageTags">
    <vt:lpwstr/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2025-04-25T12:48:36Z</vt:lpwstr>
  </property>
  <property fmtid="{D5CDD505-2E9C-101B-9397-08002B2CF9AE}" pid="6" name="MSIP_Label_38939b85-7e40-4a1d-91e1-0e84c3b219d7_Method">
    <vt:lpwstr>Privileged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4ea7e129-8015-4c13-8b39-d95537ec838d</vt:lpwstr>
  </property>
  <property fmtid="{D5CDD505-2E9C-101B-9397-08002B2CF9AE}" pid="10" name="MSIP_Label_38939b85-7e40-4a1d-91e1-0e84c3b219d7_ContentBits">
    <vt:lpwstr>0</vt:lpwstr>
  </property>
  <property fmtid="{D5CDD505-2E9C-101B-9397-08002B2CF9AE}" pid="11" name="MSIP_Label_38939b85-7e40-4a1d-91e1-0e84c3b219d7_Tag">
    <vt:lpwstr>50, 0, 1, 1</vt:lpwstr>
  </property>
</Properties>
</file>