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223F" w14:textId="40EABB9B" w:rsidR="00A23F87" w:rsidRPr="0068068B" w:rsidRDefault="00777A92" w:rsidP="00A23F87">
      <w:pPr>
        <w:pStyle w:val="Nadpis2"/>
        <w:rPr>
          <w:rStyle w:val="Siln"/>
          <w:rFonts w:ascii="Inter" w:hAnsi="Inter"/>
          <w:b/>
          <w:bCs/>
          <w:color w:val="auto"/>
          <w:lang w:val="en-US"/>
        </w:rPr>
      </w:pPr>
      <w:r>
        <w:rPr>
          <w:rFonts w:ascii="Inter" w:hAnsi="Inter"/>
          <w:color w:val="auto"/>
          <w:lang w:val="en-US"/>
        </w:rPr>
        <w:t xml:space="preserve">Annual results 2023: </w:t>
      </w:r>
      <w:r w:rsidR="00624526">
        <w:rPr>
          <w:rFonts w:ascii="Inter" w:hAnsi="Inter"/>
          <w:color w:val="auto"/>
          <w:lang w:val="en-US"/>
        </w:rPr>
        <w:t>Robust business performance and</w:t>
      </w:r>
      <w:r w:rsidR="0068068B" w:rsidRPr="0068068B">
        <w:rPr>
          <w:rFonts w:ascii="Inter" w:hAnsi="Inter"/>
          <w:color w:val="auto"/>
          <w:lang w:val="en-US"/>
        </w:rPr>
        <w:t xml:space="preserve"> </w:t>
      </w:r>
      <w:r w:rsidR="00624526">
        <w:rPr>
          <w:rFonts w:ascii="Inter" w:hAnsi="Inter"/>
          <w:color w:val="auto"/>
          <w:lang w:val="en-US"/>
        </w:rPr>
        <w:t xml:space="preserve">strong </w:t>
      </w:r>
      <w:r w:rsidR="003476AD">
        <w:rPr>
          <w:rFonts w:ascii="Inter" w:hAnsi="Inter"/>
          <w:color w:val="auto"/>
          <w:lang w:val="en-US"/>
        </w:rPr>
        <w:t>capital base</w:t>
      </w:r>
    </w:p>
    <w:p w14:paraId="53119E0E" w14:textId="77777777" w:rsidR="00A23F87" w:rsidRPr="0068068B" w:rsidRDefault="00A23F87" w:rsidP="00A23F87">
      <w:pPr>
        <w:rPr>
          <w:rFonts w:ascii="Inter" w:hAnsi="Inter"/>
          <w:lang w:val="en-US"/>
        </w:rPr>
      </w:pPr>
    </w:p>
    <w:p w14:paraId="65E970C0" w14:textId="20DB4B8B" w:rsidR="00A23F87" w:rsidRPr="00D345F5" w:rsidRDefault="001B6F9F" w:rsidP="00A23F87">
      <w:pPr>
        <w:pStyle w:val="Odstavecseseznamem"/>
        <w:numPr>
          <w:ilvl w:val="0"/>
          <w:numId w:val="21"/>
        </w:numPr>
        <w:shd w:val="clear" w:color="auto" w:fill="FFFFFF"/>
        <w:rPr>
          <w:rFonts w:ascii="Inter" w:hAnsi="Inter"/>
          <w:lang w:val="en-US"/>
        </w:rPr>
      </w:pPr>
      <w:r w:rsidRPr="00D345F5">
        <w:rPr>
          <w:rFonts w:ascii="Inter" w:hAnsi="Inter"/>
          <w:lang w:val="en-US"/>
        </w:rPr>
        <w:t xml:space="preserve">Rise in </w:t>
      </w:r>
      <w:r w:rsidR="00D82695">
        <w:rPr>
          <w:rFonts w:ascii="Inter" w:hAnsi="Inter"/>
          <w:lang w:val="en-US"/>
        </w:rPr>
        <w:t>loan</w:t>
      </w:r>
      <w:r w:rsidR="00D345F5" w:rsidRPr="00D345F5">
        <w:rPr>
          <w:rFonts w:ascii="Inter" w:hAnsi="Inter"/>
          <w:lang w:val="en-US"/>
        </w:rPr>
        <w:t xml:space="preserve"> volume (+2.8%) and </w:t>
      </w:r>
      <w:r w:rsidR="000042BA">
        <w:rPr>
          <w:rFonts w:ascii="Inter" w:hAnsi="Inter"/>
          <w:lang w:val="en-US"/>
        </w:rPr>
        <w:t xml:space="preserve">customer </w:t>
      </w:r>
      <w:r w:rsidR="00D345F5">
        <w:rPr>
          <w:rFonts w:ascii="Inter" w:hAnsi="Inter"/>
          <w:lang w:val="en-US"/>
        </w:rPr>
        <w:t>deposit</w:t>
      </w:r>
      <w:r w:rsidR="000042BA">
        <w:rPr>
          <w:rFonts w:ascii="Inter" w:hAnsi="Inter"/>
          <w:lang w:val="en-US"/>
        </w:rPr>
        <w:t>s (+3.9%)</w:t>
      </w:r>
    </w:p>
    <w:p w14:paraId="479764A5" w14:textId="30563B69" w:rsidR="00A23F87" w:rsidRPr="00560A0A" w:rsidRDefault="00560A0A" w:rsidP="00A23F87">
      <w:pPr>
        <w:pStyle w:val="Odstavecseseznamem"/>
        <w:numPr>
          <w:ilvl w:val="0"/>
          <w:numId w:val="21"/>
        </w:numPr>
        <w:shd w:val="clear" w:color="auto" w:fill="FFFFFF"/>
        <w:rPr>
          <w:rFonts w:ascii="Inter" w:hAnsi="Inter"/>
          <w:lang w:val="en-US"/>
        </w:rPr>
      </w:pPr>
      <w:r w:rsidRPr="00560A0A">
        <w:rPr>
          <w:rFonts w:ascii="Inter" w:hAnsi="Inter"/>
          <w:lang w:val="en-US"/>
        </w:rPr>
        <w:t xml:space="preserve">Strong equity </w:t>
      </w:r>
      <w:r w:rsidR="00CB09EE">
        <w:rPr>
          <w:rFonts w:ascii="Inter" w:hAnsi="Inter"/>
          <w:lang w:val="en-US"/>
        </w:rPr>
        <w:t>base</w:t>
      </w:r>
      <w:r w:rsidRPr="00560A0A">
        <w:rPr>
          <w:rFonts w:ascii="Inter" w:hAnsi="Inter"/>
          <w:lang w:val="en-US"/>
        </w:rPr>
        <w:t>: CET1 r</w:t>
      </w:r>
      <w:r>
        <w:rPr>
          <w:rFonts w:ascii="Inter" w:hAnsi="Inter"/>
          <w:lang w:val="en-US"/>
        </w:rPr>
        <w:t>atio at 15.7%</w:t>
      </w:r>
    </w:p>
    <w:p w14:paraId="15FCE131" w14:textId="6FB3683D" w:rsidR="00A23F87" w:rsidRPr="008C32A6" w:rsidRDefault="00CB09EE" w:rsidP="00A23F87">
      <w:pPr>
        <w:pStyle w:val="Odstavecseseznamem"/>
        <w:numPr>
          <w:ilvl w:val="0"/>
          <w:numId w:val="21"/>
        </w:numPr>
        <w:shd w:val="clear" w:color="auto" w:fill="FFFFFF"/>
        <w:rPr>
          <w:rFonts w:ascii="Inter" w:hAnsi="Inter"/>
          <w:lang w:val="en-US"/>
        </w:rPr>
      </w:pPr>
      <w:r w:rsidRPr="008C32A6">
        <w:rPr>
          <w:rFonts w:ascii="Inter" w:hAnsi="Inter"/>
          <w:lang w:val="en-US"/>
        </w:rPr>
        <w:t>NPL ratio (2.3%) remains at low level</w:t>
      </w:r>
    </w:p>
    <w:p w14:paraId="774B69C2" w14:textId="5D9E0606" w:rsidR="00CB09EE" w:rsidRPr="00CB09EE" w:rsidRDefault="008A2B11" w:rsidP="00A23F87">
      <w:pPr>
        <w:pStyle w:val="Odstavecseseznamem"/>
        <w:numPr>
          <w:ilvl w:val="0"/>
          <w:numId w:val="21"/>
        </w:numPr>
        <w:shd w:val="clear" w:color="auto" w:fill="FFFFFF"/>
        <w:rPr>
          <w:rFonts w:ascii="Inter" w:hAnsi="Inter"/>
          <w:lang w:val="en-US"/>
        </w:rPr>
      </w:pPr>
      <w:r>
        <w:rPr>
          <w:rFonts w:ascii="Inter" w:hAnsi="Inter"/>
          <w:lang w:val="en-US"/>
        </w:rPr>
        <w:t>Banking platform George reaches 10 million users</w:t>
      </w:r>
    </w:p>
    <w:p w14:paraId="1DA531E1" w14:textId="416FB080" w:rsidR="003476AD" w:rsidRPr="00CB09EE" w:rsidRDefault="00272FDA" w:rsidP="00A23F87">
      <w:pPr>
        <w:pStyle w:val="Odstavecseseznamem"/>
        <w:numPr>
          <w:ilvl w:val="0"/>
          <w:numId w:val="21"/>
        </w:numPr>
        <w:shd w:val="clear" w:color="auto" w:fill="FFFFFF"/>
        <w:rPr>
          <w:rFonts w:ascii="Inter" w:hAnsi="Inter"/>
          <w:lang w:val="en-US"/>
        </w:rPr>
      </w:pPr>
      <w:r>
        <w:rPr>
          <w:rFonts w:ascii="Inter" w:hAnsi="Inter"/>
          <w:lang w:val="en-US"/>
        </w:rPr>
        <w:t xml:space="preserve">Economies in </w:t>
      </w:r>
      <w:r w:rsidR="008A2B11">
        <w:rPr>
          <w:rFonts w:ascii="Inter" w:hAnsi="Inter"/>
          <w:lang w:val="en-US"/>
        </w:rPr>
        <w:t xml:space="preserve">CEE region </w:t>
      </w:r>
      <w:r w:rsidR="00C505B4">
        <w:rPr>
          <w:rFonts w:ascii="Inter" w:hAnsi="Inter"/>
          <w:lang w:val="en-US"/>
        </w:rPr>
        <w:t>return to growth path in 2024</w:t>
      </w:r>
    </w:p>
    <w:p w14:paraId="2157C0B6" w14:textId="77777777" w:rsidR="00A23F87" w:rsidRPr="00CB09EE" w:rsidRDefault="00A23F87" w:rsidP="00A23F87">
      <w:pPr>
        <w:rPr>
          <w:rFonts w:ascii="Inter" w:hAnsi="Inter"/>
          <w:lang w:val="en-US"/>
        </w:rPr>
      </w:pPr>
    </w:p>
    <w:p w14:paraId="3E88CA87" w14:textId="4F790E35" w:rsidR="00A23F87" w:rsidRDefault="00F60205" w:rsidP="005B0F45">
      <w:pPr>
        <w:spacing w:line="280" w:lineRule="exact"/>
        <w:rPr>
          <w:rFonts w:ascii="Inter" w:hAnsi="Inter"/>
          <w:b/>
          <w:lang w:val="en-US"/>
        </w:rPr>
      </w:pPr>
      <w:r w:rsidRPr="00F60205">
        <w:rPr>
          <w:rFonts w:ascii="Inter" w:hAnsi="Inter"/>
          <w:b/>
          <w:lang w:val="en-US"/>
        </w:rPr>
        <w:t xml:space="preserve">Driven by a good operating performance and a favorable interest rate environment, </w:t>
      </w:r>
      <w:r>
        <w:rPr>
          <w:rFonts w:ascii="Inter" w:hAnsi="Inter"/>
          <w:b/>
          <w:lang w:val="en-US"/>
        </w:rPr>
        <w:t>Erste Group Bank AG</w:t>
      </w:r>
      <w:r w:rsidRPr="00F60205">
        <w:rPr>
          <w:rFonts w:ascii="Inter" w:hAnsi="Inter"/>
          <w:b/>
          <w:lang w:val="en-US"/>
        </w:rPr>
        <w:t xml:space="preserve"> recorded an operating result of </w:t>
      </w:r>
      <w:r w:rsidR="009E1AC9">
        <w:rPr>
          <w:rFonts w:ascii="Inter" w:hAnsi="Inter"/>
          <w:b/>
          <w:lang w:val="en-US"/>
        </w:rPr>
        <w:t>5.5</w:t>
      </w:r>
      <w:r w:rsidRPr="00F60205">
        <w:rPr>
          <w:rFonts w:ascii="Inter" w:hAnsi="Inter"/>
          <w:b/>
          <w:lang w:val="en-US"/>
        </w:rPr>
        <w:t xml:space="preserve"> billion </w:t>
      </w:r>
      <w:r w:rsidR="00D026E4">
        <w:rPr>
          <w:rFonts w:ascii="Inter" w:hAnsi="Inter"/>
          <w:b/>
          <w:lang w:val="en-US"/>
        </w:rPr>
        <w:t xml:space="preserve">euros </w:t>
      </w:r>
      <w:r w:rsidRPr="00F60205">
        <w:rPr>
          <w:rFonts w:ascii="Inter" w:hAnsi="Inter"/>
          <w:b/>
          <w:lang w:val="en-US"/>
        </w:rPr>
        <w:t xml:space="preserve">in 2023, an increase of </w:t>
      </w:r>
      <w:r w:rsidR="009E1AC9">
        <w:rPr>
          <w:rFonts w:ascii="Inter" w:hAnsi="Inter"/>
          <w:b/>
          <w:lang w:val="en-US"/>
        </w:rPr>
        <w:t>38</w:t>
      </w:r>
      <w:r w:rsidRPr="00F60205">
        <w:rPr>
          <w:rFonts w:ascii="Inter" w:hAnsi="Inter"/>
          <w:b/>
          <w:lang w:val="en-US"/>
        </w:rPr>
        <w:t xml:space="preserve">% compared to the previous year. The cost/income ratio improved from </w:t>
      </w:r>
      <w:r w:rsidR="004B218E">
        <w:rPr>
          <w:rFonts w:ascii="Inter" w:hAnsi="Inter"/>
          <w:b/>
          <w:lang w:val="en-US"/>
        </w:rPr>
        <w:t>53.4</w:t>
      </w:r>
      <w:r w:rsidRPr="00F60205">
        <w:rPr>
          <w:rFonts w:ascii="Inter" w:hAnsi="Inter"/>
          <w:b/>
          <w:lang w:val="en-US"/>
        </w:rPr>
        <w:t xml:space="preserve">% to </w:t>
      </w:r>
      <w:r w:rsidR="004B218E">
        <w:rPr>
          <w:rFonts w:ascii="Inter" w:hAnsi="Inter"/>
          <w:b/>
          <w:lang w:val="en-US"/>
        </w:rPr>
        <w:t>47.6</w:t>
      </w:r>
      <w:r w:rsidRPr="00F60205">
        <w:rPr>
          <w:rFonts w:ascii="Inter" w:hAnsi="Inter"/>
          <w:b/>
          <w:lang w:val="en-US"/>
        </w:rPr>
        <w:t xml:space="preserve">%. The </w:t>
      </w:r>
      <w:r w:rsidR="00792506">
        <w:rPr>
          <w:rFonts w:ascii="Inter" w:hAnsi="Inter"/>
          <w:b/>
          <w:lang w:val="en-US"/>
        </w:rPr>
        <w:t>loan</w:t>
      </w:r>
      <w:r w:rsidRPr="00F60205">
        <w:rPr>
          <w:rFonts w:ascii="Inter" w:hAnsi="Inter"/>
          <w:b/>
          <w:lang w:val="en-US"/>
        </w:rPr>
        <w:t xml:space="preserve"> volume increased by </w:t>
      </w:r>
      <w:r w:rsidR="004B218E">
        <w:rPr>
          <w:rFonts w:ascii="Inter" w:hAnsi="Inter"/>
          <w:b/>
          <w:lang w:val="en-US"/>
        </w:rPr>
        <w:t>2.8</w:t>
      </w:r>
      <w:r w:rsidRPr="00F60205">
        <w:rPr>
          <w:rFonts w:ascii="Inter" w:hAnsi="Inter"/>
          <w:b/>
          <w:lang w:val="en-US"/>
        </w:rPr>
        <w:t xml:space="preserve">% year-on-year from </w:t>
      </w:r>
      <w:r w:rsidR="004B218E">
        <w:rPr>
          <w:rFonts w:ascii="Inter" w:hAnsi="Inter"/>
          <w:b/>
          <w:lang w:val="en-US"/>
        </w:rPr>
        <w:t>202.1</w:t>
      </w:r>
      <w:r w:rsidRPr="00F60205">
        <w:rPr>
          <w:rFonts w:ascii="Inter" w:hAnsi="Inter"/>
          <w:b/>
          <w:lang w:val="en-US"/>
        </w:rPr>
        <w:t xml:space="preserve"> to </w:t>
      </w:r>
      <w:r w:rsidR="00D026E4">
        <w:rPr>
          <w:rFonts w:ascii="Inter" w:hAnsi="Inter"/>
          <w:b/>
          <w:lang w:val="en-US"/>
        </w:rPr>
        <w:t>207.8</w:t>
      </w:r>
      <w:r w:rsidRPr="00F60205">
        <w:rPr>
          <w:rFonts w:ascii="Inter" w:hAnsi="Inter"/>
          <w:b/>
          <w:lang w:val="en-US"/>
        </w:rPr>
        <w:t xml:space="preserve"> billion euros, with </w:t>
      </w:r>
      <w:r w:rsidR="00D026E4">
        <w:rPr>
          <w:rFonts w:ascii="Inter" w:hAnsi="Inter"/>
          <w:b/>
          <w:lang w:val="en-US"/>
        </w:rPr>
        <w:t>2.95</w:t>
      </w:r>
      <w:r w:rsidRPr="00F60205">
        <w:rPr>
          <w:rFonts w:ascii="Inter" w:hAnsi="Inter"/>
          <w:b/>
          <w:lang w:val="en-US"/>
        </w:rPr>
        <w:t xml:space="preserve"> billion euros in sustainable loans granted in new business. Customer deposits also increased in all core markets, particularly in </w:t>
      </w:r>
      <w:r w:rsidR="0030651B">
        <w:rPr>
          <w:rFonts w:ascii="Inter" w:hAnsi="Inter"/>
          <w:b/>
          <w:lang w:val="en-US"/>
        </w:rPr>
        <w:t>Austria</w:t>
      </w:r>
      <w:r w:rsidRPr="00F60205">
        <w:rPr>
          <w:rFonts w:ascii="Inter" w:hAnsi="Inter"/>
          <w:b/>
          <w:lang w:val="en-US"/>
        </w:rPr>
        <w:t xml:space="preserve"> and </w:t>
      </w:r>
      <w:r w:rsidR="0030651B">
        <w:rPr>
          <w:rFonts w:ascii="Inter" w:hAnsi="Inter"/>
          <w:b/>
          <w:lang w:val="en-US"/>
        </w:rPr>
        <w:t>Czechia</w:t>
      </w:r>
      <w:r w:rsidRPr="00F60205">
        <w:rPr>
          <w:rFonts w:ascii="Inter" w:hAnsi="Inter"/>
          <w:b/>
          <w:lang w:val="en-US"/>
        </w:rPr>
        <w:t xml:space="preserve">, to </w:t>
      </w:r>
      <w:r w:rsidR="0030651B">
        <w:rPr>
          <w:rFonts w:ascii="Inter" w:hAnsi="Inter"/>
          <w:b/>
          <w:lang w:val="en-US"/>
        </w:rPr>
        <w:t xml:space="preserve">232.8 </w:t>
      </w:r>
      <w:r w:rsidRPr="00F60205">
        <w:rPr>
          <w:rFonts w:ascii="Inter" w:hAnsi="Inter"/>
          <w:b/>
          <w:lang w:val="en-US"/>
        </w:rPr>
        <w:t xml:space="preserve">billion </w:t>
      </w:r>
      <w:r w:rsidR="0030651B">
        <w:rPr>
          <w:rFonts w:ascii="Inter" w:hAnsi="Inter"/>
          <w:b/>
          <w:lang w:val="en-US"/>
        </w:rPr>
        <w:t xml:space="preserve">euros </w:t>
      </w:r>
      <w:r w:rsidRPr="00F60205">
        <w:rPr>
          <w:rFonts w:ascii="Inter" w:hAnsi="Inter"/>
          <w:b/>
          <w:lang w:val="en-US"/>
        </w:rPr>
        <w:t>(+</w:t>
      </w:r>
      <w:r w:rsidR="0065235A">
        <w:rPr>
          <w:rFonts w:ascii="Inter" w:hAnsi="Inter"/>
          <w:b/>
          <w:lang w:val="en-US"/>
        </w:rPr>
        <w:t>3.9</w:t>
      </w:r>
      <w:r w:rsidRPr="00F60205">
        <w:rPr>
          <w:rFonts w:ascii="Inter" w:hAnsi="Inter"/>
          <w:b/>
          <w:lang w:val="en-US"/>
        </w:rPr>
        <w:t xml:space="preserve">%). Around </w:t>
      </w:r>
      <w:r w:rsidR="00937587">
        <w:rPr>
          <w:rFonts w:ascii="Inter" w:hAnsi="Inter"/>
          <w:b/>
          <w:lang w:val="en-US"/>
        </w:rPr>
        <w:t>10</w:t>
      </w:r>
      <w:r w:rsidRPr="00F60205">
        <w:rPr>
          <w:rFonts w:ascii="Inter" w:hAnsi="Inter"/>
          <w:b/>
          <w:lang w:val="en-US"/>
        </w:rPr>
        <w:t xml:space="preserve"> million customers across </w:t>
      </w:r>
      <w:r w:rsidR="00937587">
        <w:rPr>
          <w:rFonts w:ascii="Inter" w:hAnsi="Inter"/>
          <w:b/>
          <w:lang w:val="en-US"/>
        </w:rPr>
        <w:t>Erste</w:t>
      </w:r>
      <w:r w:rsidRPr="00F60205">
        <w:rPr>
          <w:rFonts w:ascii="Inter" w:hAnsi="Inter"/>
          <w:b/>
          <w:lang w:val="en-US"/>
        </w:rPr>
        <w:t xml:space="preserve"> Group use </w:t>
      </w:r>
      <w:r w:rsidR="00937587">
        <w:rPr>
          <w:rFonts w:ascii="Inter" w:hAnsi="Inter"/>
          <w:b/>
          <w:lang w:val="en-US"/>
        </w:rPr>
        <w:t>George</w:t>
      </w:r>
      <w:r w:rsidRPr="00F60205">
        <w:rPr>
          <w:rFonts w:ascii="Inter" w:hAnsi="Inter"/>
          <w:b/>
          <w:lang w:val="en-US"/>
        </w:rPr>
        <w:t xml:space="preserve"> and every second product </w:t>
      </w:r>
      <w:r w:rsidR="00AA6F18">
        <w:rPr>
          <w:rFonts w:ascii="Inter" w:hAnsi="Inter"/>
          <w:b/>
          <w:lang w:val="en-US"/>
        </w:rPr>
        <w:t xml:space="preserve">sale </w:t>
      </w:r>
      <w:r w:rsidRPr="00F60205">
        <w:rPr>
          <w:rFonts w:ascii="Inter" w:hAnsi="Inter"/>
          <w:b/>
          <w:lang w:val="en-US"/>
        </w:rPr>
        <w:t xml:space="preserve">in the retail </w:t>
      </w:r>
      <w:r w:rsidR="00792506">
        <w:rPr>
          <w:rFonts w:ascii="Inter" w:hAnsi="Inter"/>
          <w:b/>
          <w:lang w:val="en-US"/>
        </w:rPr>
        <w:t>segment</w:t>
      </w:r>
      <w:r w:rsidRPr="00F60205">
        <w:rPr>
          <w:rFonts w:ascii="Inter" w:hAnsi="Inter"/>
          <w:b/>
          <w:lang w:val="en-US"/>
        </w:rPr>
        <w:t xml:space="preserve"> was digital. Net profit in 2023 amounted to </w:t>
      </w:r>
      <w:r w:rsidR="005B0F45">
        <w:rPr>
          <w:rFonts w:ascii="Inter" w:hAnsi="Inter"/>
          <w:b/>
          <w:lang w:val="en-US"/>
        </w:rPr>
        <w:t>2.99</w:t>
      </w:r>
      <w:r w:rsidRPr="00F60205">
        <w:rPr>
          <w:rFonts w:ascii="Inter" w:hAnsi="Inter"/>
          <w:b/>
          <w:lang w:val="en-US"/>
        </w:rPr>
        <w:t xml:space="preserve"> billion euros (2022: </w:t>
      </w:r>
      <w:r w:rsidR="005B0F45">
        <w:rPr>
          <w:rFonts w:ascii="Inter" w:hAnsi="Inter"/>
          <w:b/>
          <w:lang w:val="en-US"/>
        </w:rPr>
        <w:t>2.17</w:t>
      </w:r>
      <w:r w:rsidRPr="00F60205">
        <w:rPr>
          <w:rFonts w:ascii="Inter" w:hAnsi="Inter"/>
          <w:b/>
          <w:lang w:val="en-US"/>
        </w:rPr>
        <w:t xml:space="preserve"> billion euros). At the Annual General Meeting in </w:t>
      </w:r>
      <w:r w:rsidR="005B0F45">
        <w:rPr>
          <w:rFonts w:ascii="Inter" w:hAnsi="Inter"/>
          <w:b/>
          <w:lang w:val="en-US"/>
        </w:rPr>
        <w:t>May</w:t>
      </w:r>
      <w:r w:rsidRPr="00F60205">
        <w:rPr>
          <w:rFonts w:ascii="Inter" w:hAnsi="Inter"/>
          <w:b/>
          <w:lang w:val="en-US"/>
        </w:rPr>
        <w:t xml:space="preserve">, the </w:t>
      </w:r>
      <w:r w:rsidR="005B0F45">
        <w:rPr>
          <w:rFonts w:ascii="Inter" w:hAnsi="Inter"/>
          <w:b/>
          <w:lang w:val="en-US"/>
        </w:rPr>
        <w:t>Management</w:t>
      </w:r>
      <w:r w:rsidRPr="00F60205">
        <w:rPr>
          <w:rFonts w:ascii="Inter" w:hAnsi="Inter"/>
          <w:b/>
          <w:lang w:val="en-US"/>
        </w:rPr>
        <w:t xml:space="preserve"> Board of </w:t>
      </w:r>
      <w:r w:rsidR="005B0F45">
        <w:rPr>
          <w:rFonts w:ascii="Inter" w:hAnsi="Inter"/>
          <w:b/>
          <w:lang w:val="en-US"/>
        </w:rPr>
        <w:t>Erste Group</w:t>
      </w:r>
      <w:r w:rsidRPr="00F60205">
        <w:rPr>
          <w:rFonts w:ascii="Inter" w:hAnsi="Inter"/>
          <w:b/>
          <w:lang w:val="en-US"/>
        </w:rPr>
        <w:t xml:space="preserve"> will propose a dividend of </w:t>
      </w:r>
      <w:r w:rsidR="005B0F45">
        <w:rPr>
          <w:rFonts w:ascii="Inter" w:hAnsi="Inter"/>
          <w:b/>
          <w:lang w:val="en-US"/>
        </w:rPr>
        <w:t>2.70</w:t>
      </w:r>
      <w:r w:rsidRPr="00F60205">
        <w:rPr>
          <w:rFonts w:ascii="Inter" w:hAnsi="Inter"/>
          <w:b/>
          <w:lang w:val="en-US"/>
        </w:rPr>
        <w:t xml:space="preserve"> euros per share for the 2023 financial year.</w:t>
      </w:r>
    </w:p>
    <w:p w14:paraId="1C5F188E" w14:textId="77777777" w:rsidR="00F60205" w:rsidRDefault="00F60205" w:rsidP="00A23F87">
      <w:pPr>
        <w:spacing w:line="280" w:lineRule="exact"/>
        <w:rPr>
          <w:rFonts w:ascii="Inter" w:hAnsi="Inter"/>
          <w:bCs/>
          <w:lang w:val="en-US"/>
        </w:rPr>
      </w:pPr>
    </w:p>
    <w:p w14:paraId="6A5D7FDF" w14:textId="6C6E9DEB" w:rsidR="00F60205" w:rsidRDefault="004073BB" w:rsidP="00A23F87">
      <w:pPr>
        <w:spacing w:line="280" w:lineRule="exact"/>
        <w:rPr>
          <w:rFonts w:ascii="Inter" w:hAnsi="Inter"/>
          <w:bCs/>
          <w:lang w:val="en-US"/>
        </w:rPr>
      </w:pPr>
      <w:r w:rsidRPr="004073BB">
        <w:rPr>
          <w:rFonts w:ascii="Inter" w:hAnsi="Inter"/>
          <w:bCs/>
          <w:lang w:val="en-US"/>
        </w:rPr>
        <w:t>"</w:t>
      </w:r>
      <w:r w:rsidR="00756C34">
        <w:rPr>
          <w:rFonts w:ascii="Inter" w:hAnsi="Inter"/>
          <w:bCs/>
          <w:lang w:val="en-US"/>
        </w:rPr>
        <w:t>Twenty</w:t>
      </w:r>
      <w:r w:rsidRPr="004073BB">
        <w:rPr>
          <w:rFonts w:ascii="Inter" w:hAnsi="Inter"/>
          <w:bCs/>
          <w:lang w:val="en-US"/>
        </w:rPr>
        <w:t xml:space="preserve"> years after the first </w:t>
      </w:r>
      <w:r w:rsidR="000B62F5">
        <w:rPr>
          <w:rFonts w:ascii="Inter" w:hAnsi="Inter"/>
          <w:bCs/>
          <w:lang w:val="en-US"/>
        </w:rPr>
        <w:t>EU enlargement involving</w:t>
      </w:r>
      <w:r w:rsidR="00783CAC">
        <w:rPr>
          <w:rFonts w:ascii="Inter" w:hAnsi="Inter"/>
          <w:bCs/>
          <w:lang w:val="en-US"/>
        </w:rPr>
        <w:t xml:space="preserve"> Central and Eastern Europe</w:t>
      </w:r>
      <w:r w:rsidRPr="004073BB">
        <w:rPr>
          <w:rFonts w:ascii="Inter" w:hAnsi="Inter"/>
          <w:bCs/>
          <w:lang w:val="en-US"/>
        </w:rPr>
        <w:t>, it</w:t>
      </w:r>
      <w:r w:rsidR="002B1607">
        <w:rPr>
          <w:rFonts w:ascii="Inter" w:hAnsi="Inter"/>
          <w:bCs/>
          <w:lang w:val="en-US"/>
        </w:rPr>
        <w:t xml:space="preserve">’s clear </w:t>
      </w:r>
      <w:r w:rsidRPr="004073BB">
        <w:rPr>
          <w:rFonts w:ascii="Inter" w:hAnsi="Inter"/>
          <w:bCs/>
          <w:lang w:val="en-US"/>
        </w:rPr>
        <w:t xml:space="preserve">that a real success story has been and is being written in </w:t>
      </w:r>
      <w:r w:rsidR="00465185">
        <w:rPr>
          <w:rFonts w:ascii="Inter" w:hAnsi="Inter"/>
          <w:bCs/>
          <w:lang w:val="en-US"/>
        </w:rPr>
        <w:t>the</w:t>
      </w:r>
      <w:r w:rsidR="002B1607">
        <w:rPr>
          <w:rFonts w:ascii="Inter" w:hAnsi="Inter"/>
          <w:bCs/>
          <w:lang w:val="en-US"/>
        </w:rPr>
        <w:t xml:space="preserve"> region</w:t>
      </w:r>
      <w:r w:rsidRPr="004073BB">
        <w:rPr>
          <w:rFonts w:ascii="Inter" w:hAnsi="Inter"/>
          <w:bCs/>
          <w:lang w:val="en-US"/>
        </w:rPr>
        <w:t xml:space="preserve">. However, </w:t>
      </w:r>
      <w:r w:rsidR="00465185">
        <w:rPr>
          <w:rFonts w:ascii="Inter" w:hAnsi="Inter"/>
          <w:bCs/>
          <w:lang w:val="en-US"/>
        </w:rPr>
        <w:t xml:space="preserve">CEE </w:t>
      </w:r>
      <w:r w:rsidRPr="004073BB">
        <w:rPr>
          <w:rFonts w:ascii="Inter" w:hAnsi="Inter"/>
          <w:bCs/>
          <w:lang w:val="en-US"/>
        </w:rPr>
        <w:t>is also facing major challenges that need to be overcome. The green transformation</w:t>
      </w:r>
      <w:r w:rsidR="004309FB">
        <w:rPr>
          <w:rFonts w:ascii="Inter" w:hAnsi="Inter"/>
          <w:bCs/>
          <w:lang w:val="en-US"/>
        </w:rPr>
        <w:t xml:space="preserve"> and </w:t>
      </w:r>
      <w:r w:rsidRPr="004073BB">
        <w:rPr>
          <w:rFonts w:ascii="Inter" w:hAnsi="Inter"/>
          <w:bCs/>
          <w:lang w:val="en-US"/>
        </w:rPr>
        <w:t xml:space="preserve">advancing digitalization - all of this will require investment, for which we are available as a partner. </w:t>
      </w:r>
      <w:r w:rsidR="00BA609C">
        <w:rPr>
          <w:rFonts w:ascii="Inter" w:hAnsi="Inter"/>
          <w:bCs/>
          <w:lang w:val="en-US"/>
        </w:rPr>
        <w:t xml:space="preserve">One </w:t>
      </w:r>
      <w:r w:rsidR="00FF292B">
        <w:rPr>
          <w:rFonts w:ascii="Inter" w:hAnsi="Inter"/>
          <w:bCs/>
          <w:lang w:val="en-US"/>
        </w:rPr>
        <w:t>very welcome development: CEE</w:t>
      </w:r>
      <w:r w:rsidRPr="004073BB">
        <w:rPr>
          <w:rFonts w:ascii="Inter" w:hAnsi="Inter"/>
          <w:bCs/>
          <w:lang w:val="en-US"/>
        </w:rPr>
        <w:t xml:space="preserve"> is returning to its role as Europe's growth engine," says </w:t>
      </w:r>
      <w:r w:rsidR="0026085F">
        <w:rPr>
          <w:rFonts w:ascii="Inter" w:hAnsi="Inter"/>
          <w:bCs/>
          <w:lang w:val="en-US"/>
        </w:rPr>
        <w:t>Willi Cernko</w:t>
      </w:r>
      <w:r w:rsidRPr="004073BB">
        <w:rPr>
          <w:rFonts w:ascii="Inter" w:hAnsi="Inter"/>
          <w:bCs/>
          <w:lang w:val="en-US"/>
        </w:rPr>
        <w:t xml:space="preserve">, CEO of </w:t>
      </w:r>
      <w:r w:rsidR="0026085F">
        <w:rPr>
          <w:rFonts w:ascii="Inter" w:hAnsi="Inter"/>
          <w:bCs/>
          <w:lang w:val="en-US"/>
        </w:rPr>
        <w:t>Erste Group</w:t>
      </w:r>
      <w:r w:rsidRPr="004073BB">
        <w:rPr>
          <w:rFonts w:ascii="Inter" w:hAnsi="Inter"/>
          <w:bCs/>
          <w:lang w:val="en-US"/>
        </w:rPr>
        <w:t>.</w:t>
      </w:r>
    </w:p>
    <w:p w14:paraId="253CDC7D" w14:textId="77777777" w:rsidR="00F60205" w:rsidRDefault="00F60205" w:rsidP="00A23F87">
      <w:pPr>
        <w:spacing w:line="280" w:lineRule="exact"/>
        <w:rPr>
          <w:rFonts w:ascii="Inter" w:hAnsi="Inter"/>
          <w:bCs/>
          <w:lang w:val="en-US"/>
        </w:rPr>
      </w:pPr>
    </w:p>
    <w:p w14:paraId="5E943899" w14:textId="6F52E0AA" w:rsidR="00C87E69" w:rsidRPr="00C87E69" w:rsidRDefault="00C87E69" w:rsidP="00C87E69">
      <w:pPr>
        <w:spacing w:line="280" w:lineRule="exact"/>
        <w:rPr>
          <w:rFonts w:ascii="Inter" w:hAnsi="Inter"/>
          <w:bCs/>
          <w:lang w:val="en-US"/>
        </w:rPr>
      </w:pPr>
      <w:r w:rsidRPr="00C87E69">
        <w:rPr>
          <w:rFonts w:ascii="Inter" w:hAnsi="Inter"/>
          <w:bCs/>
          <w:lang w:val="en-US"/>
        </w:rPr>
        <w:t xml:space="preserve">"2023 was a strong year for our banking group. Despite the </w:t>
      </w:r>
      <w:r w:rsidR="007F2832">
        <w:rPr>
          <w:rFonts w:ascii="Inter" w:hAnsi="Inter"/>
          <w:bCs/>
          <w:lang w:val="en-US"/>
        </w:rPr>
        <w:t>macro</w:t>
      </w:r>
      <w:r w:rsidRPr="00C87E69">
        <w:rPr>
          <w:rFonts w:ascii="Inter" w:hAnsi="Inter"/>
          <w:bCs/>
          <w:lang w:val="en-US"/>
        </w:rPr>
        <w:t xml:space="preserve">economic slowdown, we achieved an excellent result thanks to our </w:t>
      </w:r>
      <w:r w:rsidR="00043CBC">
        <w:rPr>
          <w:rFonts w:ascii="Inter" w:hAnsi="Inter"/>
          <w:bCs/>
          <w:lang w:val="en-US"/>
        </w:rPr>
        <w:t>loan</w:t>
      </w:r>
      <w:r w:rsidRPr="00C87E69">
        <w:rPr>
          <w:rFonts w:ascii="Inter" w:hAnsi="Inter"/>
          <w:bCs/>
          <w:lang w:val="en-US"/>
        </w:rPr>
        <w:t xml:space="preserve"> volume growth and a favorable interest rate and risk environment. Even if the interest rate landscape is likely to change in the course of the current year: We are positioned to finance the ongoing upswing in our region," commented </w:t>
      </w:r>
      <w:r w:rsidR="0026085F">
        <w:rPr>
          <w:rFonts w:ascii="Inter" w:hAnsi="Inter"/>
          <w:bCs/>
          <w:lang w:val="en-US"/>
        </w:rPr>
        <w:t>Stefan Dörfler</w:t>
      </w:r>
      <w:r w:rsidRPr="00C87E69">
        <w:rPr>
          <w:rFonts w:ascii="Inter" w:hAnsi="Inter"/>
          <w:bCs/>
          <w:lang w:val="en-US"/>
        </w:rPr>
        <w:t xml:space="preserve">, CFO of </w:t>
      </w:r>
      <w:r w:rsidR="0026085F">
        <w:rPr>
          <w:rFonts w:ascii="Inter" w:hAnsi="Inter"/>
          <w:bCs/>
          <w:lang w:val="en-US"/>
        </w:rPr>
        <w:t>Erste Group</w:t>
      </w:r>
      <w:r w:rsidRPr="00C87E69">
        <w:rPr>
          <w:rFonts w:ascii="Inter" w:hAnsi="Inter"/>
          <w:bCs/>
          <w:lang w:val="en-US"/>
        </w:rPr>
        <w:t>, on the result for the 2023 financial year.</w:t>
      </w:r>
    </w:p>
    <w:p w14:paraId="20CE70AA" w14:textId="72FEF98F" w:rsidR="00711D5D" w:rsidRDefault="00711D5D" w:rsidP="00A23F87">
      <w:pPr>
        <w:rPr>
          <w:rFonts w:ascii="Inter" w:hAnsi="Inter"/>
          <w:color w:val="FFFFFF" w:themeColor="background1"/>
          <w:lang w:val="en-US"/>
        </w:rPr>
      </w:pPr>
    </w:p>
    <w:p w14:paraId="2AC4F882" w14:textId="7DB889EC" w:rsidR="004D4CBC" w:rsidRDefault="004D4CBC">
      <w:pPr>
        <w:spacing w:line="240" w:lineRule="auto"/>
        <w:rPr>
          <w:rFonts w:ascii="Inter" w:hAnsi="Inter"/>
          <w:color w:val="FFFFFF" w:themeColor="background1"/>
          <w:lang w:val="en-US"/>
        </w:rPr>
      </w:pPr>
      <w:r>
        <w:rPr>
          <w:rFonts w:ascii="Inter" w:hAnsi="Inter"/>
          <w:color w:val="FFFFFF" w:themeColor="background1"/>
          <w:lang w:val="en-US"/>
        </w:rPr>
        <w:br w:type="page"/>
      </w:r>
    </w:p>
    <w:p w14:paraId="2B901D18" w14:textId="77777777" w:rsidR="00711D5D" w:rsidRDefault="00711D5D" w:rsidP="00A23F87">
      <w:pPr>
        <w:rPr>
          <w:rFonts w:ascii="Inter" w:hAnsi="Inter"/>
          <w:color w:val="FFFFFF" w:themeColor="background1"/>
          <w:lang w:val="en-US"/>
        </w:rPr>
      </w:pPr>
    </w:p>
    <w:p w14:paraId="7798641C" w14:textId="5A58BBA2" w:rsidR="000D5E73" w:rsidRPr="000D5E73" w:rsidRDefault="006B12FF" w:rsidP="000D5E73">
      <w:pPr>
        <w:pStyle w:val="Bezmezer"/>
        <w:spacing w:line="280" w:lineRule="exact"/>
        <w:rPr>
          <w:rFonts w:ascii="Inter" w:hAnsi="Inter"/>
          <w:color w:val="0070C0"/>
          <w:sz w:val="16"/>
          <w:szCs w:val="16"/>
          <w:lang w:val="en-US"/>
        </w:rPr>
      </w:pPr>
      <w:r>
        <w:rPr>
          <w:rFonts w:ascii="Inter" w:hAnsi="Inter"/>
          <w:color w:val="0070C0"/>
          <w:sz w:val="16"/>
          <w:szCs w:val="16"/>
          <w:lang w:val="en-US"/>
        </w:rPr>
        <w:t>Profit and loss (</w:t>
      </w:r>
      <w:r w:rsidR="000D5E73" w:rsidRPr="000D5E73">
        <w:rPr>
          <w:rFonts w:ascii="Inter" w:hAnsi="Inter"/>
          <w:color w:val="0070C0"/>
          <w:sz w:val="16"/>
          <w:szCs w:val="16"/>
          <w:lang w:val="en-US"/>
        </w:rPr>
        <w:t>P&amp;L</w:t>
      </w:r>
      <w:r>
        <w:rPr>
          <w:rFonts w:ascii="Inter" w:hAnsi="Inter"/>
          <w:color w:val="0070C0"/>
          <w:sz w:val="16"/>
          <w:szCs w:val="16"/>
          <w:lang w:val="en-US"/>
        </w:rPr>
        <w:t>)</w:t>
      </w:r>
      <w:r w:rsidR="000D5E73" w:rsidRPr="000D5E73">
        <w:rPr>
          <w:rFonts w:ascii="Inter" w:hAnsi="Inter"/>
          <w:color w:val="0070C0"/>
          <w:sz w:val="16"/>
          <w:szCs w:val="16"/>
          <w:lang w:val="en-US"/>
        </w:rPr>
        <w:t xml:space="preserve"> 2023 compared with 2022; b</w:t>
      </w:r>
      <w:r w:rsidR="000D5E73">
        <w:rPr>
          <w:rFonts w:ascii="Inter" w:hAnsi="Inter"/>
          <w:color w:val="0070C0"/>
          <w:sz w:val="16"/>
          <w:szCs w:val="16"/>
          <w:lang w:val="en-US"/>
        </w:rPr>
        <w:t>alance sheet 31 December 2023 compared with 31 December 2022</w:t>
      </w:r>
    </w:p>
    <w:p w14:paraId="46DBC16E" w14:textId="77777777" w:rsidR="000D5E73" w:rsidRPr="000D5E73" w:rsidRDefault="000D5E73" w:rsidP="00C71EFA">
      <w:pPr>
        <w:rPr>
          <w:rFonts w:ascii="Inter" w:hAnsi="Inter"/>
          <w:lang w:val="en-US"/>
        </w:rPr>
      </w:pPr>
    </w:p>
    <w:p w14:paraId="1443F780" w14:textId="5E2E88DF" w:rsidR="00A23F87" w:rsidRPr="00363A05" w:rsidRDefault="0056072A" w:rsidP="00A23F87">
      <w:pPr>
        <w:pStyle w:val="Nadpis4"/>
        <w:rPr>
          <w:rFonts w:ascii="Inter" w:hAnsi="Inter"/>
          <w:color w:val="auto"/>
          <w:lang w:val="en-US"/>
        </w:rPr>
      </w:pPr>
      <w:r w:rsidRPr="00363A05">
        <w:rPr>
          <w:rFonts w:ascii="Inter" w:hAnsi="Inter"/>
          <w:color w:val="auto"/>
          <w:lang w:val="en-US"/>
        </w:rPr>
        <w:t xml:space="preserve">Earnings rise on larger loan volume, </w:t>
      </w:r>
      <w:r w:rsidR="00613ADC" w:rsidRPr="00363A05">
        <w:rPr>
          <w:rFonts w:ascii="Inter" w:hAnsi="Inter"/>
          <w:color w:val="auto"/>
          <w:lang w:val="en-US"/>
        </w:rPr>
        <w:t>favourable</w:t>
      </w:r>
      <w:r w:rsidR="00A4606B" w:rsidRPr="00363A05">
        <w:rPr>
          <w:rFonts w:ascii="Inter" w:hAnsi="Inter"/>
          <w:color w:val="auto"/>
          <w:lang w:val="en-US"/>
        </w:rPr>
        <w:t xml:space="preserve"> market </w:t>
      </w:r>
      <w:r w:rsidRPr="00363A05">
        <w:rPr>
          <w:rFonts w:ascii="Inter" w:hAnsi="Inter"/>
          <w:color w:val="auto"/>
          <w:lang w:val="en-US"/>
        </w:rPr>
        <w:t>interest rate</w:t>
      </w:r>
      <w:r w:rsidR="00A4606B" w:rsidRPr="00363A05">
        <w:rPr>
          <w:rFonts w:ascii="Inter" w:hAnsi="Inter"/>
          <w:color w:val="auto"/>
          <w:lang w:val="en-US"/>
        </w:rPr>
        <w:t>s</w:t>
      </w:r>
    </w:p>
    <w:p w14:paraId="7A3CE38B" w14:textId="2BAFA31A" w:rsidR="00AB4AED" w:rsidRDefault="000752C5" w:rsidP="00631773">
      <w:pPr>
        <w:pStyle w:val="Bezmezer"/>
        <w:spacing w:line="280" w:lineRule="exact"/>
        <w:rPr>
          <w:rFonts w:ascii="Inter" w:hAnsi="Inter" w:cs="Arial"/>
          <w:sz w:val="20"/>
          <w:szCs w:val="20"/>
          <w:lang w:val="en-US"/>
        </w:rPr>
      </w:pPr>
      <w:r w:rsidRPr="00582EB7">
        <w:rPr>
          <w:rFonts w:ascii="Inter" w:hAnsi="Inter" w:cs="Arial"/>
          <w:b/>
          <w:bCs/>
          <w:sz w:val="20"/>
          <w:szCs w:val="20"/>
          <w:lang w:val="en-US"/>
        </w:rPr>
        <w:t>Net interest income</w:t>
      </w:r>
      <w:r w:rsidRPr="00582EB7">
        <w:rPr>
          <w:rFonts w:ascii="Inter" w:hAnsi="Inter" w:cs="Arial"/>
          <w:sz w:val="20"/>
          <w:szCs w:val="20"/>
          <w:lang w:val="en-US"/>
        </w:rPr>
        <w:t xml:space="preserve"> increased significantly to EUR 7,228 million (+21.5%; EUR 5,951 million), most strongly in Austria, on the back of higher market interest rates</w:t>
      </w:r>
      <w:r w:rsidR="00812077">
        <w:rPr>
          <w:rFonts w:ascii="Inter" w:hAnsi="Inter" w:cs="Arial"/>
          <w:sz w:val="20"/>
          <w:szCs w:val="20"/>
          <w:lang w:val="en-US"/>
        </w:rPr>
        <w:t>,</w:t>
      </w:r>
      <w:r w:rsidRPr="00582EB7">
        <w:rPr>
          <w:rFonts w:ascii="Inter" w:hAnsi="Inter" w:cs="Arial"/>
          <w:sz w:val="20"/>
          <w:szCs w:val="20"/>
          <w:lang w:val="en-US"/>
        </w:rPr>
        <w:t xml:space="preserve"> as well as larger loan volume. </w:t>
      </w:r>
      <w:r w:rsidRPr="00582EB7">
        <w:rPr>
          <w:rFonts w:ascii="Inter" w:hAnsi="Inter" w:cs="Arial"/>
          <w:b/>
          <w:bCs/>
          <w:sz w:val="20"/>
          <w:szCs w:val="20"/>
          <w:lang w:val="en-US"/>
        </w:rPr>
        <w:t>Net fee and commission income</w:t>
      </w:r>
      <w:r w:rsidRPr="00582EB7">
        <w:rPr>
          <w:rFonts w:ascii="Inter" w:hAnsi="Inter" w:cs="Arial"/>
          <w:sz w:val="20"/>
          <w:szCs w:val="20"/>
          <w:lang w:val="en-US"/>
        </w:rPr>
        <w:t xml:space="preserve"> rose to EUR 2,640 million (+7.6%; EUR 2,452 million). Growth was registered across all core markets, most notably in payment services but also in asset management and in lending. </w:t>
      </w:r>
      <w:r w:rsidRPr="00582EB7">
        <w:rPr>
          <w:rFonts w:ascii="Inter" w:hAnsi="Inter" w:cs="Arial"/>
          <w:b/>
          <w:bCs/>
          <w:sz w:val="20"/>
          <w:szCs w:val="20"/>
          <w:lang w:val="en-US"/>
        </w:rPr>
        <w:t>Net trading result</w:t>
      </w:r>
      <w:r w:rsidRPr="00582EB7">
        <w:rPr>
          <w:rFonts w:ascii="Inter" w:hAnsi="Inter" w:cs="Arial"/>
          <w:sz w:val="20"/>
          <w:szCs w:val="20"/>
          <w:lang w:val="en-US"/>
        </w:rPr>
        <w:t xml:space="preserve"> improved to EUR 754 million (EUR -779 million); the line item </w:t>
      </w:r>
      <w:r w:rsidRPr="00582EB7">
        <w:rPr>
          <w:rFonts w:ascii="Inter" w:hAnsi="Inter" w:cs="Arial"/>
          <w:b/>
          <w:bCs/>
          <w:sz w:val="20"/>
          <w:szCs w:val="20"/>
          <w:lang w:val="en-US"/>
        </w:rPr>
        <w:t>gains/losses from financial instruments measured at fair value through profit or loss</w:t>
      </w:r>
      <w:r w:rsidRPr="00582EB7">
        <w:rPr>
          <w:rFonts w:ascii="Inter" w:hAnsi="Inter" w:cs="Arial"/>
          <w:sz w:val="20"/>
          <w:szCs w:val="20"/>
          <w:lang w:val="en-US"/>
        </w:rPr>
        <w:t xml:space="preserve"> declined to EUR -306 million (EUR 731 million). The development of these </w:t>
      </w:r>
      <w:r w:rsidR="00363A05" w:rsidRPr="00582EB7">
        <w:rPr>
          <w:rFonts w:ascii="Inter" w:hAnsi="Inter" w:cs="Arial"/>
          <w:sz w:val="20"/>
          <w:szCs w:val="20"/>
          <w:lang w:val="en-US"/>
        </w:rPr>
        <w:t>two-line</w:t>
      </w:r>
      <w:r w:rsidRPr="00582EB7">
        <w:rPr>
          <w:rFonts w:ascii="Inter" w:hAnsi="Inter" w:cs="Arial"/>
          <w:sz w:val="20"/>
          <w:szCs w:val="20"/>
          <w:lang w:val="en-US"/>
        </w:rPr>
        <w:t xml:space="preserve"> items was mostly attributable to valuation effects</w:t>
      </w:r>
      <w:r w:rsidRPr="00582EB7">
        <w:rPr>
          <w:rFonts w:ascii="Inter" w:hAnsi="Inter" w:cs="Arial"/>
          <w:b/>
          <w:bCs/>
          <w:sz w:val="20"/>
          <w:szCs w:val="20"/>
          <w:lang w:val="en-US"/>
        </w:rPr>
        <w:t>. Operating income</w:t>
      </w:r>
      <w:r w:rsidRPr="00582EB7">
        <w:rPr>
          <w:rFonts w:ascii="Inter" w:hAnsi="Inter" w:cs="Arial"/>
          <w:sz w:val="20"/>
          <w:szCs w:val="20"/>
          <w:lang w:val="en-US"/>
        </w:rPr>
        <w:t xml:space="preserve"> increased to EUR 10,552 million (+23.1%; EUR 8,571 million).</w:t>
      </w:r>
    </w:p>
    <w:p w14:paraId="3F881761" w14:textId="77777777" w:rsidR="000752C5" w:rsidRDefault="000752C5" w:rsidP="00BC5E2E">
      <w:pPr>
        <w:pStyle w:val="Bezmezer"/>
        <w:spacing w:line="280" w:lineRule="exact"/>
        <w:rPr>
          <w:rFonts w:ascii="Inter" w:hAnsi="Inter"/>
          <w:sz w:val="20"/>
          <w:szCs w:val="20"/>
          <w:lang w:val="en-US"/>
        </w:rPr>
      </w:pPr>
    </w:p>
    <w:p w14:paraId="4720BA42" w14:textId="37510BE7" w:rsidR="00AB4AED" w:rsidRPr="00363A05" w:rsidRDefault="00613ADC" w:rsidP="004C64AC">
      <w:pPr>
        <w:pStyle w:val="Nadpis4"/>
        <w:rPr>
          <w:rFonts w:ascii="Inter" w:hAnsi="Inter"/>
          <w:color w:val="auto"/>
          <w:lang w:val="en-US"/>
        </w:rPr>
      </w:pPr>
      <w:r w:rsidRPr="00363A05">
        <w:rPr>
          <w:rFonts w:ascii="Inter" w:hAnsi="Inter"/>
          <w:color w:val="auto"/>
          <w:lang w:val="en-US"/>
        </w:rPr>
        <w:t>Cost/income ratio improves to 47.6%</w:t>
      </w:r>
      <w:r w:rsidR="00684C44" w:rsidRPr="00363A05">
        <w:rPr>
          <w:rFonts w:ascii="Inter" w:hAnsi="Inter"/>
          <w:color w:val="auto"/>
          <w:lang w:val="en-US"/>
        </w:rPr>
        <w:t>, as operating result up 38.4%</w:t>
      </w:r>
    </w:p>
    <w:p w14:paraId="1B586CE7" w14:textId="06BB0DC0" w:rsidR="00AB4AED" w:rsidRDefault="0091508E" w:rsidP="00631773">
      <w:pPr>
        <w:pStyle w:val="Bezmezer"/>
        <w:spacing w:line="280" w:lineRule="exact"/>
        <w:rPr>
          <w:rFonts w:ascii="Inter" w:hAnsi="Inter"/>
          <w:sz w:val="20"/>
          <w:szCs w:val="20"/>
          <w:lang w:val="en-US"/>
        </w:rPr>
      </w:pPr>
      <w:r w:rsidRPr="00582EB7">
        <w:rPr>
          <w:rFonts w:ascii="Inter" w:hAnsi="Inter" w:cs="Arial"/>
          <w:b/>
          <w:bCs/>
          <w:sz w:val="20"/>
          <w:szCs w:val="20"/>
          <w:lang w:val="en-US"/>
        </w:rPr>
        <w:t>General administrative expenses</w:t>
      </w:r>
      <w:r w:rsidRPr="00582EB7">
        <w:rPr>
          <w:rFonts w:ascii="Inter" w:hAnsi="Inter" w:cs="Arial"/>
          <w:sz w:val="20"/>
          <w:szCs w:val="20"/>
          <w:lang w:val="en-US"/>
        </w:rPr>
        <w:t xml:space="preserve"> were up at EUR 5,020 million (+9.7%; EUR 4,575 million). Personnel expenses rose to EUR 2,991 million (+12.1%; EUR 2,668 million) driven by salary increases. The rise in other administrative expenses to EUR 1,468 million (+8.3%; EUR 1,356 million) was primarily due to higher IT and marketing expenses. Contributions to deposit insurance schemes included in other administrative expenses declined to EUR 114 million (EUR 143 million), most notably in Hungary (where in the comparable period of 2022, the Sberbank Europe deposit insurance case had resulted in higher expenses). </w:t>
      </w:r>
      <w:r w:rsidR="00363A05" w:rsidRPr="00582EB7">
        <w:rPr>
          <w:rFonts w:ascii="Inter" w:hAnsi="Inter" w:cs="Arial"/>
          <w:sz w:val="20"/>
          <w:szCs w:val="20"/>
          <w:lang w:val="en-US"/>
        </w:rPr>
        <w:t>Amortization</w:t>
      </w:r>
      <w:r w:rsidRPr="00582EB7">
        <w:rPr>
          <w:rFonts w:ascii="Inter" w:hAnsi="Inter" w:cs="Arial"/>
          <w:sz w:val="20"/>
          <w:szCs w:val="20"/>
          <w:lang w:val="en-US"/>
        </w:rPr>
        <w:t xml:space="preserve"> and depreciation amounted to EUR 560 million (+1.7%; EUR 551 million). Overall, the </w:t>
      </w:r>
      <w:r w:rsidRPr="00582EB7">
        <w:rPr>
          <w:rFonts w:ascii="Inter" w:hAnsi="Inter" w:cs="Arial"/>
          <w:b/>
          <w:bCs/>
          <w:sz w:val="20"/>
          <w:szCs w:val="20"/>
          <w:lang w:val="en-US"/>
        </w:rPr>
        <w:t>operating result</w:t>
      </w:r>
      <w:r w:rsidRPr="00582EB7">
        <w:rPr>
          <w:rFonts w:ascii="Inter" w:hAnsi="Inter" w:cs="Arial"/>
          <w:sz w:val="20"/>
          <w:szCs w:val="20"/>
          <w:lang w:val="en-US"/>
        </w:rPr>
        <w:t xml:space="preserve"> increased markedly to EUR 5,532 million (+38.4%; EUR 3,996 million). The </w:t>
      </w:r>
      <w:r w:rsidRPr="00582EB7">
        <w:rPr>
          <w:rFonts w:ascii="Inter" w:hAnsi="Inter" w:cs="Arial"/>
          <w:b/>
          <w:bCs/>
          <w:sz w:val="20"/>
          <w:szCs w:val="20"/>
          <w:lang w:val="en-US"/>
        </w:rPr>
        <w:t>cost/income ratio</w:t>
      </w:r>
      <w:r w:rsidRPr="00582EB7">
        <w:rPr>
          <w:rFonts w:ascii="Inter" w:hAnsi="Inter" w:cs="Arial"/>
          <w:sz w:val="20"/>
          <w:szCs w:val="20"/>
          <w:lang w:val="en-US"/>
        </w:rPr>
        <w:t xml:space="preserve"> improved to 47.6% (53.4%)</w:t>
      </w:r>
      <w:r w:rsidR="00363A05">
        <w:rPr>
          <w:rFonts w:ascii="Inter" w:hAnsi="Inter" w:cs="Arial"/>
          <w:sz w:val="20"/>
          <w:szCs w:val="20"/>
          <w:lang w:val="en-US"/>
        </w:rPr>
        <w:t>.</w:t>
      </w:r>
    </w:p>
    <w:p w14:paraId="551691E4" w14:textId="77777777" w:rsidR="00AB4AED" w:rsidRDefault="00AB4AED" w:rsidP="00BC5E2E">
      <w:pPr>
        <w:pStyle w:val="Bezmezer"/>
        <w:spacing w:line="280" w:lineRule="exact"/>
        <w:rPr>
          <w:rFonts w:ascii="Inter" w:hAnsi="Inter"/>
          <w:sz w:val="20"/>
          <w:szCs w:val="20"/>
          <w:lang w:val="en-US"/>
        </w:rPr>
      </w:pPr>
    </w:p>
    <w:p w14:paraId="1B24EF7B" w14:textId="0DC37F1F" w:rsidR="00AB4AED" w:rsidRPr="00363A05" w:rsidRDefault="00B54282" w:rsidP="004C64AC">
      <w:pPr>
        <w:pStyle w:val="Nadpis4"/>
        <w:rPr>
          <w:rFonts w:ascii="Inter" w:hAnsi="Inter"/>
          <w:color w:val="auto"/>
          <w:lang w:val="en-US"/>
        </w:rPr>
      </w:pPr>
      <w:r w:rsidRPr="00363A05">
        <w:rPr>
          <w:rFonts w:ascii="Inter" w:hAnsi="Inter"/>
          <w:color w:val="auto"/>
          <w:lang w:val="en-US"/>
        </w:rPr>
        <w:t xml:space="preserve">NPL ratio rises slightly, </w:t>
      </w:r>
      <w:r w:rsidR="003D67A5" w:rsidRPr="00363A05">
        <w:rPr>
          <w:rFonts w:ascii="Inter" w:hAnsi="Inter"/>
          <w:color w:val="auto"/>
          <w:lang w:val="en-US"/>
        </w:rPr>
        <w:t xml:space="preserve">but </w:t>
      </w:r>
      <w:r w:rsidRPr="00363A05">
        <w:rPr>
          <w:rFonts w:ascii="Inter" w:hAnsi="Inter"/>
          <w:color w:val="auto"/>
          <w:lang w:val="en-US"/>
        </w:rPr>
        <w:t>remains at low level</w:t>
      </w:r>
    </w:p>
    <w:p w14:paraId="10A5B757" w14:textId="724DF884" w:rsidR="00CC18B8" w:rsidRPr="00E02ED8" w:rsidRDefault="00E02ED8" w:rsidP="00631773">
      <w:pPr>
        <w:spacing w:line="280" w:lineRule="exact"/>
        <w:rPr>
          <w:rFonts w:ascii="Inter" w:hAnsi="Inter"/>
          <w:lang w:val="en-GB"/>
        </w:rPr>
      </w:pPr>
      <w:r w:rsidRPr="00582EB7">
        <w:rPr>
          <w:rFonts w:ascii="Inter" w:hAnsi="Inter"/>
          <w:lang w:val="en-US"/>
        </w:rPr>
        <w:t xml:space="preserve">The </w:t>
      </w:r>
      <w:r w:rsidRPr="00582EB7">
        <w:rPr>
          <w:rFonts w:ascii="Inter" w:hAnsi="Inter"/>
          <w:b/>
          <w:bCs/>
          <w:lang w:val="en-US"/>
        </w:rPr>
        <w:t>impairment result from financial instruments</w:t>
      </w:r>
      <w:r w:rsidRPr="00582EB7">
        <w:rPr>
          <w:rFonts w:ascii="Inter" w:hAnsi="Inter"/>
          <w:lang w:val="en-US"/>
        </w:rPr>
        <w:t xml:space="preserve"> </w:t>
      </w:r>
      <w:r w:rsidR="00F33074">
        <w:rPr>
          <w:rFonts w:ascii="Inter" w:hAnsi="Inter"/>
          <w:lang w:val="en-US"/>
        </w:rPr>
        <w:t xml:space="preserve">(“risk costs”) </w:t>
      </w:r>
      <w:r w:rsidRPr="00582EB7">
        <w:rPr>
          <w:rFonts w:ascii="Inter" w:hAnsi="Inter"/>
          <w:lang w:val="en-US"/>
        </w:rPr>
        <w:t xml:space="preserve">amounted to EUR -128 million or 6 basis points of average gross customer loans (EUR -300 million or 15 basis points). Net allocations to provisions for loans and advances were posted in all core markets, with the exception of Croatia and Hungary. Positive contributions came from net releases of provisions for commitments and guarantees as well as from income from the recovery of loans already written off (in both cases most notably in Austria). </w:t>
      </w:r>
      <w:r w:rsidRPr="0044786D">
        <w:rPr>
          <w:rFonts w:ascii="Inter" w:hAnsi="Inter"/>
          <w:lang w:val="en-GB"/>
        </w:rPr>
        <w:t xml:space="preserve">The </w:t>
      </w:r>
      <w:r w:rsidRPr="0044786D">
        <w:rPr>
          <w:rFonts w:ascii="Inter" w:hAnsi="Inter"/>
          <w:b/>
          <w:lang w:val="en-US"/>
        </w:rPr>
        <w:t>NPL ratio</w:t>
      </w:r>
      <w:r w:rsidRPr="0044786D">
        <w:rPr>
          <w:rFonts w:ascii="Inter" w:hAnsi="Inter"/>
          <w:lang w:val="en-GB"/>
        </w:rPr>
        <w:t xml:space="preserve"> based on gross customer </w:t>
      </w:r>
      <w:r w:rsidRPr="009503C8">
        <w:rPr>
          <w:rFonts w:ascii="Inter" w:hAnsi="Inter"/>
          <w:lang w:val="en-GB"/>
        </w:rPr>
        <w:t xml:space="preserve">loans deteriorated slightly to 2.3% (2.0%). The </w:t>
      </w:r>
      <w:r w:rsidRPr="009503C8">
        <w:rPr>
          <w:rFonts w:ascii="Inter" w:hAnsi="Inter"/>
          <w:b/>
          <w:lang w:val="en-US"/>
        </w:rPr>
        <w:t>NPL coverage ratio</w:t>
      </w:r>
      <w:r w:rsidRPr="009503C8">
        <w:rPr>
          <w:rFonts w:ascii="Inter" w:hAnsi="Inter"/>
          <w:lang w:val="en-GB"/>
        </w:rPr>
        <w:t xml:space="preserve"> (excluding collateral) also slipped to 85.1% (94.6%).</w:t>
      </w:r>
    </w:p>
    <w:p w14:paraId="08049029" w14:textId="77777777" w:rsidR="00AB4AED" w:rsidRDefault="00AB4AED" w:rsidP="00BC5E2E">
      <w:pPr>
        <w:pStyle w:val="Bezmezer"/>
        <w:spacing w:line="280" w:lineRule="exact"/>
        <w:rPr>
          <w:rFonts w:ascii="Inter" w:hAnsi="Inter"/>
          <w:lang w:val="en-US"/>
        </w:rPr>
      </w:pPr>
    </w:p>
    <w:p w14:paraId="583BC6EC" w14:textId="77043126" w:rsidR="00AB4AED" w:rsidRPr="00363A05" w:rsidRDefault="00685E68" w:rsidP="004C64AC">
      <w:pPr>
        <w:pStyle w:val="Nadpis4"/>
        <w:rPr>
          <w:rFonts w:ascii="Inter" w:hAnsi="Inter"/>
          <w:color w:val="auto"/>
          <w:lang w:val="en-US"/>
        </w:rPr>
      </w:pPr>
      <w:r w:rsidRPr="00363A05">
        <w:rPr>
          <w:rFonts w:ascii="Inter" w:hAnsi="Inter"/>
          <w:color w:val="auto"/>
          <w:lang w:val="en-US"/>
        </w:rPr>
        <w:t>Strong operating result, low risk costs bolster bottom line performance</w:t>
      </w:r>
    </w:p>
    <w:p w14:paraId="27DDC099" w14:textId="77777777" w:rsidR="007D235C" w:rsidRPr="004029CC" w:rsidRDefault="007D235C" w:rsidP="00631773">
      <w:pPr>
        <w:spacing w:line="280" w:lineRule="exact"/>
        <w:rPr>
          <w:rFonts w:ascii="Inter" w:hAnsi="Inter"/>
          <w:lang w:val="en-US"/>
        </w:rPr>
      </w:pPr>
      <w:r w:rsidRPr="004029CC">
        <w:rPr>
          <w:rFonts w:ascii="Inter" w:hAnsi="Inter"/>
          <w:b/>
          <w:bCs/>
          <w:lang w:val="en-US"/>
        </w:rPr>
        <w:t>Other operating result</w:t>
      </w:r>
      <w:r w:rsidRPr="004029CC">
        <w:rPr>
          <w:rFonts w:ascii="Inter" w:hAnsi="Inter"/>
          <w:lang w:val="en-US"/>
        </w:rPr>
        <w:t xml:space="preserve"> amounted to EUR</w:t>
      </w:r>
      <w:r>
        <w:rPr>
          <w:rFonts w:ascii="Inter" w:hAnsi="Inter"/>
          <w:lang w:val="en-US"/>
        </w:rPr>
        <w:t> </w:t>
      </w:r>
      <w:r w:rsidRPr="004029CC">
        <w:rPr>
          <w:rFonts w:ascii="Inter" w:hAnsi="Inter"/>
          <w:lang w:val="en-US"/>
        </w:rPr>
        <w:t>-468 million (EUR</w:t>
      </w:r>
      <w:r>
        <w:rPr>
          <w:rFonts w:ascii="Inter" w:hAnsi="Inter"/>
          <w:lang w:val="en-US"/>
        </w:rPr>
        <w:t> </w:t>
      </w:r>
      <w:r w:rsidRPr="004029CC">
        <w:rPr>
          <w:rFonts w:ascii="Inter" w:hAnsi="Inter"/>
          <w:lang w:val="en-US"/>
        </w:rPr>
        <w:t>-399 million). Expenses for annual contributions to resolution funds</w:t>
      </w:r>
      <w:r>
        <w:rPr>
          <w:rFonts w:ascii="Inter" w:hAnsi="Inter"/>
          <w:lang w:val="en-US"/>
        </w:rPr>
        <w:t xml:space="preserve"> </w:t>
      </w:r>
      <w:r w:rsidRPr="004029CC">
        <w:rPr>
          <w:rFonts w:ascii="Inter" w:hAnsi="Inter"/>
          <w:lang w:val="en-US"/>
        </w:rPr>
        <w:t>declined (most notably in Austria and the Czech Republic) to EUR</w:t>
      </w:r>
      <w:r>
        <w:rPr>
          <w:rFonts w:ascii="Inter" w:hAnsi="Inter"/>
          <w:lang w:val="en-US"/>
        </w:rPr>
        <w:t> </w:t>
      </w:r>
      <w:r w:rsidRPr="004029CC">
        <w:rPr>
          <w:rFonts w:ascii="Inter" w:hAnsi="Inter"/>
          <w:lang w:val="en-US"/>
        </w:rPr>
        <w:t>113 million</w:t>
      </w:r>
      <w:r>
        <w:rPr>
          <w:rFonts w:ascii="Inter" w:hAnsi="Inter"/>
          <w:lang w:val="en-US"/>
        </w:rPr>
        <w:t xml:space="preserve"> </w:t>
      </w:r>
      <w:r w:rsidRPr="004029CC">
        <w:rPr>
          <w:rFonts w:ascii="Inter" w:hAnsi="Inter"/>
          <w:lang w:val="en-US"/>
        </w:rPr>
        <w:t>(EUR</w:t>
      </w:r>
      <w:r>
        <w:rPr>
          <w:rFonts w:ascii="Inter" w:hAnsi="Inter"/>
          <w:lang w:val="en-US"/>
        </w:rPr>
        <w:t> </w:t>
      </w:r>
      <w:r w:rsidRPr="004029CC">
        <w:rPr>
          <w:rFonts w:ascii="Inter" w:hAnsi="Inter"/>
          <w:lang w:val="en-US"/>
        </w:rPr>
        <w:t xml:space="preserve">139 million). Banking levies – currently payable in two core markets – </w:t>
      </w:r>
      <w:r>
        <w:rPr>
          <w:rFonts w:ascii="Inter" w:hAnsi="Inter"/>
          <w:lang w:val="en-US"/>
        </w:rPr>
        <w:t>were lower at</w:t>
      </w:r>
      <w:r w:rsidRPr="004029CC">
        <w:rPr>
          <w:rFonts w:ascii="Inter" w:hAnsi="Inter"/>
          <w:lang w:val="en-US"/>
        </w:rPr>
        <w:t xml:space="preserve"> </w:t>
      </w:r>
      <w:r>
        <w:rPr>
          <w:rFonts w:ascii="Inter" w:hAnsi="Inter"/>
          <w:lang w:val="en-US"/>
        </w:rPr>
        <w:t>EUR 183</w:t>
      </w:r>
      <w:r w:rsidRPr="004029CC">
        <w:rPr>
          <w:rFonts w:ascii="Inter" w:hAnsi="Inter"/>
          <w:lang w:val="en-US"/>
        </w:rPr>
        <w:t xml:space="preserve"> million (</w:t>
      </w:r>
      <w:r>
        <w:rPr>
          <w:rFonts w:ascii="Inter" w:hAnsi="Inter"/>
          <w:lang w:val="en-US"/>
        </w:rPr>
        <w:t>EUR 187</w:t>
      </w:r>
      <w:r w:rsidRPr="004029CC">
        <w:rPr>
          <w:rFonts w:ascii="Inter" w:hAnsi="Inter"/>
          <w:lang w:val="en-US"/>
        </w:rPr>
        <w:t xml:space="preserve"> million).</w:t>
      </w:r>
      <w:r>
        <w:rPr>
          <w:rFonts w:ascii="Inter" w:hAnsi="Inter"/>
          <w:lang w:val="en-US"/>
        </w:rPr>
        <w:t xml:space="preserve"> </w:t>
      </w:r>
      <w:r w:rsidRPr="004029CC">
        <w:rPr>
          <w:rFonts w:ascii="Inter" w:hAnsi="Inter"/>
          <w:lang w:val="en-US"/>
        </w:rPr>
        <w:t xml:space="preserve">Thereof, </w:t>
      </w:r>
      <w:r>
        <w:rPr>
          <w:rFonts w:ascii="Inter" w:hAnsi="Inter"/>
          <w:lang w:val="en-US"/>
        </w:rPr>
        <w:t>EUR 137 (EUR 124</w:t>
      </w:r>
      <w:r w:rsidRPr="004029CC">
        <w:rPr>
          <w:rFonts w:ascii="Inter" w:hAnsi="Inter"/>
          <w:lang w:val="en-US"/>
        </w:rPr>
        <w:t xml:space="preserve"> million</w:t>
      </w:r>
      <w:r>
        <w:rPr>
          <w:rFonts w:ascii="Inter" w:hAnsi="Inter"/>
          <w:lang w:val="en-US"/>
        </w:rPr>
        <w:t>)</w:t>
      </w:r>
      <w:r w:rsidRPr="004029CC">
        <w:rPr>
          <w:rFonts w:ascii="Inter" w:hAnsi="Inter"/>
          <w:lang w:val="en-US"/>
        </w:rPr>
        <w:t xml:space="preserve"> were charged in Hungary. In Austria, banking tax </w:t>
      </w:r>
      <w:r>
        <w:rPr>
          <w:rFonts w:ascii="Inter" w:hAnsi="Inter"/>
          <w:lang w:val="en-US"/>
        </w:rPr>
        <w:t>declined to</w:t>
      </w:r>
      <w:r w:rsidRPr="004029CC">
        <w:rPr>
          <w:rFonts w:ascii="Inter" w:hAnsi="Inter"/>
          <w:lang w:val="en-US"/>
        </w:rPr>
        <w:t xml:space="preserve"> </w:t>
      </w:r>
      <w:r>
        <w:rPr>
          <w:rFonts w:ascii="Inter" w:hAnsi="Inter"/>
          <w:lang w:val="en-US"/>
        </w:rPr>
        <w:t>EUR 46</w:t>
      </w:r>
      <w:r w:rsidRPr="004029CC">
        <w:rPr>
          <w:rFonts w:ascii="Inter" w:hAnsi="Inter"/>
          <w:lang w:val="en-US"/>
        </w:rPr>
        <w:t xml:space="preserve"> million (</w:t>
      </w:r>
      <w:r>
        <w:rPr>
          <w:rFonts w:ascii="Inter" w:hAnsi="Inter"/>
          <w:lang w:val="en-US"/>
        </w:rPr>
        <w:t>EUR 63</w:t>
      </w:r>
      <w:r w:rsidRPr="004029CC">
        <w:rPr>
          <w:rFonts w:ascii="Inter" w:hAnsi="Inter"/>
          <w:lang w:val="en-US"/>
        </w:rPr>
        <w:t xml:space="preserve"> million). Valuation effects had an adverse impac</w:t>
      </w:r>
      <w:r>
        <w:rPr>
          <w:rFonts w:ascii="Inter" w:hAnsi="Inter"/>
          <w:lang w:val="en-US"/>
        </w:rPr>
        <w:t>t</w:t>
      </w:r>
      <w:r w:rsidRPr="004029CC">
        <w:rPr>
          <w:rFonts w:ascii="Inter" w:hAnsi="Inter"/>
          <w:lang w:val="en-US"/>
        </w:rPr>
        <w:t xml:space="preserve"> on other operating result.</w:t>
      </w:r>
    </w:p>
    <w:p w14:paraId="01327511" w14:textId="77777777" w:rsidR="007D235C" w:rsidRPr="004029CC" w:rsidRDefault="007D235C" w:rsidP="00631773">
      <w:pPr>
        <w:spacing w:line="280" w:lineRule="exact"/>
        <w:rPr>
          <w:rFonts w:ascii="Inter" w:hAnsi="Inter"/>
          <w:lang w:val="en-US"/>
        </w:rPr>
      </w:pPr>
    </w:p>
    <w:p w14:paraId="07C1CB98" w14:textId="77777777" w:rsidR="007D235C" w:rsidRPr="0093125E" w:rsidRDefault="007D235C" w:rsidP="00631773">
      <w:pPr>
        <w:spacing w:line="280" w:lineRule="exact"/>
        <w:rPr>
          <w:rFonts w:ascii="Inter" w:hAnsi="Inter"/>
          <w:lang w:val="en-US"/>
        </w:rPr>
      </w:pPr>
      <w:r w:rsidRPr="0093125E">
        <w:rPr>
          <w:rFonts w:ascii="Inter" w:hAnsi="Inter"/>
          <w:lang w:val="en-US"/>
        </w:rPr>
        <w:t>Taxes on income amounted to EUR 874</w:t>
      </w:r>
      <w:r>
        <w:rPr>
          <w:rFonts w:ascii="Inter" w:hAnsi="Inter"/>
          <w:lang w:val="en-US"/>
        </w:rPr>
        <w:t xml:space="preserve"> </w:t>
      </w:r>
      <w:r w:rsidRPr="0093125E">
        <w:rPr>
          <w:rFonts w:ascii="Inter" w:hAnsi="Inter"/>
          <w:lang w:val="en-US"/>
        </w:rPr>
        <w:t>million (EUR</w:t>
      </w:r>
      <w:r>
        <w:rPr>
          <w:rFonts w:ascii="Inter" w:hAnsi="Inter"/>
          <w:lang w:val="en-US"/>
        </w:rPr>
        <w:t> </w:t>
      </w:r>
      <w:r w:rsidRPr="0093125E">
        <w:rPr>
          <w:rFonts w:ascii="Inter" w:hAnsi="Inter"/>
          <w:lang w:val="en-US"/>
        </w:rPr>
        <w:t>556</w:t>
      </w:r>
      <w:r>
        <w:rPr>
          <w:rFonts w:ascii="Inter" w:hAnsi="Inter"/>
          <w:lang w:val="en-US"/>
        </w:rPr>
        <w:t xml:space="preserve"> </w:t>
      </w:r>
      <w:r w:rsidRPr="0093125E">
        <w:rPr>
          <w:rFonts w:ascii="Inter" w:hAnsi="Inter"/>
          <w:lang w:val="en-US"/>
        </w:rPr>
        <w:t>million). The rise in the minority charge to EUR</w:t>
      </w:r>
      <w:r>
        <w:rPr>
          <w:rFonts w:ascii="Inter" w:hAnsi="Inter"/>
          <w:lang w:val="en-US"/>
        </w:rPr>
        <w:t> </w:t>
      </w:r>
      <w:r w:rsidRPr="0093125E">
        <w:rPr>
          <w:rFonts w:ascii="Inter" w:hAnsi="Inter"/>
          <w:lang w:val="en-US"/>
        </w:rPr>
        <w:t>923</w:t>
      </w:r>
      <w:r>
        <w:rPr>
          <w:rFonts w:ascii="Inter" w:hAnsi="Inter"/>
          <w:lang w:val="en-US"/>
        </w:rPr>
        <w:t xml:space="preserve"> </w:t>
      </w:r>
      <w:r w:rsidRPr="0093125E">
        <w:rPr>
          <w:rFonts w:ascii="Inter" w:hAnsi="Inter"/>
          <w:lang w:val="en-US"/>
        </w:rPr>
        <w:t>million (EUR</w:t>
      </w:r>
      <w:r>
        <w:rPr>
          <w:rFonts w:ascii="Inter" w:hAnsi="Inter"/>
          <w:lang w:val="en-US"/>
        </w:rPr>
        <w:t xml:space="preserve"> 502 </w:t>
      </w:r>
      <w:r w:rsidRPr="0093125E">
        <w:rPr>
          <w:rFonts w:ascii="Inter" w:hAnsi="Inter"/>
          <w:lang w:val="en-US"/>
        </w:rPr>
        <w:t xml:space="preserve">million) was attributable to significantly better results from the savings banks – primarily due to higher net interest income. The </w:t>
      </w:r>
      <w:r w:rsidRPr="0093125E">
        <w:rPr>
          <w:rFonts w:ascii="Inter" w:hAnsi="Inter"/>
          <w:b/>
          <w:bCs/>
          <w:lang w:val="en-US"/>
        </w:rPr>
        <w:t>net result attributable to owners of the parent</w:t>
      </w:r>
      <w:r w:rsidRPr="0093125E">
        <w:rPr>
          <w:rFonts w:ascii="Inter" w:hAnsi="Inter"/>
          <w:lang w:val="en-US"/>
        </w:rPr>
        <w:t xml:space="preserve"> rose to EUR</w:t>
      </w:r>
      <w:r>
        <w:rPr>
          <w:rFonts w:ascii="Inter" w:hAnsi="Inter"/>
          <w:lang w:val="en-US"/>
        </w:rPr>
        <w:t> </w:t>
      </w:r>
      <w:r w:rsidRPr="0093125E">
        <w:rPr>
          <w:rFonts w:ascii="Inter" w:hAnsi="Inter"/>
          <w:lang w:val="en-US"/>
        </w:rPr>
        <w:t>2</w:t>
      </w:r>
      <w:r>
        <w:rPr>
          <w:rFonts w:ascii="Inter" w:hAnsi="Inter"/>
          <w:lang w:val="en-US"/>
        </w:rPr>
        <w:t>,</w:t>
      </w:r>
      <w:r w:rsidRPr="0093125E">
        <w:rPr>
          <w:rFonts w:ascii="Inter" w:hAnsi="Inter"/>
          <w:lang w:val="en-US"/>
        </w:rPr>
        <w:t>998 million (EUR</w:t>
      </w:r>
      <w:r>
        <w:rPr>
          <w:rFonts w:ascii="Inter" w:hAnsi="Inter"/>
          <w:lang w:val="en-US"/>
        </w:rPr>
        <w:t> </w:t>
      </w:r>
      <w:r w:rsidRPr="0093125E">
        <w:rPr>
          <w:rFonts w:ascii="Inter" w:hAnsi="Inter"/>
          <w:lang w:val="en-US"/>
        </w:rPr>
        <w:t>2</w:t>
      </w:r>
      <w:r>
        <w:rPr>
          <w:rFonts w:ascii="Inter" w:hAnsi="Inter"/>
          <w:lang w:val="en-US"/>
        </w:rPr>
        <w:t>,</w:t>
      </w:r>
      <w:r w:rsidRPr="0093125E">
        <w:rPr>
          <w:rFonts w:ascii="Inter" w:hAnsi="Inter"/>
          <w:lang w:val="en-US"/>
        </w:rPr>
        <w:t>165 million) on the back of the strong operating result and</w:t>
      </w:r>
      <w:r>
        <w:rPr>
          <w:rFonts w:ascii="Inter" w:hAnsi="Inter"/>
          <w:lang w:val="en-US"/>
        </w:rPr>
        <w:t xml:space="preserve"> </w:t>
      </w:r>
      <w:r w:rsidRPr="0093125E">
        <w:rPr>
          <w:rFonts w:ascii="Inter" w:hAnsi="Inter"/>
          <w:lang w:val="en-US"/>
        </w:rPr>
        <w:t>low risk costs.</w:t>
      </w:r>
    </w:p>
    <w:p w14:paraId="20DAEFEB" w14:textId="77777777" w:rsidR="00AB4AED" w:rsidRDefault="00AB4AED" w:rsidP="00BC5E2E">
      <w:pPr>
        <w:pStyle w:val="Bezmezer"/>
        <w:spacing w:line="280" w:lineRule="exact"/>
        <w:rPr>
          <w:rFonts w:ascii="Inter" w:hAnsi="Inter"/>
          <w:lang w:val="en-US"/>
        </w:rPr>
      </w:pPr>
    </w:p>
    <w:p w14:paraId="57598320" w14:textId="2785A5BA" w:rsidR="00AB4AED" w:rsidRPr="004C64AC" w:rsidRDefault="00C7707E" w:rsidP="004C64AC">
      <w:pPr>
        <w:pStyle w:val="Nadpis4"/>
        <w:rPr>
          <w:rFonts w:ascii="Inter" w:hAnsi="Inter"/>
          <w:color w:val="auto"/>
          <w:lang w:val="en-US"/>
        </w:rPr>
      </w:pPr>
      <w:r w:rsidRPr="00363A05">
        <w:rPr>
          <w:rFonts w:ascii="Inter" w:hAnsi="Inter"/>
          <w:color w:val="auto"/>
          <w:lang w:val="en-US"/>
        </w:rPr>
        <w:lastRenderedPageBreak/>
        <w:t>Loan volumes rise in both retail and corporate segments</w:t>
      </w:r>
    </w:p>
    <w:p w14:paraId="57675A84" w14:textId="72A645BA" w:rsidR="00932100" w:rsidRDefault="00932100" w:rsidP="00631773">
      <w:pPr>
        <w:spacing w:line="280" w:lineRule="exact"/>
        <w:rPr>
          <w:rFonts w:ascii="Inter" w:hAnsi="Inter"/>
          <w:lang w:val="en-GB"/>
        </w:rPr>
      </w:pPr>
      <w:r w:rsidRPr="009114DD">
        <w:rPr>
          <w:rFonts w:ascii="Inter" w:hAnsi="Inter"/>
          <w:b/>
          <w:lang w:val="en-GB"/>
        </w:rPr>
        <w:t>Total equity</w:t>
      </w:r>
      <w:r w:rsidRPr="009114DD">
        <w:rPr>
          <w:rFonts w:ascii="Inter" w:hAnsi="Inter"/>
          <w:lang w:val="en-GB"/>
        </w:rPr>
        <w:t xml:space="preserve"> not including AT1 </w:t>
      </w:r>
      <w:r w:rsidRPr="0096478F">
        <w:rPr>
          <w:rFonts w:ascii="Inter" w:hAnsi="Inter"/>
          <w:lang w:val="en-GB"/>
        </w:rPr>
        <w:t xml:space="preserve">instruments rose to EUR 26.1 billion (EUR 23.1 billion). After regulatory deductions and filtering in accordance with the CRR, </w:t>
      </w:r>
      <w:r w:rsidRPr="0096478F">
        <w:rPr>
          <w:rFonts w:ascii="Inter" w:hAnsi="Inter"/>
          <w:b/>
          <w:lang w:val="en-GB"/>
        </w:rPr>
        <w:t>common equity tier 1 capital</w:t>
      </w:r>
      <w:r w:rsidRPr="0096478F">
        <w:rPr>
          <w:rFonts w:ascii="Inter" w:hAnsi="Inter"/>
          <w:lang w:val="en-GB"/>
        </w:rPr>
        <w:t xml:space="preserve"> (CET1, final) rose to EUR 22.9 billion (EUR 20.4 billion), as were total </w:t>
      </w:r>
      <w:r w:rsidRPr="0096478F">
        <w:rPr>
          <w:rFonts w:ascii="Inter" w:hAnsi="Inter"/>
          <w:b/>
          <w:lang w:val="en-GB"/>
        </w:rPr>
        <w:t>own funds</w:t>
      </w:r>
      <w:r w:rsidRPr="0096478F">
        <w:rPr>
          <w:rFonts w:ascii="Inter" w:hAnsi="Inter"/>
          <w:lang w:val="en-GB"/>
        </w:rPr>
        <w:t xml:space="preserve"> (final) to EUR 29.1 billion (EUR 26.2 billion). Total risk – </w:t>
      </w:r>
      <w:r w:rsidRPr="0096478F">
        <w:rPr>
          <w:rFonts w:ascii="Inter" w:hAnsi="Inter"/>
          <w:b/>
          <w:lang w:val="en-GB"/>
        </w:rPr>
        <w:t>risk-weighted assets</w:t>
      </w:r>
      <w:r w:rsidRPr="0096478F">
        <w:rPr>
          <w:rFonts w:ascii="Inter" w:hAnsi="Inter"/>
          <w:lang w:val="en-GB"/>
        </w:rPr>
        <w:t xml:space="preserve"> including credit, market and operational risk (CRR, final) – increased to EUR 146.</w:t>
      </w:r>
      <w:r>
        <w:rPr>
          <w:rFonts w:ascii="Inter" w:hAnsi="Inter"/>
          <w:lang w:val="en-GB"/>
        </w:rPr>
        <w:t>5</w:t>
      </w:r>
      <w:r w:rsidRPr="0096478F">
        <w:rPr>
          <w:rFonts w:ascii="Inter" w:hAnsi="Inter"/>
          <w:lang w:val="en-GB"/>
        </w:rPr>
        <w:t xml:space="preserve"> billion (EUR 143.9 billion). The </w:t>
      </w:r>
      <w:r w:rsidRPr="0096478F">
        <w:rPr>
          <w:rFonts w:ascii="Inter" w:hAnsi="Inter"/>
          <w:b/>
          <w:lang w:val="en-US"/>
        </w:rPr>
        <w:t>common equity tier 1 ratio</w:t>
      </w:r>
      <w:r w:rsidRPr="0096478F">
        <w:rPr>
          <w:rFonts w:ascii="Inter" w:hAnsi="Inter"/>
          <w:lang w:val="en-GB"/>
        </w:rPr>
        <w:t xml:space="preserve"> (CET1, final) improved to 15.7% (14.2%), the </w:t>
      </w:r>
      <w:r w:rsidRPr="0096478F">
        <w:rPr>
          <w:rFonts w:ascii="Inter" w:hAnsi="Inter"/>
          <w:b/>
          <w:lang w:val="en-US"/>
        </w:rPr>
        <w:t>total capital ratio</w:t>
      </w:r>
      <w:r w:rsidRPr="0096478F">
        <w:rPr>
          <w:rFonts w:ascii="Inter" w:hAnsi="Inter"/>
          <w:lang w:val="en-GB"/>
        </w:rPr>
        <w:t xml:space="preserve"> rose to 19.</w:t>
      </w:r>
      <w:r>
        <w:rPr>
          <w:rFonts w:ascii="Inter" w:hAnsi="Inter"/>
          <w:lang w:val="en-GB"/>
        </w:rPr>
        <w:t>9</w:t>
      </w:r>
      <w:r w:rsidRPr="0096478F">
        <w:rPr>
          <w:rFonts w:ascii="Inter" w:hAnsi="Inter"/>
          <w:lang w:val="en-GB"/>
        </w:rPr>
        <w:t>% (18.2%).</w:t>
      </w:r>
    </w:p>
    <w:p w14:paraId="1414900B" w14:textId="77777777" w:rsidR="00064CD1" w:rsidRDefault="00064CD1" w:rsidP="00631773">
      <w:pPr>
        <w:spacing w:line="280" w:lineRule="exact"/>
        <w:rPr>
          <w:rFonts w:ascii="Inter" w:hAnsi="Inter"/>
          <w:b/>
          <w:bCs/>
          <w:lang w:val="en-US"/>
        </w:rPr>
      </w:pPr>
    </w:p>
    <w:p w14:paraId="76FEB328" w14:textId="78106063" w:rsidR="00AB4AED" w:rsidRDefault="00932100" w:rsidP="00631773">
      <w:pPr>
        <w:spacing w:line="280" w:lineRule="exact"/>
        <w:rPr>
          <w:rFonts w:ascii="Inter" w:hAnsi="Inter"/>
          <w:lang w:val="en-US"/>
        </w:rPr>
      </w:pPr>
      <w:r w:rsidRPr="00E06198">
        <w:rPr>
          <w:rFonts w:ascii="Inter" w:hAnsi="Inter"/>
          <w:b/>
          <w:bCs/>
          <w:lang w:val="en-US"/>
        </w:rPr>
        <w:t>Total assets</w:t>
      </w:r>
      <w:r w:rsidRPr="00E06198">
        <w:rPr>
          <w:rFonts w:ascii="Inter" w:hAnsi="Inter"/>
          <w:lang w:val="en-US"/>
        </w:rPr>
        <w:t xml:space="preserve"> increased to EUR 337.</w:t>
      </w:r>
      <w:r>
        <w:rPr>
          <w:rFonts w:ascii="Inter" w:hAnsi="Inter"/>
          <w:lang w:val="en-US"/>
        </w:rPr>
        <w:t>2</w:t>
      </w:r>
      <w:r w:rsidRPr="00E06198">
        <w:rPr>
          <w:rFonts w:ascii="Inter" w:hAnsi="Inter"/>
          <w:lang w:val="en-US"/>
        </w:rPr>
        <w:t xml:space="preserve"> billion (+4</w:t>
      </w:r>
      <w:r>
        <w:rPr>
          <w:rFonts w:ascii="Inter" w:hAnsi="Inter"/>
          <w:lang w:val="en-US"/>
        </w:rPr>
        <w:t>.</w:t>
      </w:r>
      <w:r w:rsidRPr="00E06198">
        <w:rPr>
          <w:rFonts w:ascii="Inter" w:hAnsi="Inter"/>
          <w:lang w:val="en-US"/>
        </w:rPr>
        <w:t>1%; EUR</w:t>
      </w:r>
      <w:r>
        <w:rPr>
          <w:rFonts w:ascii="Inter" w:hAnsi="Inter"/>
          <w:lang w:val="en-US"/>
        </w:rPr>
        <w:t> </w:t>
      </w:r>
      <w:r w:rsidRPr="00E06198">
        <w:rPr>
          <w:rFonts w:ascii="Inter" w:hAnsi="Inter"/>
          <w:lang w:val="en-US"/>
        </w:rPr>
        <w:t xml:space="preserve">323.9 billion). On the asset side, cash and cash balances </w:t>
      </w:r>
      <w:r>
        <w:rPr>
          <w:rFonts w:ascii="Inter" w:hAnsi="Inter"/>
          <w:lang w:val="en-US"/>
        </w:rPr>
        <w:t>increased</w:t>
      </w:r>
      <w:r w:rsidRPr="00E06198">
        <w:rPr>
          <w:rFonts w:ascii="Inter" w:hAnsi="Inter"/>
          <w:lang w:val="en-US"/>
        </w:rPr>
        <w:t xml:space="preserve"> to EUR</w:t>
      </w:r>
      <w:r>
        <w:rPr>
          <w:rFonts w:ascii="Inter" w:hAnsi="Inter"/>
          <w:lang w:val="en-US"/>
        </w:rPr>
        <w:t> </w:t>
      </w:r>
      <w:r w:rsidRPr="00E06198">
        <w:rPr>
          <w:rFonts w:ascii="Inter" w:hAnsi="Inter"/>
          <w:lang w:val="en-US"/>
        </w:rPr>
        <w:t>36</w:t>
      </w:r>
      <w:r>
        <w:rPr>
          <w:rFonts w:ascii="Inter" w:hAnsi="Inter"/>
          <w:lang w:val="en-US"/>
        </w:rPr>
        <w:t>.</w:t>
      </w:r>
      <w:r w:rsidRPr="00E06198">
        <w:rPr>
          <w:rFonts w:ascii="Inter" w:hAnsi="Inter"/>
          <w:lang w:val="en-US"/>
        </w:rPr>
        <w:t xml:space="preserve">7 </w:t>
      </w:r>
      <w:r>
        <w:rPr>
          <w:rFonts w:ascii="Inter" w:hAnsi="Inter"/>
          <w:lang w:val="en-US"/>
        </w:rPr>
        <w:t>billion</w:t>
      </w:r>
      <w:r w:rsidRPr="00E06198">
        <w:rPr>
          <w:rFonts w:ascii="Inter" w:hAnsi="Inter"/>
          <w:lang w:val="en-US"/>
        </w:rPr>
        <w:t xml:space="preserve"> (EUR</w:t>
      </w:r>
      <w:r>
        <w:rPr>
          <w:rFonts w:ascii="Inter" w:hAnsi="Inter"/>
          <w:lang w:val="en-US"/>
        </w:rPr>
        <w:t> </w:t>
      </w:r>
      <w:r w:rsidRPr="00E06198">
        <w:rPr>
          <w:rFonts w:ascii="Inter" w:hAnsi="Inter"/>
          <w:lang w:val="en-US"/>
        </w:rPr>
        <w:t>35</w:t>
      </w:r>
      <w:r>
        <w:rPr>
          <w:rFonts w:ascii="Inter" w:hAnsi="Inter"/>
          <w:lang w:val="en-US"/>
        </w:rPr>
        <w:t>.</w:t>
      </w:r>
      <w:r w:rsidRPr="00E06198">
        <w:rPr>
          <w:rFonts w:ascii="Inter" w:hAnsi="Inter"/>
          <w:lang w:val="en-US"/>
        </w:rPr>
        <w:t xml:space="preserve">7 </w:t>
      </w:r>
      <w:r>
        <w:rPr>
          <w:rFonts w:ascii="Inter" w:hAnsi="Inter"/>
          <w:lang w:val="en-US"/>
        </w:rPr>
        <w:t>billion</w:t>
      </w:r>
      <w:r w:rsidR="00731973">
        <w:rPr>
          <w:rFonts w:ascii="Inter" w:hAnsi="Inter"/>
          <w:lang w:val="en-US"/>
        </w:rPr>
        <w:t>)</w:t>
      </w:r>
      <w:r w:rsidRPr="00E06198">
        <w:rPr>
          <w:rFonts w:ascii="Inter" w:hAnsi="Inter"/>
          <w:lang w:val="en-US"/>
        </w:rPr>
        <w:t xml:space="preserve">, loans and advances to banks rose to </w:t>
      </w:r>
      <w:r>
        <w:rPr>
          <w:rFonts w:ascii="Inter" w:hAnsi="Inter"/>
          <w:lang w:val="en-US"/>
        </w:rPr>
        <w:t>EUR 21.4</w:t>
      </w:r>
      <w:r w:rsidRPr="00E06198">
        <w:rPr>
          <w:rFonts w:ascii="Inter" w:hAnsi="Inter"/>
          <w:lang w:val="en-US"/>
        </w:rPr>
        <w:t xml:space="preserve"> billion (EUR</w:t>
      </w:r>
      <w:r>
        <w:rPr>
          <w:rFonts w:ascii="Inter" w:hAnsi="Inter"/>
          <w:lang w:val="en-US"/>
        </w:rPr>
        <w:t> </w:t>
      </w:r>
      <w:r w:rsidRPr="00E06198">
        <w:rPr>
          <w:rFonts w:ascii="Inter" w:hAnsi="Inter"/>
          <w:lang w:val="en-US"/>
        </w:rPr>
        <w:t>18.4 billion), most notably in Austria and the Czech</w:t>
      </w:r>
      <w:r>
        <w:rPr>
          <w:rFonts w:ascii="Inter" w:hAnsi="Inter"/>
          <w:lang w:val="en-US"/>
        </w:rPr>
        <w:t xml:space="preserve"> </w:t>
      </w:r>
      <w:r w:rsidRPr="00E06198">
        <w:rPr>
          <w:rFonts w:ascii="Inter" w:hAnsi="Inter"/>
          <w:lang w:val="en-US"/>
        </w:rPr>
        <w:t xml:space="preserve">Republic. </w:t>
      </w:r>
      <w:r w:rsidRPr="00E06198">
        <w:rPr>
          <w:rFonts w:ascii="Inter" w:hAnsi="Inter"/>
          <w:b/>
          <w:bCs/>
          <w:lang w:val="en-US"/>
        </w:rPr>
        <w:t>Loans and advances to customers</w:t>
      </w:r>
      <w:r w:rsidRPr="00E06198">
        <w:rPr>
          <w:rFonts w:ascii="Inter" w:hAnsi="Inter"/>
          <w:lang w:val="en-US"/>
        </w:rPr>
        <w:t xml:space="preserve"> </w:t>
      </w:r>
      <w:r>
        <w:rPr>
          <w:rFonts w:ascii="Inter" w:hAnsi="Inter"/>
          <w:lang w:val="en-US"/>
        </w:rPr>
        <w:t>rose</w:t>
      </w:r>
      <w:r w:rsidRPr="00E06198">
        <w:rPr>
          <w:rFonts w:ascii="Inter" w:hAnsi="Inter"/>
          <w:lang w:val="en-US"/>
        </w:rPr>
        <w:t xml:space="preserve"> to EUR</w:t>
      </w:r>
      <w:r>
        <w:rPr>
          <w:rFonts w:ascii="Inter" w:hAnsi="Inter"/>
          <w:lang w:val="en-US"/>
        </w:rPr>
        <w:t> 207.8</w:t>
      </w:r>
      <w:r w:rsidRPr="00E06198">
        <w:rPr>
          <w:rFonts w:ascii="Inter" w:hAnsi="Inter"/>
          <w:lang w:val="en-US"/>
        </w:rPr>
        <w:t xml:space="preserve"> billion (+2.</w:t>
      </w:r>
      <w:r>
        <w:rPr>
          <w:rFonts w:ascii="Inter" w:hAnsi="Inter"/>
          <w:lang w:val="en-US"/>
        </w:rPr>
        <w:t>8</w:t>
      </w:r>
      <w:r w:rsidRPr="00E06198">
        <w:rPr>
          <w:rFonts w:ascii="Inter" w:hAnsi="Inter"/>
          <w:lang w:val="en-US"/>
        </w:rPr>
        <w:t>%; EUR</w:t>
      </w:r>
      <w:r>
        <w:rPr>
          <w:rFonts w:ascii="Inter" w:hAnsi="Inter"/>
          <w:lang w:val="en-US"/>
        </w:rPr>
        <w:t> </w:t>
      </w:r>
      <w:r w:rsidRPr="00E06198">
        <w:rPr>
          <w:rFonts w:ascii="Inter" w:hAnsi="Inter"/>
          <w:lang w:val="en-US"/>
        </w:rPr>
        <w:t>202.1 billion)</w:t>
      </w:r>
      <w:r>
        <w:rPr>
          <w:rFonts w:ascii="Inter" w:hAnsi="Inter"/>
          <w:lang w:val="en-US"/>
        </w:rPr>
        <w:t xml:space="preserve"> </w:t>
      </w:r>
      <w:r w:rsidRPr="00E06198">
        <w:rPr>
          <w:rFonts w:ascii="Inter" w:hAnsi="Inter"/>
          <w:lang w:val="en-US"/>
        </w:rPr>
        <w:t xml:space="preserve">with both retail and corporate loan volumes </w:t>
      </w:r>
      <w:r>
        <w:rPr>
          <w:rFonts w:ascii="Inter" w:hAnsi="Inter"/>
          <w:lang w:val="en-US"/>
        </w:rPr>
        <w:t>up</w:t>
      </w:r>
      <w:r w:rsidRPr="00E06198">
        <w:rPr>
          <w:rFonts w:ascii="Inter" w:hAnsi="Inter"/>
          <w:lang w:val="en-US"/>
        </w:rPr>
        <w:t>. On the liability side, deposits from banks declined to EUR</w:t>
      </w:r>
      <w:r>
        <w:rPr>
          <w:rFonts w:ascii="Inter" w:hAnsi="Inter"/>
          <w:lang w:val="en-US"/>
        </w:rPr>
        <w:t> 22.9</w:t>
      </w:r>
      <w:r w:rsidRPr="00E06198">
        <w:rPr>
          <w:rFonts w:ascii="Inter" w:hAnsi="Inter"/>
          <w:lang w:val="en-US"/>
        </w:rPr>
        <w:t xml:space="preserve"> billion (EUR</w:t>
      </w:r>
      <w:r>
        <w:rPr>
          <w:rFonts w:ascii="Inter" w:hAnsi="Inter"/>
          <w:lang w:val="en-US"/>
        </w:rPr>
        <w:t> </w:t>
      </w:r>
      <w:r w:rsidRPr="00E06198">
        <w:rPr>
          <w:rFonts w:ascii="Inter" w:hAnsi="Inter"/>
          <w:lang w:val="en-US"/>
        </w:rPr>
        <w:t>28.8</w:t>
      </w:r>
      <w:r>
        <w:rPr>
          <w:rFonts w:ascii="Inter" w:hAnsi="Inter"/>
          <w:lang w:val="en-US"/>
        </w:rPr>
        <w:t xml:space="preserve"> </w:t>
      </w:r>
      <w:r w:rsidRPr="00E06198">
        <w:rPr>
          <w:rFonts w:ascii="Inter" w:hAnsi="Inter"/>
          <w:lang w:val="en-US"/>
        </w:rPr>
        <w:t xml:space="preserve">billion). </w:t>
      </w:r>
      <w:r w:rsidRPr="00E06198">
        <w:rPr>
          <w:rFonts w:ascii="Inter" w:hAnsi="Inter"/>
          <w:b/>
          <w:bCs/>
          <w:lang w:val="en-US"/>
        </w:rPr>
        <w:t>Customer deposits</w:t>
      </w:r>
      <w:r w:rsidRPr="00E06198">
        <w:rPr>
          <w:rFonts w:ascii="Inter" w:hAnsi="Inter"/>
          <w:lang w:val="en-US"/>
        </w:rPr>
        <w:t xml:space="preserve"> rose in nearly all core markets – most strongly in Austria and the Czech Republic – to EUR </w:t>
      </w:r>
      <w:r>
        <w:rPr>
          <w:rFonts w:ascii="Inter" w:hAnsi="Inter"/>
          <w:lang w:val="en-US"/>
        </w:rPr>
        <w:t>232.8</w:t>
      </w:r>
      <w:r w:rsidRPr="00E06198">
        <w:rPr>
          <w:rFonts w:ascii="Inter" w:hAnsi="Inter"/>
          <w:lang w:val="en-US"/>
        </w:rPr>
        <w:t xml:space="preserve"> billion</w:t>
      </w:r>
      <w:r>
        <w:rPr>
          <w:rFonts w:ascii="Inter" w:hAnsi="Inter"/>
          <w:lang w:val="en-US"/>
        </w:rPr>
        <w:t xml:space="preserve"> </w:t>
      </w:r>
      <w:r w:rsidRPr="00E06198">
        <w:rPr>
          <w:rFonts w:ascii="Inter" w:hAnsi="Inter"/>
          <w:lang w:val="en-US"/>
        </w:rPr>
        <w:t>(+</w:t>
      </w:r>
      <w:r>
        <w:rPr>
          <w:rFonts w:ascii="Inter" w:hAnsi="Inter"/>
          <w:lang w:val="en-US"/>
        </w:rPr>
        <w:t>3.9</w:t>
      </w:r>
      <w:r w:rsidRPr="00E06198">
        <w:rPr>
          <w:rFonts w:ascii="Inter" w:hAnsi="Inter"/>
          <w:lang w:val="en-US"/>
        </w:rPr>
        <w:t>%; EUR</w:t>
      </w:r>
      <w:r>
        <w:rPr>
          <w:rFonts w:ascii="Inter" w:hAnsi="Inter"/>
          <w:lang w:val="en-US"/>
        </w:rPr>
        <w:t> </w:t>
      </w:r>
      <w:r w:rsidRPr="00E06198">
        <w:rPr>
          <w:rFonts w:ascii="Inter" w:hAnsi="Inter"/>
          <w:lang w:val="en-US"/>
        </w:rPr>
        <w:t xml:space="preserve">224.0 billion). The </w:t>
      </w:r>
      <w:r w:rsidRPr="00E06198">
        <w:rPr>
          <w:rFonts w:ascii="Inter" w:hAnsi="Inter"/>
          <w:b/>
          <w:bCs/>
          <w:lang w:val="en-US"/>
        </w:rPr>
        <w:t>loan-to-deposit ratio</w:t>
      </w:r>
      <w:r w:rsidRPr="00E06198">
        <w:rPr>
          <w:rFonts w:ascii="Inter" w:hAnsi="Inter"/>
          <w:lang w:val="en-US"/>
        </w:rPr>
        <w:t xml:space="preserve"> stood at </w:t>
      </w:r>
      <w:r>
        <w:rPr>
          <w:rFonts w:ascii="Inter" w:hAnsi="Inter"/>
          <w:lang w:val="en-US"/>
        </w:rPr>
        <w:t>89.3</w:t>
      </w:r>
      <w:r w:rsidRPr="00E06198">
        <w:rPr>
          <w:rFonts w:ascii="Inter" w:hAnsi="Inter"/>
          <w:lang w:val="en-US"/>
        </w:rPr>
        <w:t>% (90.2%)</w:t>
      </w:r>
    </w:p>
    <w:p w14:paraId="490FC198" w14:textId="77777777" w:rsidR="00AB4AED" w:rsidRDefault="00AB4AED" w:rsidP="00BC5E2E">
      <w:pPr>
        <w:pStyle w:val="Bezmezer"/>
        <w:spacing w:line="280" w:lineRule="exact"/>
        <w:rPr>
          <w:rFonts w:ascii="Inter" w:hAnsi="Inter"/>
          <w:lang w:val="en-US"/>
        </w:rPr>
      </w:pPr>
    </w:p>
    <w:p w14:paraId="3EBF3740" w14:textId="6C13051A" w:rsidR="00AB4AED" w:rsidRPr="004C64AC" w:rsidRDefault="00064CD1" w:rsidP="004C64AC">
      <w:pPr>
        <w:pStyle w:val="Nadpis4"/>
        <w:rPr>
          <w:rFonts w:ascii="Inter" w:hAnsi="Inter"/>
          <w:color w:val="auto"/>
          <w:lang w:val="en-US"/>
        </w:rPr>
      </w:pPr>
      <w:r>
        <w:rPr>
          <w:rFonts w:ascii="Inter" w:hAnsi="Inter"/>
          <w:color w:val="auto"/>
          <w:lang w:val="en-US"/>
        </w:rPr>
        <w:t>Outlook</w:t>
      </w:r>
      <w:r w:rsidR="003965F0">
        <w:rPr>
          <w:rFonts w:ascii="Inter" w:hAnsi="Inter"/>
          <w:color w:val="auto"/>
          <w:lang w:val="en-US"/>
        </w:rPr>
        <w:t xml:space="preserve"> for 2024</w:t>
      </w:r>
    </w:p>
    <w:p w14:paraId="2531E0E8" w14:textId="77777777" w:rsidR="00333B0E" w:rsidRPr="00501A58" w:rsidRDefault="00333B0E" w:rsidP="00631773">
      <w:pPr>
        <w:spacing w:line="280" w:lineRule="exact"/>
        <w:rPr>
          <w:rFonts w:ascii="Inter" w:hAnsi="Inter"/>
          <w:lang w:val="en-GB"/>
        </w:rPr>
      </w:pPr>
      <w:r w:rsidRPr="00501A58">
        <w:rPr>
          <w:rFonts w:ascii="Inter" w:hAnsi="Inter"/>
          <w:lang w:val="en-GB"/>
        </w:rPr>
        <w:t xml:space="preserve">The expectation by economists is for Erste Group’s core markets to </w:t>
      </w:r>
      <w:r w:rsidRPr="003965F0">
        <w:rPr>
          <w:rFonts w:ascii="Inter" w:hAnsi="Inter"/>
          <w:bCs/>
          <w:lang w:val="en-GB"/>
        </w:rPr>
        <w:t>post</w:t>
      </w:r>
      <w:r w:rsidRPr="00D923B4">
        <w:rPr>
          <w:rFonts w:ascii="Inter" w:hAnsi="Inter"/>
          <w:b/>
          <w:lang w:val="en-GB"/>
        </w:rPr>
        <w:t xml:space="preserve"> improved real GDP growth </w:t>
      </w:r>
      <w:r w:rsidRPr="003965F0">
        <w:rPr>
          <w:rFonts w:ascii="Inter" w:hAnsi="Inter"/>
          <w:bCs/>
          <w:lang w:val="en-GB"/>
        </w:rPr>
        <w:t>in 2024</w:t>
      </w:r>
      <w:r w:rsidRPr="00501A58">
        <w:rPr>
          <w:rFonts w:ascii="Inter" w:hAnsi="Inter"/>
          <w:lang w:val="en-GB"/>
        </w:rPr>
        <w:t xml:space="preserve">. </w:t>
      </w:r>
      <w:r w:rsidRPr="00D923B4">
        <w:rPr>
          <w:rFonts w:ascii="Inter" w:hAnsi="Inter"/>
          <w:b/>
          <w:lang w:val="en-GB"/>
        </w:rPr>
        <w:t>Inflationary pressures</w:t>
      </w:r>
      <w:r w:rsidRPr="00501A58">
        <w:rPr>
          <w:rFonts w:ascii="Inter" w:hAnsi="Inter"/>
          <w:lang w:val="en-GB"/>
        </w:rPr>
        <w:t xml:space="preserve"> are expected to </w:t>
      </w:r>
      <w:r w:rsidRPr="00D923B4">
        <w:rPr>
          <w:rFonts w:ascii="Inter" w:hAnsi="Inter"/>
          <w:b/>
          <w:lang w:val="en-GB"/>
        </w:rPr>
        <w:t>continue their downward trend</w:t>
      </w:r>
      <w:r w:rsidRPr="00501A58">
        <w:rPr>
          <w:rFonts w:ascii="Inter" w:hAnsi="Inter"/>
          <w:lang w:val="en-GB"/>
        </w:rPr>
        <w:t xml:space="preserve"> in 2024. </w:t>
      </w:r>
      <w:r w:rsidRPr="00D923B4">
        <w:rPr>
          <w:rFonts w:ascii="Inter" w:hAnsi="Inter"/>
          <w:b/>
          <w:lang w:val="en-GB"/>
        </w:rPr>
        <w:t>Continued strong labour markets</w:t>
      </w:r>
      <w:r w:rsidRPr="00501A58">
        <w:rPr>
          <w:rFonts w:ascii="Inter" w:hAnsi="Inter"/>
          <w:lang w:val="en-GB"/>
        </w:rPr>
        <w:t xml:space="preserve"> should be supportive of economic performance in all of Erste Group’s markets. Current account balances are projected to remain at sustainable levels in most countries, while fiscal deficits should continue their path of consolidation. </w:t>
      </w:r>
      <w:r w:rsidRPr="00D923B4">
        <w:rPr>
          <w:rFonts w:ascii="Inter" w:hAnsi="Inter"/>
          <w:b/>
          <w:lang w:val="en-GB"/>
        </w:rPr>
        <w:t>Public debt to GDP</w:t>
      </w:r>
      <w:r w:rsidRPr="00501A58">
        <w:rPr>
          <w:rFonts w:ascii="Inter" w:hAnsi="Inter"/>
          <w:lang w:val="en-GB"/>
        </w:rPr>
        <w:t xml:space="preserve"> in all Erste Group markets is projected </w:t>
      </w:r>
      <w:r w:rsidRPr="00D923B4">
        <w:rPr>
          <w:rFonts w:ascii="Inter" w:hAnsi="Inter"/>
          <w:b/>
          <w:lang w:val="en-GB"/>
        </w:rPr>
        <w:t>to be broadly stable</w:t>
      </w:r>
      <w:r w:rsidRPr="00501A58">
        <w:rPr>
          <w:rFonts w:ascii="Inter" w:hAnsi="Inter"/>
          <w:lang w:val="en-GB"/>
        </w:rPr>
        <w:t>, and hence remain materially below the euro zone average.</w:t>
      </w:r>
    </w:p>
    <w:p w14:paraId="404A3990" w14:textId="77777777" w:rsidR="00AB4AED" w:rsidRPr="00333B0E" w:rsidRDefault="00AB4AED" w:rsidP="00631773">
      <w:pPr>
        <w:pStyle w:val="Bezmezer"/>
        <w:spacing w:line="280" w:lineRule="exact"/>
        <w:rPr>
          <w:rFonts w:ascii="Inter" w:hAnsi="Inter"/>
          <w:lang w:val="en-GB"/>
        </w:rPr>
      </w:pPr>
    </w:p>
    <w:p w14:paraId="5E10FA30" w14:textId="035D2525" w:rsidR="00AB4AED" w:rsidRDefault="00BD03F8" w:rsidP="00631773">
      <w:pPr>
        <w:pStyle w:val="Bezmezer"/>
        <w:spacing w:line="280" w:lineRule="exact"/>
        <w:rPr>
          <w:rFonts w:ascii="Inter" w:hAnsi="Inter"/>
          <w:lang w:val="en-US"/>
        </w:rPr>
      </w:pPr>
      <w:r w:rsidRPr="00501A58">
        <w:rPr>
          <w:rFonts w:ascii="Inter" w:hAnsi="Inter" w:cs="Arial"/>
          <w:sz w:val="20"/>
          <w:szCs w:val="20"/>
          <w:lang w:val="en-GB"/>
        </w:rPr>
        <w:t xml:space="preserve">Against this backdrop, Erste Group expects </w:t>
      </w:r>
      <w:r w:rsidRPr="00D923B4">
        <w:rPr>
          <w:rFonts w:ascii="Inter" w:hAnsi="Inter" w:cs="Arial"/>
          <w:b/>
          <w:sz w:val="20"/>
          <w:szCs w:val="20"/>
          <w:lang w:val="en-GB"/>
        </w:rPr>
        <w:t>net loan growth of about 5%.</w:t>
      </w:r>
      <w:r>
        <w:rPr>
          <w:rFonts w:ascii="Inter" w:hAnsi="Inter" w:cs="Arial"/>
          <w:sz w:val="20"/>
          <w:szCs w:val="20"/>
          <w:lang w:val="en-GB"/>
        </w:rPr>
        <w:t xml:space="preserve"> </w:t>
      </w:r>
      <w:r w:rsidR="00957973" w:rsidRPr="00501A58">
        <w:rPr>
          <w:rFonts w:ascii="Inter" w:hAnsi="Inter" w:cs="Arial"/>
          <w:sz w:val="20"/>
          <w:szCs w:val="20"/>
          <w:lang w:val="en-GB"/>
        </w:rPr>
        <w:t xml:space="preserve">Based on the </w:t>
      </w:r>
      <w:proofErr w:type="gramStart"/>
      <w:r w:rsidR="00957973" w:rsidRPr="00501A58">
        <w:rPr>
          <w:rFonts w:ascii="Inter" w:hAnsi="Inter" w:cs="Arial"/>
          <w:sz w:val="20"/>
          <w:szCs w:val="20"/>
          <w:lang w:val="en-GB"/>
        </w:rPr>
        <w:t>macro outlook</w:t>
      </w:r>
      <w:proofErr w:type="gramEnd"/>
      <w:r w:rsidR="00957973" w:rsidRPr="00501A58">
        <w:rPr>
          <w:rFonts w:ascii="Inter" w:hAnsi="Inter" w:cs="Arial"/>
          <w:sz w:val="20"/>
          <w:szCs w:val="20"/>
          <w:lang w:val="en-GB"/>
        </w:rPr>
        <w:t xml:space="preserve"> presented above, </w:t>
      </w:r>
      <w:r w:rsidR="00957973" w:rsidRPr="00D923B4">
        <w:rPr>
          <w:rFonts w:ascii="Inter" w:hAnsi="Inter" w:cs="Arial"/>
          <w:b/>
          <w:sz w:val="20"/>
          <w:szCs w:val="20"/>
          <w:lang w:val="en-GB"/>
        </w:rPr>
        <w:t>risk costs should remain at a low level</w:t>
      </w:r>
      <w:r w:rsidR="00957973" w:rsidRPr="00501A58">
        <w:rPr>
          <w:rFonts w:ascii="Inter" w:hAnsi="Inter" w:cs="Arial"/>
          <w:sz w:val="20"/>
          <w:szCs w:val="20"/>
          <w:lang w:val="en-GB"/>
        </w:rPr>
        <w:t xml:space="preserve"> in 2024.</w:t>
      </w:r>
      <w:r w:rsidR="00DD1B1D">
        <w:rPr>
          <w:rFonts w:ascii="Inter" w:hAnsi="Inter" w:cs="Arial"/>
          <w:sz w:val="20"/>
          <w:szCs w:val="20"/>
          <w:lang w:val="en-GB"/>
        </w:rPr>
        <w:t xml:space="preserve"> </w:t>
      </w:r>
      <w:r w:rsidR="00DD1B1D" w:rsidRPr="00DD1B1D">
        <w:rPr>
          <w:rFonts w:ascii="Inter" w:hAnsi="Inter" w:cs="Arial"/>
          <w:sz w:val="20"/>
          <w:szCs w:val="20"/>
          <w:lang w:val="en-GB"/>
        </w:rPr>
        <w:t>While precise forecasting is hard at current low risk cost levels, Erste Group believes that in 2024 risk costs will be below 25 basis points of average gross customer loans.</w:t>
      </w:r>
    </w:p>
    <w:p w14:paraId="7B0D1DA4" w14:textId="77777777" w:rsidR="00AB4AED" w:rsidRDefault="00AB4AED" w:rsidP="00631773">
      <w:pPr>
        <w:pStyle w:val="Bezmezer"/>
        <w:spacing w:line="280" w:lineRule="exact"/>
        <w:rPr>
          <w:rFonts w:ascii="Inter" w:hAnsi="Inter"/>
          <w:lang w:val="en-US"/>
        </w:rPr>
      </w:pPr>
    </w:p>
    <w:p w14:paraId="36FF026B" w14:textId="1F78EC50" w:rsidR="00957973" w:rsidRDefault="00337627" w:rsidP="00631773">
      <w:pPr>
        <w:pStyle w:val="Bezmezer"/>
        <w:spacing w:line="280" w:lineRule="exact"/>
        <w:rPr>
          <w:rFonts w:ascii="Inter" w:hAnsi="Inter" w:cs="Arial"/>
          <w:sz w:val="20"/>
          <w:szCs w:val="20"/>
          <w:lang w:val="en-GB"/>
        </w:rPr>
      </w:pPr>
      <w:r w:rsidRPr="00501A58">
        <w:rPr>
          <w:rFonts w:ascii="Inter" w:hAnsi="Inter" w:cs="Arial"/>
          <w:sz w:val="20"/>
          <w:szCs w:val="20"/>
          <w:lang w:val="en-GB"/>
        </w:rPr>
        <w:t xml:space="preserve">Erste Group’s goal for 2024 is to achieve a </w:t>
      </w:r>
      <w:r w:rsidRPr="00FB6256">
        <w:rPr>
          <w:rFonts w:ascii="Inter" w:hAnsi="Inter" w:cs="Arial"/>
          <w:b/>
          <w:bCs/>
          <w:sz w:val="20"/>
          <w:szCs w:val="20"/>
          <w:lang w:val="en-GB"/>
        </w:rPr>
        <w:t>return on tangible equity (ROTE)</w:t>
      </w:r>
      <w:r w:rsidRPr="00501A58">
        <w:rPr>
          <w:rFonts w:ascii="Inter" w:hAnsi="Inter" w:cs="Arial"/>
          <w:sz w:val="20"/>
          <w:szCs w:val="20"/>
          <w:lang w:val="en-GB"/>
        </w:rPr>
        <w:t xml:space="preserve"> of about 15%.</w:t>
      </w:r>
      <w:r>
        <w:rPr>
          <w:rFonts w:ascii="Inter" w:hAnsi="Inter" w:cs="Arial"/>
          <w:sz w:val="20"/>
          <w:szCs w:val="20"/>
          <w:lang w:val="en-GB"/>
        </w:rPr>
        <w:t xml:space="preserve"> </w:t>
      </w:r>
      <w:r w:rsidR="00182143">
        <w:rPr>
          <w:rFonts w:ascii="Inter" w:hAnsi="Inter" w:cs="Arial"/>
          <w:sz w:val="20"/>
          <w:szCs w:val="20"/>
          <w:lang w:val="en-GB"/>
        </w:rPr>
        <w:t>The</w:t>
      </w:r>
      <w:r w:rsidR="00354E34" w:rsidRPr="00501A58">
        <w:rPr>
          <w:rFonts w:ascii="Inter" w:hAnsi="Inter" w:cs="Arial"/>
          <w:sz w:val="20"/>
          <w:szCs w:val="20"/>
          <w:lang w:val="en-GB"/>
        </w:rPr>
        <w:t xml:space="preserve"> </w:t>
      </w:r>
      <w:r w:rsidR="00182143" w:rsidRPr="002841DB">
        <w:rPr>
          <w:rFonts w:ascii="Inter" w:hAnsi="Inter" w:cs="Arial"/>
          <w:b/>
          <w:bCs/>
          <w:sz w:val="20"/>
          <w:szCs w:val="20"/>
          <w:lang w:val="en-GB"/>
        </w:rPr>
        <w:t>CET1 ratio</w:t>
      </w:r>
      <w:r w:rsidR="00182143" w:rsidRPr="00182143">
        <w:rPr>
          <w:rFonts w:ascii="Inter" w:hAnsi="Inter" w:cs="Arial"/>
          <w:sz w:val="20"/>
          <w:szCs w:val="20"/>
          <w:lang w:val="en-GB"/>
        </w:rPr>
        <w:t xml:space="preserve"> is expected to remain strong, providing enhanced capital return and/or M&amp;A flexibility, despite Erste Group targeting the execution of a </w:t>
      </w:r>
      <w:r w:rsidR="00182143" w:rsidRPr="002841DB">
        <w:rPr>
          <w:rFonts w:ascii="Inter" w:hAnsi="Inter" w:cs="Arial"/>
          <w:b/>
          <w:bCs/>
          <w:sz w:val="20"/>
          <w:szCs w:val="20"/>
          <w:lang w:val="en-GB"/>
        </w:rPr>
        <w:t>share buyback</w:t>
      </w:r>
      <w:r w:rsidR="00182143" w:rsidRPr="00182143">
        <w:rPr>
          <w:rFonts w:ascii="Inter" w:hAnsi="Inter" w:cs="Arial"/>
          <w:sz w:val="20"/>
          <w:szCs w:val="20"/>
          <w:lang w:val="en-GB"/>
        </w:rPr>
        <w:t xml:space="preserve"> in the amount of EUR 500 million in 2024.</w:t>
      </w:r>
    </w:p>
    <w:p w14:paraId="0AE791DA" w14:textId="77777777" w:rsidR="00B20578" w:rsidRDefault="00B20578" w:rsidP="00631773">
      <w:pPr>
        <w:pStyle w:val="Bezmezer"/>
        <w:spacing w:line="280" w:lineRule="exact"/>
        <w:rPr>
          <w:rFonts w:ascii="Inter" w:hAnsi="Inter" w:cs="Arial"/>
          <w:sz w:val="20"/>
          <w:szCs w:val="20"/>
          <w:lang w:val="en-GB"/>
        </w:rPr>
      </w:pPr>
    </w:p>
    <w:p w14:paraId="6C2E3E11" w14:textId="03CB1517" w:rsidR="00630B03" w:rsidRPr="004B6762" w:rsidRDefault="00022DED" w:rsidP="00630B03">
      <w:pPr>
        <w:pStyle w:val="Nadpis4"/>
        <w:rPr>
          <w:rFonts w:ascii="Inter" w:hAnsi="Inter"/>
          <w:color w:val="auto"/>
          <w:lang w:val="en-US"/>
        </w:rPr>
      </w:pPr>
      <w:r w:rsidRPr="004B6762">
        <w:rPr>
          <w:rFonts w:ascii="Inter" w:hAnsi="Inter"/>
          <w:color w:val="auto"/>
          <w:lang w:val="en-US"/>
        </w:rPr>
        <w:t>CEE</w:t>
      </w:r>
      <w:r w:rsidR="008C44AA" w:rsidRPr="004B6762">
        <w:rPr>
          <w:rFonts w:ascii="Inter" w:hAnsi="Inter"/>
          <w:color w:val="auto"/>
          <w:lang w:val="en-US"/>
        </w:rPr>
        <w:t xml:space="preserve"> region</w:t>
      </w:r>
      <w:r w:rsidRPr="004B6762">
        <w:rPr>
          <w:rFonts w:ascii="Inter" w:hAnsi="Inter"/>
          <w:color w:val="auto"/>
          <w:lang w:val="en-US"/>
        </w:rPr>
        <w:t>’s unprecedented catch-up story enters a new phase</w:t>
      </w:r>
    </w:p>
    <w:p w14:paraId="3F7F4407" w14:textId="716564AB" w:rsidR="004A1775" w:rsidRPr="004B6762" w:rsidRDefault="004A1775" w:rsidP="00630B03">
      <w:pPr>
        <w:spacing w:line="280" w:lineRule="exact"/>
        <w:rPr>
          <w:rFonts w:ascii="Inter" w:hAnsi="Inter"/>
          <w:lang w:val="en-GB"/>
        </w:rPr>
      </w:pPr>
      <w:r w:rsidRPr="004B6762">
        <w:rPr>
          <w:rFonts w:ascii="Inter" w:hAnsi="Inter"/>
          <w:lang w:val="en-GB"/>
        </w:rPr>
        <w:t xml:space="preserve">The year 2024 is marked by </w:t>
      </w:r>
      <w:r w:rsidR="00B00BC0" w:rsidRPr="004B6762">
        <w:rPr>
          <w:rFonts w:ascii="Inter" w:hAnsi="Inter"/>
          <w:lang w:val="en-GB"/>
        </w:rPr>
        <w:t xml:space="preserve">the </w:t>
      </w:r>
      <w:r w:rsidR="00720D03" w:rsidRPr="004B6762">
        <w:rPr>
          <w:rFonts w:ascii="Inter" w:hAnsi="Inter"/>
          <w:lang w:val="en-GB"/>
        </w:rPr>
        <w:t>20</w:t>
      </w:r>
      <w:r w:rsidR="00720D03" w:rsidRPr="004B6762">
        <w:rPr>
          <w:rFonts w:ascii="Inter" w:hAnsi="Inter"/>
          <w:vertAlign w:val="superscript"/>
          <w:lang w:val="en-GB"/>
        </w:rPr>
        <w:t>th</w:t>
      </w:r>
      <w:r w:rsidR="00720D03" w:rsidRPr="004B6762">
        <w:rPr>
          <w:rFonts w:ascii="Inter" w:hAnsi="Inter"/>
          <w:lang w:val="en-GB"/>
        </w:rPr>
        <w:t xml:space="preserve"> anniversary of the </w:t>
      </w:r>
      <w:r w:rsidR="008E4377" w:rsidRPr="004B6762">
        <w:rPr>
          <w:rFonts w:ascii="Inter" w:hAnsi="Inter"/>
          <w:lang w:val="en-GB"/>
        </w:rPr>
        <w:t xml:space="preserve">European Union </w:t>
      </w:r>
      <w:r w:rsidR="00720D03" w:rsidRPr="004B6762">
        <w:rPr>
          <w:rFonts w:ascii="Inter" w:hAnsi="Inter"/>
          <w:lang w:val="en-GB"/>
        </w:rPr>
        <w:t>enlargement</w:t>
      </w:r>
      <w:r w:rsidR="00F656A1">
        <w:rPr>
          <w:rFonts w:ascii="Inter" w:hAnsi="Inter"/>
          <w:lang w:val="en-GB"/>
        </w:rPr>
        <w:t xml:space="preserve"> that</w:t>
      </w:r>
      <w:r w:rsidR="001246DA" w:rsidRPr="004B6762">
        <w:rPr>
          <w:rFonts w:ascii="Inter" w:hAnsi="Inter"/>
          <w:lang w:val="en-GB"/>
        </w:rPr>
        <w:t xml:space="preserve"> </w:t>
      </w:r>
      <w:r w:rsidR="00720D03" w:rsidRPr="004B6762">
        <w:rPr>
          <w:rFonts w:ascii="Inter" w:hAnsi="Inter"/>
          <w:lang w:val="en-GB"/>
        </w:rPr>
        <w:t>saw Czechia, Slovakia</w:t>
      </w:r>
      <w:r w:rsidR="008E4377" w:rsidRPr="004B6762">
        <w:rPr>
          <w:rFonts w:ascii="Inter" w:hAnsi="Inter"/>
          <w:lang w:val="en-GB"/>
        </w:rPr>
        <w:t xml:space="preserve"> and </w:t>
      </w:r>
      <w:r w:rsidR="00720D03" w:rsidRPr="004B6762">
        <w:rPr>
          <w:rFonts w:ascii="Inter" w:hAnsi="Inter"/>
          <w:lang w:val="en-GB"/>
        </w:rPr>
        <w:t xml:space="preserve">Hungary </w:t>
      </w:r>
      <w:r w:rsidR="005062DA" w:rsidRPr="004B6762">
        <w:rPr>
          <w:rFonts w:ascii="Inter" w:hAnsi="Inter"/>
          <w:lang w:val="en-GB"/>
        </w:rPr>
        <w:t>among 10 states join</w:t>
      </w:r>
      <w:r w:rsidR="001246DA" w:rsidRPr="004B6762">
        <w:rPr>
          <w:rFonts w:ascii="Inter" w:hAnsi="Inter"/>
          <w:lang w:val="en-GB"/>
        </w:rPr>
        <w:t>ing</w:t>
      </w:r>
      <w:r w:rsidR="005062DA" w:rsidRPr="004B6762">
        <w:rPr>
          <w:rFonts w:ascii="Inter" w:hAnsi="Inter"/>
          <w:lang w:val="en-GB"/>
        </w:rPr>
        <w:t xml:space="preserve"> the </w:t>
      </w:r>
      <w:r w:rsidR="008E4377" w:rsidRPr="004B6762">
        <w:rPr>
          <w:rFonts w:ascii="Inter" w:hAnsi="Inter"/>
          <w:lang w:val="en-GB"/>
        </w:rPr>
        <w:t>EU</w:t>
      </w:r>
      <w:r w:rsidR="00E95C6D" w:rsidRPr="004B6762">
        <w:rPr>
          <w:rFonts w:ascii="Inter" w:hAnsi="Inter"/>
          <w:lang w:val="en-GB"/>
        </w:rPr>
        <w:t xml:space="preserve"> in its largest accession round</w:t>
      </w:r>
      <w:r w:rsidR="008E4377" w:rsidRPr="004B6762">
        <w:rPr>
          <w:rFonts w:ascii="Inter" w:hAnsi="Inter"/>
          <w:lang w:val="en-GB"/>
        </w:rPr>
        <w:t>.</w:t>
      </w:r>
    </w:p>
    <w:p w14:paraId="367E01CA" w14:textId="744FB47C" w:rsidR="004A1775" w:rsidRPr="004B6762" w:rsidRDefault="004A1775" w:rsidP="00630B03">
      <w:pPr>
        <w:spacing w:line="280" w:lineRule="exact"/>
        <w:rPr>
          <w:rFonts w:ascii="Inter" w:hAnsi="Inter"/>
          <w:lang w:val="en-GB"/>
        </w:rPr>
      </w:pPr>
    </w:p>
    <w:p w14:paraId="572851DE" w14:textId="525EDC44" w:rsidR="00D71183" w:rsidRPr="004B6762" w:rsidRDefault="00716A83" w:rsidP="00630B03">
      <w:pPr>
        <w:spacing w:line="280" w:lineRule="exact"/>
        <w:rPr>
          <w:rFonts w:ascii="Inter" w:hAnsi="Inter"/>
          <w:noProof w:val="0"/>
          <w:lang w:val="en-GB"/>
        </w:rPr>
      </w:pPr>
      <w:r w:rsidRPr="004B6762">
        <w:rPr>
          <w:rFonts w:ascii="Inter" w:hAnsi="Inter"/>
          <w:noProof w:val="0"/>
          <w:lang w:val="en-GB"/>
        </w:rPr>
        <w:t xml:space="preserve">Over the past twenty years, the </w:t>
      </w:r>
      <w:r w:rsidR="005D0A12" w:rsidRPr="004B6762">
        <w:rPr>
          <w:rFonts w:ascii="Inter" w:hAnsi="Inter"/>
          <w:noProof w:val="0"/>
          <w:lang w:val="en-GB"/>
        </w:rPr>
        <w:t xml:space="preserve">CEE region’s economies have made </w:t>
      </w:r>
      <w:r w:rsidR="00940A6D" w:rsidRPr="004B6762">
        <w:rPr>
          <w:rFonts w:ascii="Inter" w:hAnsi="Inter"/>
          <w:noProof w:val="0"/>
          <w:lang w:val="en-GB"/>
        </w:rPr>
        <w:t xml:space="preserve">very </w:t>
      </w:r>
      <w:r w:rsidR="005D0A12" w:rsidRPr="004B6762">
        <w:rPr>
          <w:rFonts w:ascii="Inter" w:hAnsi="Inter"/>
          <w:noProof w:val="0"/>
          <w:lang w:val="en-GB"/>
        </w:rPr>
        <w:t>significant</w:t>
      </w:r>
      <w:r w:rsidR="00940A6D" w:rsidRPr="004B6762">
        <w:rPr>
          <w:rFonts w:ascii="Inter" w:hAnsi="Inter"/>
          <w:noProof w:val="0"/>
          <w:lang w:val="en-GB"/>
        </w:rPr>
        <w:t xml:space="preserve"> advances, with the convergence process leading </w:t>
      </w:r>
      <w:r w:rsidR="005309BB" w:rsidRPr="004B6762">
        <w:rPr>
          <w:rFonts w:ascii="Inter" w:hAnsi="Inter"/>
          <w:noProof w:val="0"/>
          <w:lang w:val="en-GB"/>
        </w:rPr>
        <w:t>some</w:t>
      </w:r>
      <w:r w:rsidR="00112946" w:rsidRPr="004B6762">
        <w:rPr>
          <w:rFonts w:ascii="Inter" w:hAnsi="Inter"/>
          <w:noProof w:val="0"/>
          <w:lang w:val="en-GB"/>
        </w:rPr>
        <w:t xml:space="preserve"> of the region’s </w:t>
      </w:r>
      <w:r w:rsidR="00FD571C" w:rsidRPr="004B6762">
        <w:rPr>
          <w:rFonts w:ascii="Inter" w:hAnsi="Inter"/>
          <w:noProof w:val="0"/>
          <w:lang w:val="en-GB"/>
        </w:rPr>
        <w:t>countries</w:t>
      </w:r>
      <w:r w:rsidR="005F1A1B" w:rsidRPr="004B6762">
        <w:rPr>
          <w:rFonts w:ascii="Inter" w:hAnsi="Inter"/>
          <w:noProof w:val="0"/>
          <w:lang w:val="en-GB"/>
        </w:rPr>
        <w:t>, like Czechia,</w:t>
      </w:r>
      <w:r w:rsidR="005309BB" w:rsidRPr="004B6762">
        <w:rPr>
          <w:rFonts w:ascii="Inter" w:hAnsi="Inter"/>
          <w:noProof w:val="0"/>
          <w:lang w:val="en-GB"/>
        </w:rPr>
        <w:t xml:space="preserve"> </w:t>
      </w:r>
      <w:r w:rsidR="005F1A1B" w:rsidRPr="004B6762">
        <w:rPr>
          <w:rFonts w:ascii="Inter" w:hAnsi="Inter"/>
          <w:noProof w:val="0"/>
          <w:lang w:val="en-GB"/>
        </w:rPr>
        <w:t xml:space="preserve">to </w:t>
      </w:r>
      <w:r w:rsidR="00E774D5" w:rsidRPr="004B6762">
        <w:rPr>
          <w:rFonts w:ascii="Inter" w:hAnsi="Inter"/>
          <w:noProof w:val="0"/>
          <w:lang w:val="en-GB"/>
        </w:rPr>
        <w:t>not</w:t>
      </w:r>
      <w:r w:rsidR="00D71183" w:rsidRPr="004B6762">
        <w:rPr>
          <w:rFonts w:ascii="Inter" w:hAnsi="Inter"/>
          <w:noProof w:val="0"/>
          <w:lang w:val="en-GB"/>
        </w:rPr>
        <w:t xml:space="preserve"> </w:t>
      </w:r>
      <w:r w:rsidR="00E774D5" w:rsidRPr="004B6762">
        <w:rPr>
          <w:rFonts w:ascii="Inter" w:hAnsi="Inter"/>
          <w:noProof w:val="0"/>
          <w:lang w:val="en-GB"/>
        </w:rPr>
        <w:t>only</w:t>
      </w:r>
      <w:r w:rsidR="005F1A1B" w:rsidRPr="004B6762">
        <w:rPr>
          <w:rFonts w:ascii="Inter" w:hAnsi="Inter"/>
          <w:noProof w:val="0"/>
          <w:lang w:val="en-GB"/>
        </w:rPr>
        <w:t xml:space="preserve"> </w:t>
      </w:r>
      <w:r w:rsidR="003021BB" w:rsidRPr="004B6762">
        <w:rPr>
          <w:rFonts w:ascii="Inter" w:hAnsi="Inter"/>
          <w:noProof w:val="0"/>
          <w:lang w:val="en-GB"/>
        </w:rPr>
        <w:t>catch up to</w:t>
      </w:r>
      <w:r w:rsidR="00E774D5" w:rsidRPr="004B6762">
        <w:rPr>
          <w:rFonts w:ascii="Inter" w:hAnsi="Inter"/>
          <w:noProof w:val="0"/>
          <w:lang w:val="en-GB"/>
        </w:rPr>
        <w:t xml:space="preserve">, but also </w:t>
      </w:r>
      <w:r w:rsidR="003021BB" w:rsidRPr="004B6762">
        <w:rPr>
          <w:rFonts w:ascii="Inter" w:hAnsi="Inter"/>
          <w:noProof w:val="0"/>
          <w:lang w:val="en-GB"/>
        </w:rPr>
        <w:t>surpass</w:t>
      </w:r>
      <w:r w:rsidR="00B67248" w:rsidRPr="004B6762">
        <w:rPr>
          <w:rFonts w:ascii="Inter" w:hAnsi="Inter"/>
          <w:noProof w:val="0"/>
          <w:lang w:val="en-GB"/>
        </w:rPr>
        <w:t xml:space="preserve"> such Western European </w:t>
      </w:r>
      <w:r w:rsidR="00FD571C" w:rsidRPr="004B6762">
        <w:rPr>
          <w:rFonts w:ascii="Inter" w:hAnsi="Inter"/>
          <w:noProof w:val="0"/>
          <w:lang w:val="en-GB"/>
        </w:rPr>
        <w:t>peers like</w:t>
      </w:r>
      <w:r w:rsidR="00B67248" w:rsidRPr="004B6762">
        <w:rPr>
          <w:rFonts w:ascii="Inter" w:hAnsi="Inter"/>
          <w:noProof w:val="0"/>
          <w:lang w:val="en-GB"/>
        </w:rPr>
        <w:t xml:space="preserve"> Spain in GDP per capita </w:t>
      </w:r>
      <w:r w:rsidR="00973D75" w:rsidRPr="004B6762">
        <w:rPr>
          <w:rFonts w:ascii="Inter" w:hAnsi="Inter"/>
          <w:noProof w:val="0"/>
          <w:lang w:val="en-GB"/>
        </w:rPr>
        <w:t>(</w:t>
      </w:r>
      <w:r w:rsidR="00536A39" w:rsidRPr="004B6762">
        <w:rPr>
          <w:rFonts w:ascii="Inter" w:hAnsi="Inter"/>
          <w:noProof w:val="0"/>
          <w:lang w:val="en-GB"/>
        </w:rPr>
        <w:t xml:space="preserve">corrected for </w:t>
      </w:r>
      <w:r w:rsidR="00D71183" w:rsidRPr="004B6762">
        <w:rPr>
          <w:rFonts w:ascii="Inter" w:hAnsi="Inter"/>
          <w:noProof w:val="0"/>
          <w:lang w:val="en-GB"/>
        </w:rPr>
        <w:t xml:space="preserve">differences in </w:t>
      </w:r>
      <w:r w:rsidR="00B67248" w:rsidRPr="004B6762">
        <w:rPr>
          <w:rFonts w:ascii="Inter" w:hAnsi="Inter"/>
          <w:noProof w:val="0"/>
          <w:lang w:val="en-GB"/>
        </w:rPr>
        <w:t>purchasing power</w:t>
      </w:r>
      <w:r w:rsidR="00D71183" w:rsidRPr="004B6762">
        <w:rPr>
          <w:rFonts w:ascii="Inter" w:hAnsi="Inter"/>
          <w:noProof w:val="0"/>
          <w:lang w:val="en-GB"/>
        </w:rPr>
        <w:t>)</w:t>
      </w:r>
      <w:r w:rsidR="00B67248" w:rsidRPr="004B6762">
        <w:rPr>
          <w:rFonts w:ascii="Inter" w:hAnsi="Inter"/>
          <w:noProof w:val="0"/>
          <w:lang w:val="en-GB"/>
        </w:rPr>
        <w:t>.</w:t>
      </w:r>
      <w:r w:rsidR="00BA6BEA" w:rsidRPr="004B6762">
        <w:rPr>
          <w:rFonts w:ascii="Inter" w:hAnsi="Inter"/>
          <w:noProof w:val="0"/>
          <w:lang w:val="en-GB"/>
        </w:rPr>
        <w:t xml:space="preserve"> </w:t>
      </w:r>
      <w:r w:rsidR="00651B70" w:rsidRPr="004B6762">
        <w:rPr>
          <w:rFonts w:ascii="Inter" w:hAnsi="Inter"/>
          <w:noProof w:val="0"/>
          <w:lang w:val="en-GB"/>
        </w:rPr>
        <w:t>Thanks to the</w:t>
      </w:r>
      <w:r w:rsidR="00726447" w:rsidRPr="004B6762">
        <w:rPr>
          <w:rFonts w:ascii="Inter" w:hAnsi="Inter"/>
          <w:noProof w:val="0"/>
          <w:lang w:val="en-GB"/>
        </w:rPr>
        <w:t xml:space="preserve"> </w:t>
      </w:r>
      <w:r w:rsidR="00D03D4E" w:rsidRPr="004B6762">
        <w:rPr>
          <w:rFonts w:ascii="Inter" w:hAnsi="Inter"/>
          <w:noProof w:val="0"/>
          <w:lang w:val="en-GB"/>
        </w:rPr>
        <w:t xml:space="preserve">long-term </w:t>
      </w:r>
      <w:r w:rsidR="002038B9" w:rsidRPr="004B6762">
        <w:rPr>
          <w:rFonts w:ascii="Inter" w:hAnsi="Inter"/>
          <w:noProof w:val="0"/>
          <w:lang w:val="en-GB"/>
        </w:rPr>
        <w:t>growth in</w:t>
      </w:r>
      <w:r w:rsidR="00726447" w:rsidRPr="004B6762">
        <w:rPr>
          <w:rFonts w:ascii="Inter" w:hAnsi="Inter"/>
          <w:noProof w:val="0"/>
          <w:lang w:val="en-GB"/>
        </w:rPr>
        <w:t xml:space="preserve"> CEE’s economies</w:t>
      </w:r>
      <w:r w:rsidR="00651B70" w:rsidRPr="004B6762">
        <w:rPr>
          <w:rFonts w:ascii="Inter" w:hAnsi="Inter"/>
          <w:noProof w:val="0"/>
          <w:lang w:val="en-GB"/>
        </w:rPr>
        <w:t xml:space="preserve">, the region’s individuals and households </w:t>
      </w:r>
      <w:r w:rsidR="00132419" w:rsidRPr="004B6762">
        <w:rPr>
          <w:rFonts w:ascii="Inter" w:hAnsi="Inter"/>
          <w:noProof w:val="0"/>
          <w:lang w:val="en-GB"/>
        </w:rPr>
        <w:t xml:space="preserve">generally </w:t>
      </w:r>
      <w:r w:rsidR="00651B70" w:rsidRPr="004B6762">
        <w:rPr>
          <w:rFonts w:ascii="Inter" w:hAnsi="Inter"/>
          <w:noProof w:val="0"/>
          <w:lang w:val="en-GB"/>
        </w:rPr>
        <w:t xml:space="preserve">enjoy </w:t>
      </w:r>
      <w:r w:rsidR="00911597" w:rsidRPr="004B6762">
        <w:rPr>
          <w:rFonts w:ascii="Inter" w:hAnsi="Inter"/>
          <w:noProof w:val="0"/>
          <w:lang w:val="en-GB"/>
        </w:rPr>
        <w:t>levels of</w:t>
      </w:r>
      <w:r w:rsidR="00726447" w:rsidRPr="004B6762">
        <w:rPr>
          <w:rFonts w:ascii="Inter" w:hAnsi="Inter"/>
          <w:noProof w:val="0"/>
          <w:lang w:val="en-GB"/>
        </w:rPr>
        <w:t xml:space="preserve"> </w:t>
      </w:r>
      <w:r w:rsidR="00082F7B" w:rsidRPr="004B6762">
        <w:rPr>
          <w:rFonts w:ascii="Inter" w:hAnsi="Inter"/>
          <w:noProof w:val="0"/>
          <w:lang w:val="en-GB"/>
        </w:rPr>
        <w:t xml:space="preserve">prosperity </w:t>
      </w:r>
      <w:r w:rsidR="00651B70" w:rsidRPr="004B6762">
        <w:rPr>
          <w:rFonts w:ascii="Inter" w:hAnsi="Inter"/>
          <w:noProof w:val="0"/>
          <w:lang w:val="en-GB"/>
        </w:rPr>
        <w:t>that are sharply higher than two decades ago.</w:t>
      </w:r>
      <w:r w:rsidR="004400AD" w:rsidRPr="004B6762">
        <w:rPr>
          <w:rFonts w:ascii="Inter" w:hAnsi="Inter"/>
          <w:noProof w:val="0"/>
          <w:lang w:val="en-GB"/>
        </w:rPr>
        <w:t xml:space="preserve"> </w:t>
      </w:r>
    </w:p>
    <w:p w14:paraId="3E6BA7E5" w14:textId="77777777" w:rsidR="0052002C" w:rsidRPr="004B6762" w:rsidRDefault="0052002C" w:rsidP="00B30718">
      <w:pPr>
        <w:spacing w:line="280" w:lineRule="exact"/>
        <w:rPr>
          <w:rFonts w:ascii="Inter" w:hAnsi="Inter"/>
          <w:lang w:val="en-GB"/>
        </w:rPr>
      </w:pPr>
    </w:p>
    <w:p w14:paraId="798F5D88" w14:textId="7D723D27" w:rsidR="00D26EEA" w:rsidRPr="004B6762" w:rsidRDefault="0028407A" w:rsidP="00D37814">
      <w:pPr>
        <w:spacing w:line="280" w:lineRule="exact"/>
        <w:ind w:firstLine="284"/>
        <w:rPr>
          <w:rFonts w:ascii="Inter" w:hAnsi="Inter"/>
          <w:sz w:val="16"/>
          <w:szCs w:val="16"/>
          <w:lang w:val="en-GB"/>
        </w:rPr>
      </w:pPr>
      <w:r w:rsidRPr="004B6762">
        <w:rPr>
          <w:rFonts w:ascii="Inter" w:hAnsi="Inter"/>
          <w:b/>
          <w:bCs/>
          <w:sz w:val="16"/>
          <w:szCs w:val="16"/>
          <w:lang w:val="en-GB"/>
        </w:rPr>
        <w:lastRenderedPageBreak/>
        <w:drawing>
          <wp:anchor distT="0" distB="0" distL="114300" distR="114300" simplePos="0" relativeHeight="251658241" behindDoc="0" locked="0" layoutInCell="1" allowOverlap="1" wp14:anchorId="315B211A" wp14:editId="27100696">
            <wp:simplePos x="0" y="0"/>
            <wp:positionH relativeFrom="column">
              <wp:posOffset>184558</wp:posOffset>
            </wp:positionH>
            <wp:positionV relativeFrom="paragraph">
              <wp:posOffset>262255</wp:posOffset>
            </wp:positionV>
            <wp:extent cx="5166000" cy="1864800"/>
            <wp:effectExtent l="0" t="0" r="3175" b="2540"/>
            <wp:wrapTopAndBottom/>
            <wp:docPr id="2127658514" name="Grafik 2127658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658514" name=""/>
                    <pic:cNvPicPr/>
                  </pic:nvPicPr>
                  <pic:blipFill>
                    <a:blip r:embed="rId11">
                      <a:extLst>
                        <a:ext uri="{28A0092B-C50C-407E-A947-70E740481C1C}">
                          <a14:useLocalDpi xmlns:a14="http://schemas.microsoft.com/office/drawing/2010/main" val="0"/>
                        </a:ext>
                      </a:extLst>
                    </a:blip>
                    <a:stretch>
                      <a:fillRect/>
                    </a:stretch>
                  </pic:blipFill>
                  <pic:spPr>
                    <a:xfrm>
                      <a:off x="0" y="0"/>
                      <a:ext cx="5166000" cy="1864800"/>
                    </a:xfrm>
                    <a:prstGeom prst="rect">
                      <a:avLst/>
                    </a:prstGeom>
                  </pic:spPr>
                </pic:pic>
              </a:graphicData>
            </a:graphic>
            <wp14:sizeRelH relativeFrom="page">
              <wp14:pctWidth>0</wp14:pctWidth>
            </wp14:sizeRelH>
            <wp14:sizeRelV relativeFrom="page">
              <wp14:pctHeight>0</wp14:pctHeight>
            </wp14:sizeRelV>
          </wp:anchor>
        </w:drawing>
      </w:r>
      <w:r w:rsidR="0052002C" w:rsidRPr="004B6762">
        <w:rPr>
          <w:rFonts w:ascii="Inter" w:hAnsi="Inter"/>
          <w:b/>
          <w:bCs/>
          <w:sz w:val="16"/>
          <w:szCs w:val="16"/>
          <w:lang w:val="en-GB"/>
        </w:rPr>
        <w:t xml:space="preserve">Financial Assets </w:t>
      </w:r>
      <w:r w:rsidR="00D7454F" w:rsidRPr="004B6762">
        <w:rPr>
          <w:rFonts w:ascii="Inter" w:hAnsi="Inter"/>
          <w:b/>
          <w:bCs/>
          <w:sz w:val="16"/>
          <w:szCs w:val="16"/>
          <w:lang w:val="en-GB"/>
        </w:rPr>
        <w:t>on a per capital basis</w:t>
      </w:r>
      <w:r w:rsidR="00D7454F" w:rsidRPr="004B6762">
        <w:rPr>
          <w:rFonts w:ascii="Inter" w:hAnsi="Inter"/>
          <w:sz w:val="16"/>
          <w:szCs w:val="16"/>
          <w:lang w:val="en-GB"/>
        </w:rPr>
        <w:t xml:space="preserve"> (Euro)</w:t>
      </w:r>
    </w:p>
    <w:p w14:paraId="1725915F" w14:textId="6BF0AF14" w:rsidR="009D3385" w:rsidRPr="004B6762" w:rsidRDefault="009D3385" w:rsidP="00630B03">
      <w:pPr>
        <w:spacing w:line="280" w:lineRule="exact"/>
        <w:rPr>
          <w:rFonts w:ascii="Inter" w:hAnsi="Inter"/>
          <w:lang w:val="en-GB"/>
        </w:rPr>
      </w:pPr>
    </w:p>
    <w:p w14:paraId="6B84D661" w14:textId="7B1C5000" w:rsidR="00B20578" w:rsidRDefault="008B776D" w:rsidP="00B30718">
      <w:pPr>
        <w:spacing w:line="280" w:lineRule="exact"/>
        <w:rPr>
          <w:rFonts w:ascii="Inter" w:hAnsi="Inter"/>
          <w:lang w:val="en-GB"/>
        </w:rPr>
      </w:pPr>
      <w:r w:rsidRPr="004B6762">
        <w:rPr>
          <w:rFonts w:ascii="Inter" w:hAnsi="Inter"/>
          <w:lang w:val="en-GB"/>
        </w:rPr>
        <w:t>Looking forward</w:t>
      </w:r>
      <w:r w:rsidR="001C380F" w:rsidRPr="004B6762">
        <w:rPr>
          <w:rFonts w:ascii="Inter" w:hAnsi="Inter"/>
          <w:lang w:val="en-GB"/>
        </w:rPr>
        <w:t xml:space="preserve">, </w:t>
      </w:r>
      <w:r w:rsidR="00921169" w:rsidRPr="004B6762">
        <w:rPr>
          <w:rFonts w:ascii="Inter" w:hAnsi="Inter"/>
          <w:lang w:val="en-GB"/>
        </w:rPr>
        <w:t>the region</w:t>
      </w:r>
      <w:r w:rsidR="00D1444D" w:rsidRPr="004B6762">
        <w:rPr>
          <w:rFonts w:ascii="Inter" w:hAnsi="Inter"/>
          <w:lang w:val="en-GB"/>
        </w:rPr>
        <w:t>’s countries</w:t>
      </w:r>
      <w:r w:rsidR="00921169" w:rsidRPr="004B6762">
        <w:rPr>
          <w:rFonts w:ascii="Inter" w:hAnsi="Inter"/>
          <w:lang w:val="en-GB"/>
        </w:rPr>
        <w:t xml:space="preserve"> </w:t>
      </w:r>
      <w:r w:rsidR="00A44229" w:rsidRPr="004B6762">
        <w:rPr>
          <w:rFonts w:ascii="Inter" w:hAnsi="Inter"/>
          <w:lang w:val="en-GB"/>
        </w:rPr>
        <w:t xml:space="preserve">must </w:t>
      </w:r>
      <w:r w:rsidR="00B30718" w:rsidRPr="004B6762">
        <w:rPr>
          <w:rFonts w:ascii="Inter" w:hAnsi="Inter"/>
          <w:noProof w:val="0"/>
          <w:lang w:val="en-GB"/>
        </w:rPr>
        <w:t>succes</w:t>
      </w:r>
      <w:r w:rsidR="001F2981" w:rsidRPr="004B6762">
        <w:rPr>
          <w:rFonts w:ascii="Inter" w:hAnsi="Inter"/>
          <w:noProof w:val="0"/>
          <w:lang w:val="en-GB"/>
        </w:rPr>
        <w:t>s</w:t>
      </w:r>
      <w:r w:rsidR="00B30718" w:rsidRPr="004B6762">
        <w:rPr>
          <w:rFonts w:ascii="Inter" w:hAnsi="Inter"/>
          <w:noProof w:val="0"/>
          <w:lang w:val="en-GB"/>
        </w:rPr>
        <w:t>fully</w:t>
      </w:r>
      <w:r w:rsidR="00B30718" w:rsidRPr="004B6762">
        <w:rPr>
          <w:rFonts w:ascii="Inter" w:hAnsi="Inter"/>
          <w:lang w:val="en-GB"/>
        </w:rPr>
        <w:t xml:space="preserve"> </w:t>
      </w:r>
      <w:r w:rsidR="00A44229" w:rsidRPr="004B6762">
        <w:rPr>
          <w:rFonts w:ascii="Inter" w:hAnsi="Inter"/>
          <w:lang w:val="en-GB"/>
        </w:rPr>
        <w:t xml:space="preserve">meet the challenges of </w:t>
      </w:r>
      <w:r w:rsidR="00176F22" w:rsidRPr="004B6762">
        <w:rPr>
          <w:rFonts w:ascii="Inter" w:hAnsi="Inter"/>
          <w:noProof w:val="0"/>
          <w:lang w:val="en-GB"/>
        </w:rPr>
        <w:t xml:space="preserve">the </w:t>
      </w:r>
      <w:r w:rsidR="00B30718" w:rsidRPr="004B6762">
        <w:rPr>
          <w:rFonts w:ascii="Inter" w:hAnsi="Inter"/>
          <w:lang w:val="en-GB"/>
        </w:rPr>
        <w:t xml:space="preserve">“twin transitions” decarbonisation and </w:t>
      </w:r>
      <w:r w:rsidR="001F2981" w:rsidRPr="004B6762">
        <w:rPr>
          <w:rFonts w:ascii="Inter" w:hAnsi="Inter"/>
          <w:noProof w:val="0"/>
          <w:lang w:val="en-GB"/>
        </w:rPr>
        <w:t>digitalisation</w:t>
      </w:r>
      <w:r w:rsidR="00B30718" w:rsidRPr="004B6762">
        <w:rPr>
          <w:rFonts w:ascii="Inter" w:hAnsi="Inter"/>
          <w:lang w:val="en-GB"/>
        </w:rPr>
        <w:t xml:space="preserve"> if </w:t>
      </w:r>
      <w:r w:rsidR="00D1444D" w:rsidRPr="004B6762">
        <w:rPr>
          <w:rFonts w:ascii="Inter" w:hAnsi="Inter"/>
          <w:lang w:val="en-GB"/>
        </w:rPr>
        <w:t>they are</w:t>
      </w:r>
      <w:r w:rsidR="00B30718" w:rsidRPr="004B6762">
        <w:rPr>
          <w:rFonts w:ascii="Inter" w:hAnsi="Inter"/>
          <w:lang w:val="en-GB"/>
        </w:rPr>
        <w:t xml:space="preserve"> to maintain </w:t>
      </w:r>
      <w:r w:rsidR="00D1444D" w:rsidRPr="004B6762">
        <w:rPr>
          <w:rFonts w:ascii="Inter" w:hAnsi="Inter"/>
          <w:lang w:val="en-GB"/>
        </w:rPr>
        <w:t xml:space="preserve">and expand </w:t>
      </w:r>
      <w:r w:rsidR="00FF7297" w:rsidRPr="004B6762">
        <w:rPr>
          <w:rFonts w:ascii="Inter" w:hAnsi="Inter"/>
          <w:lang w:val="en-GB"/>
        </w:rPr>
        <w:t>the</w:t>
      </w:r>
      <w:r w:rsidR="00D1444D" w:rsidRPr="004B6762">
        <w:rPr>
          <w:rFonts w:ascii="Inter" w:hAnsi="Inter"/>
          <w:lang w:val="en-GB"/>
        </w:rPr>
        <w:t xml:space="preserve"> prosperity </w:t>
      </w:r>
      <w:r w:rsidR="00FF7297" w:rsidRPr="004B6762">
        <w:rPr>
          <w:rFonts w:ascii="Inter" w:hAnsi="Inter"/>
          <w:lang w:val="en-GB"/>
        </w:rPr>
        <w:t>th</w:t>
      </w:r>
      <w:r w:rsidR="00176105" w:rsidRPr="004B6762">
        <w:rPr>
          <w:rFonts w:ascii="Inter" w:hAnsi="Inter"/>
          <w:lang w:val="en-GB"/>
        </w:rPr>
        <w:t>eir populations have generated</w:t>
      </w:r>
      <w:r w:rsidR="00FF7297" w:rsidRPr="004B6762">
        <w:rPr>
          <w:rFonts w:ascii="Inter" w:hAnsi="Inter"/>
          <w:lang w:val="en-GB"/>
        </w:rPr>
        <w:t xml:space="preserve">. </w:t>
      </w:r>
      <w:r w:rsidR="00034345" w:rsidRPr="004B6762">
        <w:rPr>
          <w:rFonts w:ascii="Inter" w:hAnsi="Inter"/>
          <w:lang w:val="en-GB"/>
        </w:rPr>
        <w:t>As a bank</w:t>
      </w:r>
      <w:r w:rsidR="00826A9F" w:rsidRPr="004B6762">
        <w:rPr>
          <w:rFonts w:ascii="Inter" w:hAnsi="Inter"/>
          <w:lang w:val="en-GB"/>
        </w:rPr>
        <w:t xml:space="preserve">ing group </w:t>
      </w:r>
      <w:r w:rsidR="00034345" w:rsidRPr="004B6762">
        <w:rPr>
          <w:rFonts w:ascii="Inter" w:hAnsi="Inter"/>
          <w:lang w:val="en-GB"/>
        </w:rPr>
        <w:t>deeply rooted in the region’s real economy</w:t>
      </w:r>
      <w:r w:rsidR="00826A9F" w:rsidRPr="004B6762">
        <w:rPr>
          <w:rFonts w:ascii="Inter" w:hAnsi="Inter"/>
          <w:lang w:val="en-GB"/>
        </w:rPr>
        <w:t xml:space="preserve"> and committed to </w:t>
      </w:r>
      <w:r w:rsidR="002622C6" w:rsidRPr="004B6762">
        <w:rPr>
          <w:rFonts w:ascii="Inter" w:hAnsi="Inter"/>
          <w:lang w:val="en-GB"/>
        </w:rPr>
        <w:t>advancing its prosperity</w:t>
      </w:r>
      <w:r w:rsidR="00034345" w:rsidRPr="004B6762">
        <w:rPr>
          <w:rFonts w:ascii="Inter" w:hAnsi="Inter"/>
          <w:lang w:val="en-GB"/>
        </w:rPr>
        <w:t xml:space="preserve">, Erste Group </w:t>
      </w:r>
      <w:r w:rsidR="002622C6" w:rsidRPr="004B6762">
        <w:rPr>
          <w:rFonts w:ascii="Inter" w:hAnsi="Inter"/>
          <w:lang w:val="en-GB"/>
        </w:rPr>
        <w:t>will serve as</w:t>
      </w:r>
      <w:r w:rsidR="0086494A" w:rsidRPr="004B6762">
        <w:rPr>
          <w:rFonts w:ascii="Inter" w:hAnsi="Inter"/>
          <w:lang w:val="en-GB"/>
        </w:rPr>
        <w:t xml:space="preserve"> partner</w:t>
      </w:r>
      <w:r w:rsidR="007C4083" w:rsidRPr="004B6762">
        <w:rPr>
          <w:rFonts w:ascii="Inter" w:hAnsi="Inter"/>
          <w:lang w:val="en-GB"/>
        </w:rPr>
        <w:t xml:space="preserve">, along with other actors from the financial and public sectors, </w:t>
      </w:r>
      <w:r w:rsidR="00661927" w:rsidRPr="004B6762">
        <w:rPr>
          <w:rFonts w:ascii="Inter" w:hAnsi="Inter"/>
          <w:lang w:val="en-GB"/>
        </w:rPr>
        <w:t xml:space="preserve">in providing the </w:t>
      </w:r>
      <w:r w:rsidR="004B6762" w:rsidRPr="004B6762">
        <w:rPr>
          <w:rFonts w:ascii="Inter" w:hAnsi="Inter"/>
          <w:lang w:val="en-GB"/>
        </w:rPr>
        <w:t xml:space="preserve">financing </w:t>
      </w:r>
      <w:r w:rsidR="00826A9F" w:rsidRPr="004B6762">
        <w:rPr>
          <w:rFonts w:ascii="Inter" w:hAnsi="Inter"/>
          <w:lang w:val="en-GB"/>
        </w:rPr>
        <w:t xml:space="preserve">necessary to </w:t>
      </w:r>
      <w:r w:rsidR="00661927" w:rsidRPr="004B6762">
        <w:rPr>
          <w:rFonts w:ascii="Inter" w:hAnsi="Inter"/>
          <w:lang w:val="en-GB"/>
        </w:rPr>
        <w:t>make these twin transitions successful.</w:t>
      </w:r>
    </w:p>
    <w:p w14:paraId="4383BA52" w14:textId="38FD4C03" w:rsidR="00FA2383" w:rsidRDefault="00FA2383" w:rsidP="00B30718">
      <w:pPr>
        <w:spacing w:line="280" w:lineRule="exact"/>
        <w:rPr>
          <w:rFonts w:ascii="Inter" w:hAnsi="Inter"/>
          <w:lang w:val="en-GB"/>
        </w:rPr>
      </w:pPr>
    </w:p>
    <w:p w14:paraId="3A87FBEE" w14:textId="77777777" w:rsidR="00B30718" w:rsidRPr="002841DB" w:rsidRDefault="00B30718" w:rsidP="00B30718">
      <w:pPr>
        <w:spacing w:line="280" w:lineRule="exact"/>
        <w:rPr>
          <w:rFonts w:ascii="Inter" w:hAnsi="Inter"/>
          <w:lang w:val="en-GB"/>
        </w:rPr>
      </w:pPr>
    </w:p>
    <w:p w14:paraId="40774592" w14:textId="77777777" w:rsidR="00CC18B8" w:rsidRPr="00A85FA9" w:rsidRDefault="00711D5D" w:rsidP="009844F9">
      <w:pPr>
        <w:rPr>
          <w:rFonts w:ascii="Inter" w:hAnsi="Inter"/>
          <w:lang w:val="en-US"/>
        </w:rPr>
      </w:pPr>
      <w:r w:rsidRPr="00A85FA9">
        <w:rPr>
          <w:rFonts w:ascii="Inter" w:hAnsi="Inter"/>
        </w:rPr>
        <mc:AlternateContent>
          <mc:Choice Requires="wps">
            <w:drawing>
              <wp:anchor distT="0" distB="0" distL="114300" distR="114300" simplePos="0" relativeHeight="251658240" behindDoc="0" locked="0" layoutInCell="1" allowOverlap="1" wp14:anchorId="43492082" wp14:editId="6770F942">
                <wp:simplePos x="0" y="0"/>
                <wp:positionH relativeFrom="column">
                  <wp:posOffset>-10795</wp:posOffset>
                </wp:positionH>
                <wp:positionV relativeFrom="paragraph">
                  <wp:posOffset>41275</wp:posOffset>
                </wp:positionV>
                <wp:extent cx="5744845" cy="1554480"/>
                <wp:effectExtent l="0" t="0" r="27305" b="28575"/>
                <wp:wrapTopAndBottom/>
                <wp:docPr id="7" name="Rechteck: abgerundete Ecken 7"/>
                <wp:cNvGraphicFramePr/>
                <a:graphic xmlns:a="http://schemas.openxmlformats.org/drawingml/2006/main">
                  <a:graphicData uri="http://schemas.microsoft.com/office/word/2010/wordprocessingShape">
                    <wps:wsp>
                      <wps:cNvSpPr/>
                      <wps:spPr>
                        <a:xfrm>
                          <a:off x="0" y="0"/>
                          <a:ext cx="5744845" cy="1554480"/>
                        </a:xfrm>
                        <a:prstGeom prst="roundRect">
                          <a:avLst>
                            <a:gd name="adj" fmla="val 11495"/>
                          </a:avLst>
                        </a:prstGeom>
                        <a:noFill/>
                        <a:ln w="19050">
                          <a:solidFill>
                            <a:srgbClr val="2870E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B338D" w14:textId="77777777" w:rsidR="00711D5D" w:rsidRPr="00711D5D" w:rsidRDefault="00711D5D" w:rsidP="00711D5D">
                            <w:pPr>
                              <w:ind w:left="-426"/>
                              <w:jc w:val="center"/>
                              <w:rPr>
                                <w:rFonts w:ascii="Inter" w:eastAsia="Arial" w:hAnsi="Inter"/>
                                <w:b/>
                                <w:bCs/>
                                <w:color w:val="2870ED"/>
                                <w:sz w:val="14"/>
                                <w:szCs w:val="14"/>
                                <w:lang w:val="en-US"/>
                              </w:rPr>
                            </w:pPr>
                            <w:r w:rsidRPr="00711D5D">
                              <w:rPr>
                                <w:rFonts w:ascii="Inter" w:eastAsia="Arial" w:hAnsi="Inter"/>
                                <w:b/>
                                <w:bCs/>
                                <w:color w:val="2870ED"/>
                                <w:sz w:val="14"/>
                                <w:szCs w:val="14"/>
                                <w:shd w:val="clear" w:color="auto" w:fill="auto"/>
                                <w:lang w:val="en-US"/>
                              </w:rPr>
                              <w:t>Media inquiries:</w:t>
                            </w:r>
                          </w:p>
                          <w:p w14:paraId="18C5624B" w14:textId="77777777" w:rsidR="00711D5D" w:rsidRPr="00711D5D" w:rsidRDefault="00711D5D" w:rsidP="00711D5D">
                            <w:pPr>
                              <w:ind w:left="-426"/>
                              <w:jc w:val="center"/>
                              <w:rPr>
                                <w:rFonts w:ascii="Inter" w:eastAsia="Arial" w:hAnsi="Inter"/>
                                <w:color w:val="000000" w:themeColor="text1"/>
                                <w:sz w:val="14"/>
                                <w:szCs w:val="14"/>
                                <w:lang w:val="en-US"/>
                              </w:rPr>
                            </w:pPr>
                            <w:r w:rsidRPr="00711D5D">
                              <w:rPr>
                                <w:rFonts w:ascii="Inter" w:eastAsia="Arial" w:hAnsi="Inter"/>
                                <w:color w:val="000000" w:themeColor="text1"/>
                                <w:sz w:val="14"/>
                                <w:szCs w:val="14"/>
                                <w:shd w:val="clear" w:color="auto" w:fill="auto"/>
                                <w:lang w:val="en-US"/>
                              </w:rPr>
                              <w:t>Erste Group | Press Department, Am Belvedere 1, 1100 Wien</w:t>
                            </w:r>
                          </w:p>
                          <w:p w14:paraId="6758A851" w14:textId="7A5AE929" w:rsidR="00711D5D" w:rsidRDefault="00711D5D" w:rsidP="00711D5D">
                            <w:pPr>
                              <w:ind w:left="-426"/>
                              <w:jc w:val="center"/>
                              <w:rPr>
                                <w:rStyle w:val="Hypertextovodkaz"/>
                                <w:rFonts w:ascii="Inter" w:hAnsi="Inter"/>
                                <w:color w:val="2870ED"/>
                                <w:lang w:val="en-US"/>
                              </w:rPr>
                            </w:pPr>
                            <w:r w:rsidRPr="00711D5D">
                              <w:rPr>
                                <w:rFonts w:ascii="Inter" w:eastAsia="Arial" w:hAnsi="Inter"/>
                                <w:color w:val="000000" w:themeColor="text1"/>
                                <w:sz w:val="14"/>
                                <w:szCs w:val="14"/>
                                <w:shd w:val="clear" w:color="auto" w:fill="auto"/>
                                <w:lang w:val="en-US"/>
                              </w:rPr>
                              <w:t xml:space="preserve">Christian Hromatka, 050100 - 13711, E-Mail: </w:t>
                            </w:r>
                            <w:hyperlink r:id="rId12" w:history="1">
                              <w:r w:rsidR="00F656A1" w:rsidRPr="0009573A">
                                <w:rPr>
                                  <w:rStyle w:val="Hypertextovodkaz"/>
                                  <w:rFonts w:ascii="Inter" w:hAnsi="Inter"/>
                                  <w:lang w:val="en-US"/>
                                </w:rPr>
                                <w:t>christian.hromatka@erstegroup.com</w:t>
                              </w:r>
                            </w:hyperlink>
                          </w:p>
                          <w:p w14:paraId="610F4F43" w14:textId="64F02A56" w:rsidR="00E638DA" w:rsidRPr="00E638DA" w:rsidRDefault="00E638DA" w:rsidP="00E638DA">
                            <w:pPr>
                              <w:ind w:left="-426"/>
                              <w:jc w:val="center"/>
                              <w:rPr>
                                <w:rStyle w:val="Hypertextovodkaz"/>
                                <w:rFonts w:ascii="Inter" w:hAnsi="Inter"/>
                                <w:color w:val="2870ED"/>
                              </w:rPr>
                            </w:pPr>
                            <w:r w:rsidRPr="00E638DA">
                              <w:rPr>
                                <w:rFonts w:ascii="Inter" w:eastAsia="Arial" w:hAnsi="Inter"/>
                                <w:color w:val="000000" w:themeColor="text1"/>
                                <w:sz w:val="14"/>
                                <w:szCs w:val="14"/>
                                <w:shd w:val="clear" w:color="auto" w:fill="auto"/>
                              </w:rPr>
                              <w:t>Peter Kl</w:t>
                            </w:r>
                            <w:r>
                              <w:rPr>
                                <w:rFonts w:ascii="Inter" w:eastAsia="Arial" w:hAnsi="Inter"/>
                                <w:color w:val="000000" w:themeColor="text1"/>
                                <w:sz w:val="14"/>
                                <w:szCs w:val="14"/>
                                <w:shd w:val="clear" w:color="auto" w:fill="auto"/>
                              </w:rPr>
                              <w:t xml:space="preserve">opf, </w:t>
                            </w:r>
                            <w:r w:rsidRPr="00E638DA">
                              <w:rPr>
                                <w:rFonts w:ascii="Inter" w:eastAsia="Arial" w:hAnsi="Inter"/>
                                <w:color w:val="000000" w:themeColor="text1"/>
                                <w:sz w:val="14"/>
                                <w:szCs w:val="14"/>
                                <w:shd w:val="clear" w:color="auto" w:fill="auto"/>
                              </w:rPr>
                              <w:t xml:space="preserve"> 050100 - 1</w:t>
                            </w:r>
                            <w:r>
                              <w:rPr>
                                <w:rFonts w:ascii="Inter" w:eastAsia="Arial" w:hAnsi="Inter"/>
                                <w:color w:val="000000" w:themeColor="text1"/>
                                <w:sz w:val="14"/>
                                <w:szCs w:val="14"/>
                                <w:shd w:val="clear" w:color="auto" w:fill="auto"/>
                              </w:rPr>
                              <w:t>1676</w:t>
                            </w:r>
                            <w:r w:rsidRPr="00E638DA">
                              <w:rPr>
                                <w:rFonts w:ascii="Inter" w:eastAsia="Arial" w:hAnsi="Inter"/>
                                <w:color w:val="000000" w:themeColor="text1"/>
                                <w:sz w:val="14"/>
                                <w:szCs w:val="14"/>
                                <w:shd w:val="clear" w:color="auto" w:fill="auto"/>
                              </w:rPr>
                              <w:t xml:space="preserve">, E-Mail: </w:t>
                            </w:r>
                            <w:hyperlink r:id="rId13" w:history="1">
                              <w:r>
                                <w:rPr>
                                  <w:rStyle w:val="Hypertextovodkaz"/>
                                  <w:rFonts w:ascii="Inter" w:hAnsi="Inter"/>
                                  <w:color w:val="2870ED"/>
                                </w:rPr>
                                <w:t>peter.klopf@erstegroup.com</w:t>
                              </w:r>
                            </w:hyperlink>
                          </w:p>
                          <w:p w14:paraId="4F3E19CB" w14:textId="3679E93D" w:rsidR="00711D5D" w:rsidRPr="00711D5D" w:rsidRDefault="00711D5D" w:rsidP="00E638DA">
                            <w:pPr>
                              <w:autoSpaceDE w:val="0"/>
                              <w:autoSpaceDN w:val="0"/>
                              <w:adjustRightInd w:val="0"/>
                              <w:jc w:val="center"/>
                              <w:rPr>
                                <w:rFonts w:ascii="Inter" w:eastAsia="Arial" w:hAnsi="Inter"/>
                                <w:color w:val="000000" w:themeColor="text1"/>
                                <w:sz w:val="14"/>
                                <w:szCs w:val="14"/>
                              </w:rPr>
                            </w:pPr>
                            <w:r w:rsidRPr="00711D5D">
                              <w:rPr>
                                <w:rFonts w:ascii="Inter" w:eastAsia="Arial" w:hAnsi="Inter"/>
                                <w:color w:val="000000" w:themeColor="text1"/>
                                <w:sz w:val="14"/>
                                <w:szCs w:val="14"/>
                                <w:shd w:val="clear" w:color="auto" w:fill="auto"/>
                              </w:rPr>
                              <w:t xml:space="preserve">Martin Sonn-Wende, 050100 - 11680, E-Mail: </w:t>
                            </w:r>
                            <w:hyperlink r:id="rId14" w:history="1">
                              <w:r w:rsidRPr="00711D5D">
                                <w:rPr>
                                  <w:rStyle w:val="Hypertextovodkaz"/>
                                  <w:rFonts w:ascii="Inter" w:hAnsi="Inter"/>
                                  <w:color w:val="2870ED"/>
                                </w:rPr>
                                <w:t>martin.sonn-wende@erstegroup.com</w:t>
                              </w:r>
                            </w:hyperlink>
                          </w:p>
                          <w:p w14:paraId="1B506153" w14:textId="77777777" w:rsidR="007263E4" w:rsidRPr="00777A92" w:rsidRDefault="007263E4" w:rsidP="00711D5D">
                            <w:pPr>
                              <w:autoSpaceDE w:val="0"/>
                              <w:autoSpaceDN w:val="0"/>
                              <w:adjustRightInd w:val="0"/>
                              <w:ind w:left="-426"/>
                              <w:jc w:val="center"/>
                              <w:rPr>
                                <w:rFonts w:ascii="Inter" w:eastAsia="Arial" w:hAnsi="Inter"/>
                                <w:color w:val="000000" w:themeColor="text1"/>
                                <w:sz w:val="14"/>
                                <w:szCs w:val="14"/>
                                <w:shd w:val="clear" w:color="auto" w:fill="auto"/>
                              </w:rPr>
                            </w:pPr>
                          </w:p>
                          <w:p w14:paraId="75B27634" w14:textId="77777777" w:rsidR="00711D5D" w:rsidRPr="00711D5D" w:rsidRDefault="00711D5D" w:rsidP="00711D5D">
                            <w:pPr>
                              <w:autoSpaceDE w:val="0"/>
                              <w:autoSpaceDN w:val="0"/>
                              <w:adjustRightInd w:val="0"/>
                              <w:ind w:left="-426"/>
                              <w:jc w:val="center"/>
                              <w:rPr>
                                <w:rStyle w:val="Hypertextovodkaz"/>
                                <w:rFonts w:ascii="Inter" w:hAnsi="Inter"/>
                                <w:color w:val="2870ED"/>
                                <w:lang w:val="en-US"/>
                              </w:rPr>
                            </w:pPr>
                            <w:r w:rsidRPr="00711D5D">
                              <w:rPr>
                                <w:rFonts w:ascii="Inter" w:eastAsia="Arial" w:hAnsi="Inter"/>
                                <w:color w:val="000000" w:themeColor="text1"/>
                                <w:sz w:val="14"/>
                                <w:szCs w:val="14"/>
                                <w:shd w:val="clear" w:color="auto" w:fill="auto"/>
                                <w:lang w:val="en-US"/>
                              </w:rPr>
                              <w:t xml:space="preserve">Text also available on: </w:t>
                            </w:r>
                            <w:hyperlink r:id="rId15">
                              <w:r w:rsidR="00F7399E">
                                <w:rPr>
                                  <w:rStyle w:val="Hypertextovodkaz"/>
                                  <w:rFonts w:ascii="Inter" w:hAnsi="Inter"/>
                                  <w:color w:val="2870ED"/>
                                  <w:lang w:val="en-US"/>
                                </w:rPr>
                                <w:t>https://www.erstegroup.com/en/news-media</w:t>
                              </w:r>
                            </w:hyperlink>
                          </w:p>
                          <w:p w14:paraId="5A6DACEA" w14:textId="77777777" w:rsidR="00711D5D" w:rsidRPr="00711D5D" w:rsidRDefault="00711D5D" w:rsidP="00711D5D">
                            <w:pPr>
                              <w:autoSpaceDE w:val="0"/>
                              <w:autoSpaceDN w:val="0"/>
                              <w:adjustRightInd w:val="0"/>
                              <w:ind w:left="-426"/>
                              <w:jc w:val="center"/>
                              <w:rPr>
                                <w:rFonts w:ascii="Inter" w:eastAsia="Arial" w:hAnsi="Inter"/>
                                <w:color w:val="000000" w:themeColor="text1"/>
                                <w:sz w:val="14"/>
                                <w:szCs w:val="14"/>
                                <w:lang w:val="en-US"/>
                              </w:rPr>
                            </w:pPr>
                            <w:r w:rsidRPr="00711D5D">
                              <w:rPr>
                                <w:rStyle w:val="Hypertextovodkaz"/>
                                <w:rFonts w:ascii="Inter" w:hAnsi="Inter"/>
                                <w:color w:val="000000" w:themeColor="text1"/>
                                <w:u w:val="none"/>
                                <w:lang w:val="en-US"/>
                              </w:rPr>
                              <w:t xml:space="preserve">If you do not wish to receive any </w:t>
                            </w:r>
                            <w:r w:rsidR="00117FB4">
                              <w:rPr>
                                <w:rStyle w:val="Hypertextovodkaz"/>
                                <w:rFonts w:ascii="Inter" w:hAnsi="Inter"/>
                                <w:color w:val="000000" w:themeColor="text1"/>
                                <w:u w:val="none"/>
                                <w:lang w:val="en-US"/>
                              </w:rPr>
                              <w:t>media</w:t>
                            </w:r>
                            <w:r w:rsidRPr="00711D5D">
                              <w:rPr>
                                <w:rStyle w:val="Hypertextovodkaz"/>
                                <w:rFonts w:ascii="Inter" w:hAnsi="Inter"/>
                                <w:color w:val="000000" w:themeColor="text1"/>
                                <w:u w:val="none"/>
                                <w:lang w:val="en-US"/>
                              </w:rPr>
                              <w:t xml:space="preserve"> </w:t>
                            </w:r>
                            <w:r w:rsidR="00117FB4">
                              <w:rPr>
                                <w:rStyle w:val="Hypertextovodkaz"/>
                                <w:rFonts w:ascii="Inter" w:hAnsi="Inter"/>
                                <w:color w:val="000000" w:themeColor="text1"/>
                                <w:u w:val="none"/>
                                <w:lang w:val="en-US"/>
                              </w:rPr>
                              <w:t xml:space="preserve">information </w:t>
                            </w:r>
                            <w:r w:rsidRPr="00711D5D">
                              <w:rPr>
                                <w:rStyle w:val="Hypertextovodkaz"/>
                                <w:rFonts w:ascii="Inter" w:hAnsi="Inter"/>
                                <w:color w:val="000000" w:themeColor="text1"/>
                                <w:u w:val="none"/>
                                <w:lang w:val="en-US"/>
                              </w:rPr>
                              <w:t xml:space="preserve">from us in the future, </w:t>
                            </w:r>
                            <w:hyperlink r:id="rId16" w:history="1">
                              <w:r w:rsidRPr="00711D5D">
                                <w:rPr>
                                  <w:rStyle w:val="Hypertextovodkaz"/>
                                  <w:rFonts w:ascii="Inter" w:hAnsi="Inter"/>
                                  <w:color w:val="2870ED"/>
                                  <w:lang w:val="en-US"/>
                                </w:rPr>
                                <w:t>please write an email to presse@erstebank.at</w:t>
                              </w:r>
                            </w:hyperlink>
                            <w:r w:rsidRPr="00113355">
                              <w:rPr>
                                <w:rStyle w:val="Hypertextovodkaz"/>
                                <w:rFonts w:ascii="Inter" w:hAnsi="Inter"/>
                                <w:color w:val="2870ED"/>
                                <w:u w:val="none"/>
                                <w:lang w:val="en-US"/>
                              </w:rPr>
                              <w:t>.</w:t>
                            </w:r>
                          </w:p>
                        </w:txbxContent>
                      </wps:txbx>
                      <wps:bodyPr rot="0" spcFirstLastPara="0" vertOverflow="overflow" horzOverflow="overflow" vert="horz" wrap="square" lIns="180000" tIns="45720" rIns="180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3492082" id="Rechteck: abgerundete Ecken 7" o:spid="_x0000_s1026" style="position:absolute;margin-left:-.85pt;margin-top:3.25pt;width:452.35pt;height:1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" filled="f" strokecolor="#2870ed" strokeweight="1.5pt">
                <v:stroke joinstyle="miter"/>
                <v:textbox style="mso-fit-shape-to-text:t" inset="5mm,,5mm">
                  <w:txbxContent>
                    <w:p w14:paraId="100B338D" w14:textId="77777777" w:rsidR="00711D5D" w:rsidRPr="00711D5D" w:rsidRDefault="00711D5D" w:rsidP="00711D5D">
                      <w:pPr>
                        <w:ind w:left="-426"/>
                        <w:jc w:val="center"/>
                        <w:rPr>
                          <w:rFonts w:ascii="Inter" w:eastAsia="Arial" w:hAnsi="Inter"/>
                          <w:b/>
                          <w:bCs/>
                          <w:color w:val="2870ED"/>
                          <w:sz w:val="14"/>
                          <w:szCs w:val="14"/>
                          <w:lang w:val="en-US"/>
                        </w:rPr>
                      </w:pPr>
                      <w:r w:rsidRPr="00711D5D">
                        <w:rPr>
                          <w:rFonts w:ascii="Inter" w:eastAsia="Arial" w:hAnsi="Inter"/>
                          <w:b/>
                          <w:bCs/>
                          <w:color w:val="2870ED"/>
                          <w:sz w:val="14"/>
                          <w:szCs w:val="14"/>
                          <w:shd w:val="clear" w:color="auto" w:fill="auto"/>
                          <w:lang w:val="en-US"/>
                        </w:rPr>
                        <w:t>Media inquiries:</w:t>
                      </w:r>
                    </w:p>
                    <w:p w14:paraId="18C5624B" w14:textId="77777777" w:rsidR="00711D5D" w:rsidRPr="00711D5D" w:rsidRDefault="00711D5D" w:rsidP="00711D5D">
                      <w:pPr>
                        <w:ind w:left="-426"/>
                        <w:jc w:val="center"/>
                        <w:rPr>
                          <w:rFonts w:ascii="Inter" w:eastAsia="Arial" w:hAnsi="Inter"/>
                          <w:color w:val="000000" w:themeColor="text1"/>
                          <w:sz w:val="14"/>
                          <w:szCs w:val="14"/>
                          <w:lang w:val="en-US"/>
                        </w:rPr>
                      </w:pPr>
                      <w:r w:rsidRPr="00711D5D">
                        <w:rPr>
                          <w:rFonts w:ascii="Inter" w:eastAsia="Arial" w:hAnsi="Inter"/>
                          <w:color w:val="000000" w:themeColor="text1"/>
                          <w:sz w:val="14"/>
                          <w:szCs w:val="14"/>
                          <w:shd w:val="clear" w:color="auto" w:fill="auto"/>
                          <w:lang w:val="en-US"/>
                        </w:rPr>
                        <w:t>Erste Group | Press Department, Am Belvedere 1, 1100 Wien</w:t>
                      </w:r>
                    </w:p>
                    <w:p w14:paraId="6758A851" w14:textId="7A5AE929" w:rsidR="00711D5D" w:rsidRDefault="00711D5D" w:rsidP="00711D5D">
                      <w:pPr>
                        <w:ind w:left="-426"/>
                        <w:jc w:val="center"/>
                        <w:rPr>
                          <w:rStyle w:val="Hypertextovodkaz"/>
                          <w:rFonts w:ascii="Inter" w:hAnsi="Inter"/>
                          <w:color w:val="2870ED"/>
                          <w:lang w:val="en-US"/>
                        </w:rPr>
                      </w:pPr>
                      <w:r w:rsidRPr="00711D5D">
                        <w:rPr>
                          <w:rFonts w:ascii="Inter" w:eastAsia="Arial" w:hAnsi="Inter"/>
                          <w:color w:val="000000" w:themeColor="text1"/>
                          <w:sz w:val="14"/>
                          <w:szCs w:val="14"/>
                          <w:shd w:val="clear" w:color="auto" w:fill="auto"/>
                          <w:lang w:val="en-US"/>
                        </w:rPr>
                        <w:t xml:space="preserve">Christian Hromatka, 050100 - 13711, E-Mail: </w:t>
                      </w:r>
                      <w:hyperlink r:id="rId17" w:history="1">
                        <w:r w:rsidR="00F656A1" w:rsidRPr="0009573A">
                          <w:rPr>
                            <w:rStyle w:val="Hypertextovodkaz"/>
                            <w:rFonts w:ascii="Inter" w:hAnsi="Inter"/>
                            <w:lang w:val="en-US"/>
                          </w:rPr>
                          <w:t>christian.hromatka@erstegroup.com</w:t>
                        </w:r>
                      </w:hyperlink>
                    </w:p>
                    <w:p w14:paraId="610F4F43" w14:textId="64F02A56" w:rsidR="00E638DA" w:rsidRPr="00E638DA" w:rsidRDefault="00E638DA" w:rsidP="00E638DA">
                      <w:pPr>
                        <w:ind w:left="-426"/>
                        <w:jc w:val="center"/>
                        <w:rPr>
                          <w:rStyle w:val="Hypertextovodkaz"/>
                          <w:rFonts w:ascii="Inter" w:hAnsi="Inter"/>
                          <w:color w:val="2870ED"/>
                        </w:rPr>
                      </w:pPr>
                      <w:r w:rsidRPr="00E638DA">
                        <w:rPr>
                          <w:rFonts w:ascii="Inter" w:eastAsia="Arial" w:hAnsi="Inter"/>
                          <w:color w:val="000000" w:themeColor="text1"/>
                          <w:sz w:val="14"/>
                          <w:szCs w:val="14"/>
                          <w:shd w:val="clear" w:color="auto" w:fill="auto"/>
                        </w:rPr>
                        <w:t>Peter Kl</w:t>
                      </w:r>
                      <w:r>
                        <w:rPr>
                          <w:rFonts w:ascii="Inter" w:eastAsia="Arial" w:hAnsi="Inter"/>
                          <w:color w:val="000000" w:themeColor="text1"/>
                          <w:sz w:val="14"/>
                          <w:szCs w:val="14"/>
                          <w:shd w:val="clear" w:color="auto" w:fill="auto"/>
                        </w:rPr>
                        <w:t xml:space="preserve">opf, </w:t>
                      </w:r>
                      <w:r w:rsidRPr="00E638DA">
                        <w:rPr>
                          <w:rFonts w:ascii="Inter" w:eastAsia="Arial" w:hAnsi="Inter"/>
                          <w:color w:val="000000" w:themeColor="text1"/>
                          <w:sz w:val="14"/>
                          <w:szCs w:val="14"/>
                          <w:shd w:val="clear" w:color="auto" w:fill="auto"/>
                        </w:rPr>
                        <w:t xml:space="preserve"> 050100 - 1</w:t>
                      </w:r>
                      <w:r>
                        <w:rPr>
                          <w:rFonts w:ascii="Inter" w:eastAsia="Arial" w:hAnsi="Inter"/>
                          <w:color w:val="000000" w:themeColor="text1"/>
                          <w:sz w:val="14"/>
                          <w:szCs w:val="14"/>
                          <w:shd w:val="clear" w:color="auto" w:fill="auto"/>
                        </w:rPr>
                        <w:t>1676</w:t>
                      </w:r>
                      <w:r w:rsidRPr="00E638DA">
                        <w:rPr>
                          <w:rFonts w:ascii="Inter" w:eastAsia="Arial" w:hAnsi="Inter"/>
                          <w:color w:val="000000" w:themeColor="text1"/>
                          <w:sz w:val="14"/>
                          <w:szCs w:val="14"/>
                          <w:shd w:val="clear" w:color="auto" w:fill="auto"/>
                        </w:rPr>
                        <w:t xml:space="preserve">, E-Mail: </w:t>
                      </w:r>
                      <w:hyperlink r:id="rId18" w:history="1">
                        <w:r>
                          <w:rPr>
                            <w:rStyle w:val="Hypertextovodkaz"/>
                            <w:rFonts w:ascii="Inter" w:hAnsi="Inter"/>
                            <w:color w:val="2870ED"/>
                          </w:rPr>
                          <w:t>peter.klopf@erstegroup.com</w:t>
                        </w:r>
                      </w:hyperlink>
                    </w:p>
                    <w:p w14:paraId="4F3E19CB" w14:textId="3679E93D" w:rsidR="00711D5D" w:rsidRPr="00711D5D" w:rsidRDefault="00711D5D" w:rsidP="00E638DA">
                      <w:pPr>
                        <w:autoSpaceDE w:val="0"/>
                        <w:autoSpaceDN w:val="0"/>
                        <w:adjustRightInd w:val="0"/>
                        <w:jc w:val="center"/>
                        <w:rPr>
                          <w:rFonts w:ascii="Inter" w:eastAsia="Arial" w:hAnsi="Inter"/>
                          <w:color w:val="000000" w:themeColor="text1"/>
                          <w:sz w:val="14"/>
                          <w:szCs w:val="14"/>
                        </w:rPr>
                      </w:pPr>
                      <w:r w:rsidRPr="00711D5D">
                        <w:rPr>
                          <w:rFonts w:ascii="Inter" w:eastAsia="Arial" w:hAnsi="Inter"/>
                          <w:color w:val="000000" w:themeColor="text1"/>
                          <w:sz w:val="14"/>
                          <w:szCs w:val="14"/>
                          <w:shd w:val="clear" w:color="auto" w:fill="auto"/>
                        </w:rPr>
                        <w:t xml:space="preserve">Martin Sonn-Wende, 050100 - 11680, E-Mail: </w:t>
                      </w:r>
                      <w:hyperlink r:id="rId19" w:history="1">
                        <w:r w:rsidRPr="00711D5D">
                          <w:rPr>
                            <w:rStyle w:val="Hypertextovodkaz"/>
                            <w:rFonts w:ascii="Inter" w:hAnsi="Inter"/>
                            <w:color w:val="2870ED"/>
                          </w:rPr>
                          <w:t>martin.sonn-wende@erstegroup.com</w:t>
                        </w:r>
                      </w:hyperlink>
                    </w:p>
                    <w:p w14:paraId="1B506153" w14:textId="77777777" w:rsidR="007263E4" w:rsidRPr="00777A92" w:rsidRDefault="007263E4" w:rsidP="00711D5D">
                      <w:pPr>
                        <w:autoSpaceDE w:val="0"/>
                        <w:autoSpaceDN w:val="0"/>
                        <w:adjustRightInd w:val="0"/>
                        <w:ind w:left="-426"/>
                        <w:jc w:val="center"/>
                        <w:rPr>
                          <w:rFonts w:ascii="Inter" w:eastAsia="Arial" w:hAnsi="Inter"/>
                          <w:color w:val="000000" w:themeColor="text1"/>
                          <w:sz w:val="14"/>
                          <w:szCs w:val="14"/>
                          <w:shd w:val="clear" w:color="auto" w:fill="auto"/>
                        </w:rPr>
                      </w:pPr>
                    </w:p>
                    <w:p w14:paraId="75B27634" w14:textId="77777777" w:rsidR="00711D5D" w:rsidRPr="00711D5D" w:rsidRDefault="00711D5D" w:rsidP="00711D5D">
                      <w:pPr>
                        <w:autoSpaceDE w:val="0"/>
                        <w:autoSpaceDN w:val="0"/>
                        <w:adjustRightInd w:val="0"/>
                        <w:ind w:left="-426"/>
                        <w:jc w:val="center"/>
                        <w:rPr>
                          <w:rStyle w:val="Hypertextovodkaz"/>
                          <w:rFonts w:ascii="Inter" w:hAnsi="Inter"/>
                          <w:color w:val="2870ED"/>
                          <w:lang w:val="en-US"/>
                        </w:rPr>
                      </w:pPr>
                      <w:r w:rsidRPr="00711D5D">
                        <w:rPr>
                          <w:rFonts w:ascii="Inter" w:eastAsia="Arial" w:hAnsi="Inter"/>
                          <w:color w:val="000000" w:themeColor="text1"/>
                          <w:sz w:val="14"/>
                          <w:szCs w:val="14"/>
                          <w:shd w:val="clear" w:color="auto" w:fill="auto"/>
                          <w:lang w:val="en-US"/>
                        </w:rPr>
                        <w:t xml:space="preserve">Text also available on: </w:t>
                      </w:r>
                      <w:hyperlink r:id="rId20">
                        <w:r w:rsidR="00F7399E">
                          <w:rPr>
                            <w:rStyle w:val="Hypertextovodkaz"/>
                            <w:rFonts w:ascii="Inter" w:hAnsi="Inter"/>
                            <w:color w:val="2870ED"/>
                            <w:lang w:val="en-US"/>
                          </w:rPr>
                          <w:t>https://www.erstegroup.com/en/news-media</w:t>
                        </w:r>
                      </w:hyperlink>
                    </w:p>
                    <w:p w14:paraId="5A6DACEA" w14:textId="77777777" w:rsidR="00711D5D" w:rsidRPr="00711D5D" w:rsidRDefault="00711D5D" w:rsidP="00711D5D">
                      <w:pPr>
                        <w:autoSpaceDE w:val="0"/>
                        <w:autoSpaceDN w:val="0"/>
                        <w:adjustRightInd w:val="0"/>
                        <w:ind w:left="-426"/>
                        <w:jc w:val="center"/>
                        <w:rPr>
                          <w:rFonts w:ascii="Inter" w:eastAsia="Arial" w:hAnsi="Inter"/>
                          <w:color w:val="000000" w:themeColor="text1"/>
                          <w:sz w:val="14"/>
                          <w:szCs w:val="14"/>
                          <w:lang w:val="en-US"/>
                        </w:rPr>
                      </w:pPr>
                      <w:r w:rsidRPr="00711D5D">
                        <w:rPr>
                          <w:rStyle w:val="Hypertextovodkaz"/>
                          <w:rFonts w:ascii="Inter" w:hAnsi="Inter"/>
                          <w:color w:val="000000" w:themeColor="text1"/>
                          <w:u w:val="none"/>
                          <w:lang w:val="en-US"/>
                        </w:rPr>
                        <w:t xml:space="preserve">If you do not wish to receive any </w:t>
                      </w:r>
                      <w:r w:rsidR="00117FB4">
                        <w:rPr>
                          <w:rStyle w:val="Hypertextovodkaz"/>
                          <w:rFonts w:ascii="Inter" w:hAnsi="Inter"/>
                          <w:color w:val="000000" w:themeColor="text1"/>
                          <w:u w:val="none"/>
                          <w:lang w:val="en-US"/>
                        </w:rPr>
                        <w:t>media</w:t>
                      </w:r>
                      <w:r w:rsidRPr="00711D5D">
                        <w:rPr>
                          <w:rStyle w:val="Hypertextovodkaz"/>
                          <w:rFonts w:ascii="Inter" w:hAnsi="Inter"/>
                          <w:color w:val="000000" w:themeColor="text1"/>
                          <w:u w:val="none"/>
                          <w:lang w:val="en-US"/>
                        </w:rPr>
                        <w:t xml:space="preserve"> </w:t>
                      </w:r>
                      <w:r w:rsidR="00117FB4">
                        <w:rPr>
                          <w:rStyle w:val="Hypertextovodkaz"/>
                          <w:rFonts w:ascii="Inter" w:hAnsi="Inter"/>
                          <w:color w:val="000000" w:themeColor="text1"/>
                          <w:u w:val="none"/>
                          <w:lang w:val="en-US"/>
                        </w:rPr>
                        <w:t xml:space="preserve">information </w:t>
                      </w:r>
                      <w:r w:rsidRPr="00711D5D">
                        <w:rPr>
                          <w:rStyle w:val="Hypertextovodkaz"/>
                          <w:rFonts w:ascii="Inter" w:hAnsi="Inter"/>
                          <w:color w:val="000000" w:themeColor="text1"/>
                          <w:u w:val="none"/>
                          <w:lang w:val="en-US"/>
                        </w:rPr>
                        <w:t xml:space="preserve">from us in the future, </w:t>
                      </w:r>
                      <w:hyperlink r:id="rId21" w:history="1">
                        <w:r w:rsidRPr="00711D5D">
                          <w:rPr>
                            <w:rStyle w:val="Hypertextovodkaz"/>
                            <w:rFonts w:ascii="Inter" w:hAnsi="Inter"/>
                            <w:color w:val="2870ED"/>
                            <w:lang w:val="en-US"/>
                          </w:rPr>
                          <w:t>please write an email to presse@erstebank.at</w:t>
                        </w:r>
                      </w:hyperlink>
                      <w:r w:rsidRPr="00113355">
                        <w:rPr>
                          <w:rStyle w:val="Hypertextovodkaz"/>
                          <w:rFonts w:ascii="Inter" w:hAnsi="Inter"/>
                          <w:color w:val="2870ED"/>
                          <w:u w:val="none"/>
                          <w:lang w:val="en-US"/>
                        </w:rPr>
                        <w:t>.</w:t>
                      </w:r>
                    </w:p>
                  </w:txbxContent>
                </v:textbox>
                <w10:wrap type="topAndBottom"/>
              </v:roundrect>
            </w:pict>
          </mc:Fallback>
        </mc:AlternateContent>
      </w:r>
    </w:p>
    <w:sectPr w:rsidR="00CC18B8" w:rsidRPr="00A85FA9" w:rsidSect="001D608B">
      <w:headerReference w:type="default" r:id="rId22"/>
      <w:headerReference w:type="first" r:id="rId23"/>
      <w:footerReference w:type="first" r:id="rId24"/>
      <w:pgSz w:w="11900" w:h="16840"/>
      <w:pgMar w:top="2268" w:right="1417" w:bottom="1276" w:left="1417" w:header="425"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AE0A" w14:textId="77777777" w:rsidR="001D608B" w:rsidRDefault="001D608B" w:rsidP="009844F9">
      <w:r>
        <w:separator/>
      </w:r>
    </w:p>
  </w:endnote>
  <w:endnote w:type="continuationSeparator" w:id="0">
    <w:p w14:paraId="5F7096E8" w14:textId="77777777" w:rsidR="001D608B" w:rsidRDefault="001D608B" w:rsidP="009844F9">
      <w:r>
        <w:continuationSeparator/>
      </w:r>
    </w:p>
  </w:endnote>
  <w:endnote w:type="continuationNotice" w:id="1">
    <w:p w14:paraId="06F82BCA" w14:textId="77777777" w:rsidR="001D608B" w:rsidRDefault="001D60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EE"/>
    <w:family w:val="swiss"/>
    <w:pitch w:val="variable"/>
    <w:sig w:usb0="E4002EFF" w:usb1="C000247B" w:usb2="00000009" w:usb3="00000000" w:csb0="000001FF" w:csb1="00000000"/>
  </w:font>
  <w:font w:name="Inter">
    <w:altName w:val="Calibri"/>
    <w:panose1 w:val="00000000000000000000"/>
    <w:charset w:val="00"/>
    <w:family w:val="auto"/>
    <w:notTrueType/>
    <w:pitch w:val="variable"/>
    <w:sig w:usb0="E0000AFF" w:usb1="5200A1FF" w:usb2="00000021"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A0F7" w14:textId="77777777" w:rsidR="0069608C" w:rsidRDefault="00553F90" w:rsidP="0069608C">
    <w:pPr>
      <w:ind w:left="-426"/>
      <w:jc w:val="center"/>
      <w:rPr>
        <w:rFonts w:eastAsia="Arial"/>
        <w:b/>
        <w:bCs/>
        <w:sz w:val="14"/>
        <w:szCs w:val="14"/>
      </w:rPr>
    </w:pPr>
    <w:r w:rsidRPr="00553F90">
      <w:rPr>
        <w:rFonts w:eastAsia="Arial"/>
        <w:sz w:val="14"/>
        <w:szCs w:val="14"/>
        <w:shd w:val="clear" w:color="auto" w:fill="auto"/>
      </w:rPr>
      <mc:AlternateContent>
        <mc:Choice Requires="wps">
          <w:drawing>
            <wp:anchor distT="0" distB="0" distL="114300" distR="114300" simplePos="0" relativeHeight="251658242" behindDoc="0" locked="0" layoutInCell="1" allowOverlap="1" wp14:anchorId="0BFE259A" wp14:editId="2FF54CCE">
              <wp:simplePos x="0" y="0"/>
              <wp:positionH relativeFrom="column">
                <wp:posOffset>-890905</wp:posOffset>
              </wp:positionH>
              <wp:positionV relativeFrom="paragraph">
                <wp:posOffset>362162</wp:posOffset>
              </wp:positionV>
              <wp:extent cx="7543800" cy="270933"/>
              <wp:effectExtent l="0" t="0" r="0" b="0"/>
              <wp:wrapNone/>
              <wp:docPr id="4" name="Rechteck 4"/>
              <wp:cNvGraphicFramePr/>
              <a:graphic xmlns:a="http://schemas.openxmlformats.org/drawingml/2006/main">
                <a:graphicData uri="http://schemas.microsoft.com/office/word/2010/wordprocessingShape">
                  <wps:wsp>
                    <wps:cNvSpPr/>
                    <wps:spPr>
                      <a:xfrm>
                        <a:off x="0" y="0"/>
                        <a:ext cx="7543800" cy="270933"/>
                      </a:xfrm>
                      <a:prstGeom prst="rect">
                        <a:avLst/>
                      </a:prstGeom>
                      <a:solidFill>
                        <a:srgbClr val="0077B3"/>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1230143E" id="Rechteck 4" o:spid="_x0000_s1026" style="position:absolute;margin-left:-70.15pt;margin-top:28.5pt;width:594pt;height:21.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" fillcolor="#0077b3"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0906" w14:textId="77777777" w:rsidR="001D608B" w:rsidRDefault="001D608B" w:rsidP="009844F9">
      <w:r>
        <w:separator/>
      </w:r>
    </w:p>
  </w:footnote>
  <w:footnote w:type="continuationSeparator" w:id="0">
    <w:p w14:paraId="63585D80" w14:textId="77777777" w:rsidR="001D608B" w:rsidRDefault="001D608B" w:rsidP="009844F9">
      <w:r>
        <w:continuationSeparator/>
      </w:r>
    </w:p>
  </w:footnote>
  <w:footnote w:type="continuationNotice" w:id="1">
    <w:p w14:paraId="5B99F2DD" w14:textId="77777777" w:rsidR="001D608B" w:rsidRDefault="001D60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AF63" w14:textId="77777777" w:rsidR="00897B52" w:rsidRPr="00E57665" w:rsidRDefault="002B44FF" w:rsidP="0005724A">
    <w:pPr>
      <w:pStyle w:val="Zhlav"/>
    </w:pPr>
    <w:r w:rsidRPr="0066165B">
      <w:rPr>
        <w:highlight w:val="blue"/>
      </w:rPr>
      <w:drawing>
        <wp:anchor distT="0" distB="0" distL="114300" distR="114300" simplePos="0" relativeHeight="251658243" behindDoc="0" locked="0" layoutInCell="1" allowOverlap="1" wp14:anchorId="625F58BB" wp14:editId="7EDBDDD7">
          <wp:simplePos x="0" y="0"/>
          <wp:positionH relativeFrom="column">
            <wp:posOffset>-747</wp:posOffset>
          </wp:positionH>
          <wp:positionV relativeFrom="paragraph">
            <wp:posOffset>123190</wp:posOffset>
          </wp:positionV>
          <wp:extent cx="987136" cy="469323"/>
          <wp:effectExtent l="0" t="0" r="3810" b="63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87136" cy="469323"/>
                  </a:xfrm>
                  <a:prstGeom prst="rect">
                    <a:avLst/>
                  </a:prstGeom>
                </pic:spPr>
              </pic:pic>
            </a:graphicData>
          </a:graphic>
          <wp14:sizeRelH relativeFrom="margin">
            <wp14:pctWidth>0</wp14:pctWidth>
          </wp14:sizeRelH>
          <wp14:sizeRelV relativeFrom="margin">
            <wp14:pctHeight>0</wp14:pctHeight>
          </wp14:sizeRelV>
        </wp:anchor>
      </w:drawing>
    </w:r>
    <w:r w:rsidRPr="0066165B">
      <w:rPr>
        <w:highlight w:val="blue"/>
      </w:rPr>
      <mc:AlternateContent>
        <mc:Choice Requires="wps">
          <w:drawing>
            <wp:anchor distT="0" distB="0" distL="114300" distR="114300" simplePos="0" relativeHeight="251658244" behindDoc="1" locked="1" layoutInCell="1" allowOverlap="1" wp14:anchorId="53DA6E20" wp14:editId="7DBFA68D">
              <wp:simplePos x="0" y="0"/>
              <wp:positionH relativeFrom="page">
                <wp:posOffset>427355</wp:posOffset>
              </wp:positionH>
              <wp:positionV relativeFrom="page">
                <wp:posOffset>260985</wp:posOffset>
              </wp:positionV>
              <wp:extent cx="6767830" cy="755650"/>
              <wp:effectExtent l="0" t="0" r="1270" b="6350"/>
              <wp:wrapNone/>
              <wp:docPr id="589" name="Rechteck: abgerundete Ecken 589"/>
              <wp:cNvGraphicFramePr/>
              <a:graphic xmlns:a="http://schemas.openxmlformats.org/drawingml/2006/main">
                <a:graphicData uri="http://schemas.microsoft.com/office/word/2010/wordprocessingShape">
                  <wps:wsp>
                    <wps:cNvSpPr/>
                    <wps:spPr>
                      <a:xfrm>
                        <a:off x="0" y="0"/>
                        <a:ext cx="6767830" cy="755650"/>
                      </a:xfrm>
                      <a:prstGeom prst="roundRect">
                        <a:avLst>
                          <a:gd name="adj" fmla="val 9377"/>
                        </a:avLst>
                      </a:prstGeom>
                      <a:solidFill>
                        <a:srgbClr val="2870ED"/>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F51731" w14:textId="6999A7B6" w:rsidR="001D07BC" w:rsidRPr="00F064B6" w:rsidRDefault="00A17F4B" w:rsidP="00962EBC">
                          <w:pPr>
                            <w:pStyle w:val="Info"/>
                            <w:spacing w:before="120" w:line="276" w:lineRule="auto"/>
                            <w:jc w:val="right"/>
                            <w:rPr>
                              <w:rFonts w:ascii="Inter" w:hAnsi="Inter"/>
                              <w:color w:val="FFFFFF" w:themeColor="background1"/>
                              <w:sz w:val="18"/>
                              <w:szCs w:val="32"/>
                            </w:rPr>
                          </w:pPr>
                          <w:r>
                            <w:rPr>
                              <w:rFonts w:ascii="Inter" w:hAnsi="Inter"/>
                              <w:b/>
                              <w:bCs/>
                              <w:color w:val="FFFFFF" w:themeColor="background1"/>
                              <w:sz w:val="28"/>
                              <w:szCs w:val="52"/>
                            </w:rPr>
                            <w:t>Press release</w:t>
                          </w:r>
                          <w:r w:rsidR="001D07BC" w:rsidRPr="00F064B6">
                            <w:rPr>
                              <w:rFonts w:ascii="Inter" w:hAnsi="Inter"/>
                              <w:color w:val="FFFFFF" w:themeColor="background1"/>
                            </w:rPr>
                            <w:br/>
                          </w:r>
                          <w:r w:rsidR="00A85FA9" w:rsidRPr="00F064B6">
                            <w:rPr>
                              <w:rFonts w:ascii="Inter" w:hAnsi="Inter"/>
                              <w:color w:val="FFFFFF" w:themeColor="background1"/>
                              <w:sz w:val="18"/>
                              <w:szCs w:val="32"/>
                            </w:rPr>
                            <w:t xml:space="preserve">Vienna </w:t>
                          </w:r>
                          <w:r w:rsidR="00FB6F87" w:rsidRPr="00F064B6">
                            <w:rPr>
                              <w:rFonts w:ascii="Inter" w:hAnsi="Inter"/>
                              <w:color w:val="FFFFFF" w:themeColor="background1"/>
                              <w:sz w:val="18"/>
                              <w:szCs w:val="32"/>
                            </w:rPr>
                            <w:t>–</w:t>
                          </w:r>
                          <w:r w:rsidR="00A85FA9" w:rsidRPr="00F064B6">
                            <w:rPr>
                              <w:rFonts w:ascii="Inter" w:hAnsi="Inter"/>
                              <w:color w:val="FFFFFF" w:themeColor="background1"/>
                              <w:sz w:val="18"/>
                              <w:szCs w:val="32"/>
                            </w:rPr>
                            <w:t xml:space="preserve"> </w:t>
                          </w:r>
                          <w:r>
                            <w:rPr>
                              <w:rFonts w:ascii="Inter" w:hAnsi="Inter"/>
                              <w:color w:val="FFFFFF" w:themeColor="background1"/>
                              <w:sz w:val="18"/>
                              <w:szCs w:val="32"/>
                            </w:rPr>
                            <w:t>29 February 2024</w:t>
                          </w:r>
                        </w:p>
                        <w:p w14:paraId="5A878B84" w14:textId="77777777" w:rsidR="002B44FF" w:rsidRPr="00962EBC" w:rsidRDefault="002B44FF" w:rsidP="001D07BC">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53DA6E20" id="Rechteck: abgerundete Ecken 589" o:spid="_x0000_s1028" style="position:absolute;margin-left:33.65pt;margin-top:20.55pt;width:532.9pt;height: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" fillcolor="#2870ed" stroked="f" strokeweight=".25pt">
              <v:stroke joinstyle="miter"/>
              <v:textbox>
                <w:txbxContent>
                  <w:p w14:paraId="49F51731" w14:textId="6999A7B6" w:rsidR="001D07BC" w:rsidRPr="00F064B6" w:rsidRDefault="00A17F4B" w:rsidP="00962EBC">
                    <w:pPr>
                      <w:pStyle w:val="Info"/>
                      <w:spacing w:before="120" w:line="276" w:lineRule="auto"/>
                      <w:jc w:val="right"/>
                      <w:rPr>
                        <w:rFonts w:ascii="Inter" w:hAnsi="Inter"/>
                        <w:color w:val="FFFFFF" w:themeColor="background1"/>
                        <w:sz w:val="18"/>
                        <w:szCs w:val="32"/>
                      </w:rPr>
                    </w:pPr>
                    <w:r>
                      <w:rPr>
                        <w:rFonts w:ascii="Inter" w:hAnsi="Inter"/>
                        <w:b/>
                        <w:bCs/>
                        <w:color w:val="FFFFFF" w:themeColor="background1"/>
                        <w:sz w:val="28"/>
                        <w:szCs w:val="52"/>
                      </w:rPr>
                      <w:t>Press release</w:t>
                    </w:r>
                    <w:r w:rsidR="001D07BC" w:rsidRPr="00F064B6">
                      <w:rPr>
                        <w:rFonts w:ascii="Inter" w:hAnsi="Inter"/>
                        <w:color w:val="FFFFFF" w:themeColor="background1"/>
                      </w:rPr>
                      <w:br/>
                    </w:r>
                    <w:r w:rsidR="00A85FA9" w:rsidRPr="00F064B6">
                      <w:rPr>
                        <w:rFonts w:ascii="Inter" w:hAnsi="Inter"/>
                        <w:color w:val="FFFFFF" w:themeColor="background1"/>
                        <w:sz w:val="18"/>
                        <w:szCs w:val="32"/>
                      </w:rPr>
                      <w:t xml:space="preserve">Vienna </w:t>
                    </w:r>
                    <w:r w:rsidR="00FB6F87" w:rsidRPr="00F064B6">
                      <w:rPr>
                        <w:rFonts w:ascii="Inter" w:hAnsi="Inter"/>
                        <w:color w:val="FFFFFF" w:themeColor="background1"/>
                        <w:sz w:val="18"/>
                        <w:szCs w:val="32"/>
                      </w:rPr>
                      <w:t>–</w:t>
                    </w:r>
                    <w:r w:rsidR="00A85FA9" w:rsidRPr="00F064B6">
                      <w:rPr>
                        <w:rFonts w:ascii="Inter" w:hAnsi="Inter"/>
                        <w:color w:val="FFFFFF" w:themeColor="background1"/>
                        <w:sz w:val="18"/>
                        <w:szCs w:val="32"/>
                      </w:rPr>
                      <w:t xml:space="preserve"> </w:t>
                    </w:r>
                    <w:r>
                      <w:rPr>
                        <w:rFonts w:ascii="Inter" w:hAnsi="Inter"/>
                        <w:color w:val="FFFFFF" w:themeColor="background1"/>
                        <w:sz w:val="18"/>
                        <w:szCs w:val="32"/>
                      </w:rPr>
                      <w:t>29 February 2024</w:t>
                    </w:r>
                  </w:p>
                  <w:p w14:paraId="5A878B84" w14:textId="77777777" w:rsidR="002B44FF" w:rsidRPr="00962EBC" w:rsidRDefault="002B44FF" w:rsidP="001D07BC">
                    <w:pPr>
                      <w:rPr>
                        <w:lang w:val="en-US"/>
                      </w:rPr>
                    </w:pPr>
                  </w:p>
                </w:txbxContent>
              </v:textbox>
              <w10:wrap anchorx="page" anchory="page"/>
              <w10:anchorlock/>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F7DC" w14:textId="77777777" w:rsidR="009844F9" w:rsidRDefault="00E67431">
    <w:pPr>
      <w:pStyle w:val="Zhlav"/>
    </w:pPr>
    <w:r w:rsidRPr="00E67431">
      <w:drawing>
        <wp:anchor distT="0" distB="0" distL="114300" distR="114300" simplePos="0" relativeHeight="251658241" behindDoc="1" locked="0" layoutInCell="1" allowOverlap="1" wp14:anchorId="1B995AAD" wp14:editId="6538723E">
          <wp:simplePos x="0" y="0"/>
          <wp:positionH relativeFrom="column">
            <wp:posOffset>3363595</wp:posOffset>
          </wp:positionH>
          <wp:positionV relativeFrom="paragraph">
            <wp:posOffset>146897</wp:posOffset>
          </wp:positionV>
          <wp:extent cx="2904490" cy="520700"/>
          <wp:effectExtent l="0" t="0" r="3810" b="0"/>
          <wp:wrapTight wrapText="bothSides">
            <wp:wrapPolygon edited="0">
              <wp:start x="0" y="0"/>
              <wp:lineTo x="0" y="21073"/>
              <wp:lineTo x="21534" y="21073"/>
              <wp:lineTo x="21534" y="0"/>
              <wp:lineTo x="0" y="0"/>
            </wp:wrapPolygon>
          </wp:wrapTight>
          <wp:docPr id="22" name="Grafik 22" descr="P:\01980394\OE0394\OE_ORD\PRESSE\E. ADMINISTRATION\Logos\Erste Bank\a_NEUE LOGOs ab Okt 2017\EBSPK_office_external-mater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1980394\OE0394\OE_ORD\PRESSE\E. ADMINISTRATION\Logos\Erste Bank\a_NEUE LOGOs ab Okt 2017\EBSPK_office_external-materi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449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7431">
      <mc:AlternateContent>
        <mc:Choice Requires="wps">
          <w:drawing>
            <wp:anchor distT="0" distB="0" distL="114300" distR="114300" simplePos="0" relativeHeight="251658240" behindDoc="1" locked="0" layoutInCell="1" allowOverlap="1" wp14:anchorId="418394BB" wp14:editId="6FEDAC76">
              <wp:simplePos x="0" y="0"/>
              <wp:positionH relativeFrom="page">
                <wp:posOffset>19262</wp:posOffset>
              </wp:positionH>
              <wp:positionV relativeFrom="page">
                <wp:posOffset>3387</wp:posOffset>
              </wp:positionV>
              <wp:extent cx="7560310" cy="1218565"/>
              <wp:effectExtent l="0" t="0" r="0" b="63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18565"/>
                      </a:xfrm>
                      <a:prstGeom prst="rect">
                        <a:avLst/>
                      </a:prstGeom>
                      <a:solidFill>
                        <a:srgbClr val="BCE4FA"/>
                      </a:solidFill>
                      <a:ln>
                        <a:noFill/>
                      </a:ln>
                    </wps:spPr>
                    <wps:txbx>
                      <w:txbxContent>
                        <w:p w14:paraId="75A77E0D" w14:textId="77777777" w:rsidR="00E67431" w:rsidRDefault="00E67431" w:rsidP="00E67431">
                          <w:pPr>
                            <w:rPr>
                              <w:rFonts w:ascii="Open Sans" w:eastAsia="Arial" w:hAnsi="Open Sans" w:cs="Open Sans"/>
                              <w:b/>
                              <w:bCs/>
                              <w:color w:val="00497C"/>
                              <w:sz w:val="28"/>
                              <w:szCs w:val="28"/>
                            </w:rPr>
                          </w:pPr>
                        </w:p>
                        <w:p w14:paraId="359BAD3D" w14:textId="77777777" w:rsidR="00E67431" w:rsidRDefault="00E67431" w:rsidP="00E67431">
                          <w:pPr>
                            <w:rPr>
                              <w:rFonts w:ascii="Open Sans" w:eastAsia="Arial" w:hAnsi="Open Sans" w:cs="Open Sans"/>
                              <w:b/>
                              <w:bCs/>
                              <w:color w:val="00497C"/>
                              <w:sz w:val="28"/>
                              <w:szCs w:val="28"/>
                            </w:rPr>
                          </w:pPr>
                        </w:p>
                        <w:p w14:paraId="3051C205" w14:textId="77777777" w:rsidR="00E67431" w:rsidRDefault="00E67431" w:rsidP="003C10CD">
                          <w:pPr>
                            <w:pStyle w:val="Nadpis3"/>
                            <w:spacing w:after="40"/>
                            <w:ind w:left="567" w:right="556"/>
                            <w:rPr>
                              <w:shd w:val="clear" w:color="auto" w:fill="auto"/>
                            </w:rPr>
                          </w:pPr>
                          <w:r w:rsidRPr="00E67431">
                            <w:rPr>
                              <w:shd w:val="clear" w:color="auto" w:fill="auto"/>
                            </w:rPr>
                            <w:t>Presseaussendung</w:t>
                          </w:r>
                        </w:p>
                        <w:p w14:paraId="4B8D10E2" w14:textId="584E1AFC" w:rsidR="003C10CD" w:rsidRPr="003C10CD" w:rsidRDefault="003C10CD" w:rsidP="00711920">
                          <w:pPr>
                            <w:pStyle w:val="Datum"/>
                          </w:pPr>
                          <w:r w:rsidRPr="003C10CD">
                            <w:fldChar w:fldCharType="begin"/>
                          </w:r>
                          <w:r w:rsidRPr="003C10CD">
                            <w:instrText xml:space="preserve"> TIME \@ "d. MMMM yyyy" </w:instrText>
                          </w:r>
                          <w:r w:rsidRPr="003C10CD">
                            <w:fldChar w:fldCharType="separate"/>
                          </w:r>
                          <w:r w:rsidR="00363A05">
                            <w:t>28. Februar 2024</w:t>
                          </w:r>
                          <w:r w:rsidRPr="003C10CD">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394BB" id="Rechteck 2" o:spid="_x0000_s1028" style="position:absolute;margin-left:1.5pt;margin-top:.25pt;width:595.3pt;height:9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" fillcolor="#bce4fa" stroked="f">
              <v:textbox>
                <w:txbxContent>
                  <w:p w14:paraId="75A77E0D" w14:textId="77777777" w:rsidR="00E67431" w:rsidRDefault="00E67431" w:rsidP="00E67431">
                    <w:pPr>
                      <w:rPr>
                        <w:rFonts w:ascii="Open Sans" w:eastAsia="Arial" w:hAnsi="Open Sans" w:cs="Open Sans"/>
                        <w:b/>
                        <w:bCs/>
                        <w:color w:val="00497C"/>
                        <w:sz w:val="28"/>
                        <w:szCs w:val="28"/>
                      </w:rPr>
                    </w:pPr>
                  </w:p>
                  <w:p w14:paraId="359BAD3D" w14:textId="77777777" w:rsidR="00E67431" w:rsidRDefault="00E67431" w:rsidP="00E67431">
                    <w:pPr>
                      <w:rPr>
                        <w:rFonts w:ascii="Open Sans" w:eastAsia="Arial" w:hAnsi="Open Sans" w:cs="Open Sans"/>
                        <w:b/>
                        <w:bCs/>
                        <w:color w:val="00497C"/>
                        <w:sz w:val="28"/>
                        <w:szCs w:val="28"/>
                      </w:rPr>
                    </w:pPr>
                  </w:p>
                  <w:p w14:paraId="3051C205" w14:textId="77777777" w:rsidR="00E67431" w:rsidRDefault="00E67431" w:rsidP="003C10CD">
                    <w:pPr>
                      <w:pStyle w:val="Nadpis3"/>
                      <w:spacing w:after="40"/>
                      <w:ind w:left="567" w:right="556"/>
                      <w:rPr>
                        <w:shd w:val="clear" w:color="auto" w:fill="auto"/>
                      </w:rPr>
                    </w:pPr>
                    <w:r w:rsidRPr="00E67431">
                      <w:rPr>
                        <w:shd w:val="clear" w:color="auto" w:fill="auto"/>
                      </w:rPr>
                      <w:t>Presseaussendung</w:t>
                    </w:r>
                  </w:p>
                  <w:p w14:paraId="4B8D10E2" w14:textId="584E1AFC" w:rsidR="003C10CD" w:rsidRPr="003C10CD" w:rsidRDefault="003C10CD" w:rsidP="00711920">
                    <w:pPr>
                      <w:pStyle w:val="Datum"/>
                    </w:pPr>
                    <w:r w:rsidRPr="003C10CD">
                      <w:fldChar w:fldCharType="begin"/>
                    </w:r>
                    <w:r w:rsidRPr="003C10CD">
                      <w:instrText xml:space="preserve"> TIME \@ "d. MMMM yyyy" </w:instrText>
                    </w:r>
                    <w:r w:rsidRPr="003C10CD">
                      <w:fldChar w:fldCharType="separate"/>
                    </w:r>
                    <w:r w:rsidR="00363A05">
                      <w:t>28. Februar 2024</w:t>
                    </w:r>
                    <w:r w:rsidRPr="003C10CD">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6652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94D9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F04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04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32D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8A2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4EC9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CECC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C6D2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61C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71B67"/>
    <w:multiLevelType w:val="hybridMultilevel"/>
    <w:tmpl w:val="6CC6400A"/>
    <w:lvl w:ilvl="0" w:tplc="8588424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736232"/>
    <w:multiLevelType w:val="multilevel"/>
    <w:tmpl w:val="DFD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3643A"/>
    <w:multiLevelType w:val="hybridMultilevel"/>
    <w:tmpl w:val="F7AAC920"/>
    <w:lvl w:ilvl="0" w:tplc="84F2C754">
      <w:start w:val="1"/>
      <w:numFmt w:val="bullet"/>
      <w:pStyle w:val="Odstavecseseznamem"/>
      <w:lvlText w:val=""/>
      <w:lvlJc w:val="left"/>
      <w:pPr>
        <w:ind w:left="36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7E34BE"/>
    <w:multiLevelType w:val="hybridMultilevel"/>
    <w:tmpl w:val="B1C45F4E"/>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200" w:hanging="360"/>
      </w:pPr>
      <w:rPr>
        <w:rFonts w:ascii="Courier New" w:hAnsi="Courier New" w:cs="Courier New" w:hint="default"/>
      </w:rPr>
    </w:lvl>
    <w:lvl w:ilvl="2" w:tplc="0C070005" w:tentative="1">
      <w:start w:val="1"/>
      <w:numFmt w:val="bullet"/>
      <w:lvlText w:val=""/>
      <w:lvlJc w:val="left"/>
      <w:pPr>
        <w:ind w:left="1920" w:hanging="360"/>
      </w:pPr>
      <w:rPr>
        <w:rFonts w:ascii="Wingdings" w:hAnsi="Wingdings" w:hint="default"/>
      </w:rPr>
    </w:lvl>
    <w:lvl w:ilvl="3" w:tplc="0C070001" w:tentative="1">
      <w:start w:val="1"/>
      <w:numFmt w:val="bullet"/>
      <w:lvlText w:val=""/>
      <w:lvlJc w:val="left"/>
      <w:pPr>
        <w:ind w:left="2640" w:hanging="360"/>
      </w:pPr>
      <w:rPr>
        <w:rFonts w:ascii="Symbol" w:hAnsi="Symbol" w:hint="default"/>
      </w:rPr>
    </w:lvl>
    <w:lvl w:ilvl="4" w:tplc="0C070003" w:tentative="1">
      <w:start w:val="1"/>
      <w:numFmt w:val="bullet"/>
      <w:lvlText w:val="o"/>
      <w:lvlJc w:val="left"/>
      <w:pPr>
        <w:ind w:left="3360" w:hanging="360"/>
      </w:pPr>
      <w:rPr>
        <w:rFonts w:ascii="Courier New" w:hAnsi="Courier New" w:cs="Courier New" w:hint="default"/>
      </w:rPr>
    </w:lvl>
    <w:lvl w:ilvl="5" w:tplc="0C070005" w:tentative="1">
      <w:start w:val="1"/>
      <w:numFmt w:val="bullet"/>
      <w:lvlText w:val=""/>
      <w:lvlJc w:val="left"/>
      <w:pPr>
        <w:ind w:left="4080" w:hanging="360"/>
      </w:pPr>
      <w:rPr>
        <w:rFonts w:ascii="Wingdings" w:hAnsi="Wingdings" w:hint="default"/>
      </w:rPr>
    </w:lvl>
    <w:lvl w:ilvl="6" w:tplc="0C070001" w:tentative="1">
      <w:start w:val="1"/>
      <w:numFmt w:val="bullet"/>
      <w:lvlText w:val=""/>
      <w:lvlJc w:val="left"/>
      <w:pPr>
        <w:ind w:left="4800" w:hanging="360"/>
      </w:pPr>
      <w:rPr>
        <w:rFonts w:ascii="Symbol" w:hAnsi="Symbol" w:hint="default"/>
      </w:rPr>
    </w:lvl>
    <w:lvl w:ilvl="7" w:tplc="0C070003" w:tentative="1">
      <w:start w:val="1"/>
      <w:numFmt w:val="bullet"/>
      <w:lvlText w:val="o"/>
      <w:lvlJc w:val="left"/>
      <w:pPr>
        <w:ind w:left="5520" w:hanging="360"/>
      </w:pPr>
      <w:rPr>
        <w:rFonts w:ascii="Courier New" w:hAnsi="Courier New" w:cs="Courier New" w:hint="default"/>
      </w:rPr>
    </w:lvl>
    <w:lvl w:ilvl="8" w:tplc="0C070005" w:tentative="1">
      <w:start w:val="1"/>
      <w:numFmt w:val="bullet"/>
      <w:lvlText w:val=""/>
      <w:lvlJc w:val="left"/>
      <w:pPr>
        <w:ind w:left="6240" w:hanging="360"/>
      </w:pPr>
      <w:rPr>
        <w:rFonts w:ascii="Wingdings" w:hAnsi="Wingdings" w:hint="default"/>
      </w:rPr>
    </w:lvl>
  </w:abstractNum>
  <w:abstractNum w:abstractNumId="14" w15:restartNumberingAfterBreak="0">
    <w:nsid w:val="5D3B6693"/>
    <w:multiLevelType w:val="hybridMultilevel"/>
    <w:tmpl w:val="139499B8"/>
    <w:lvl w:ilvl="0" w:tplc="1920532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75B587E"/>
    <w:multiLevelType w:val="multilevel"/>
    <w:tmpl w:val="57B6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9C7D64"/>
    <w:multiLevelType w:val="multilevel"/>
    <w:tmpl w:val="5384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9635967">
    <w:abstractNumId w:val="10"/>
  </w:num>
  <w:num w:numId="2" w16cid:durableId="2026133924">
    <w:abstractNumId w:val="13"/>
  </w:num>
  <w:num w:numId="3" w16cid:durableId="1443381950">
    <w:abstractNumId w:val="0"/>
  </w:num>
  <w:num w:numId="4" w16cid:durableId="842822466">
    <w:abstractNumId w:val="1"/>
  </w:num>
  <w:num w:numId="5" w16cid:durableId="196046859">
    <w:abstractNumId w:val="2"/>
  </w:num>
  <w:num w:numId="6" w16cid:durableId="1819616518">
    <w:abstractNumId w:val="3"/>
  </w:num>
  <w:num w:numId="7" w16cid:durableId="551425419">
    <w:abstractNumId w:val="8"/>
  </w:num>
  <w:num w:numId="8" w16cid:durableId="1734161549">
    <w:abstractNumId w:val="4"/>
  </w:num>
  <w:num w:numId="9" w16cid:durableId="631250176">
    <w:abstractNumId w:val="5"/>
  </w:num>
  <w:num w:numId="10" w16cid:durableId="625894845">
    <w:abstractNumId w:val="6"/>
  </w:num>
  <w:num w:numId="11" w16cid:durableId="227805373">
    <w:abstractNumId w:val="7"/>
  </w:num>
  <w:num w:numId="12" w16cid:durableId="1896040453">
    <w:abstractNumId w:val="9"/>
  </w:num>
  <w:num w:numId="13" w16cid:durableId="1922786467">
    <w:abstractNumId w:val="12"/>
  </w:num>
  <w:num w:numId="14" w16cid:durableId="1683706452">
    <w:abstractNumId w:val="14"/>
  </w:num>
  <w:num w:numId="15" w16cid:durableId="1560936682">
    <w:abstractNumId w:val="12"/>
    <w:lvlOverride w:ilvl="0">
      <w:startOverride w:val="1"/>
    </w:lvlOverride>
  </w:num>
  <w:num w:numId="16" w16cid:durableId="486632996">
    <w:abstractNumId w:val="12"/>
    <w:lvlOverride w:ilvl="0">
      <w:startOverride w:val="1"/>
    </w:lvlOverride>
  </w:num>
  <w:num w:numId="17" w16cid:durableId="354891903">
    <w:abstractNumId w:val="12"/>
    <w:lvlOverride w:ilvl="0">
      <w:startOverride w:val="1"/>
    </w:lvlOverride>
  </w:num>
  <w:num w:numId="18" w16cid:durableId="1651862091">
    <w:abstractNumId w:val="16"/>
  </w:num>
  <w:num w:numId="19" w16cid:durableId="1552613913">
    <w:abstractNumId w:val="11"/>
  </w:num>
  <w:num w:numId="20" w16cid:durableId="511141961">
    <w:abstractNumId w:val="15"/>
  </w:num>
  <w:num w:numId="21" w16cid:durableId="194924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41"/>
    <w:rsid w:val="000042BA"/>
    <w:rsid w:val="00022DED"/>
    <w:rsid w:val="00034345"/>
    <w:rsid w:val="00043CBC"/>
    <w:rsid w:val="0005724A"/>
    <w:rsid w:val="00064CD1"/>
    <w:rsid w:val="00067770"/>
    <w:rsid w:val="000752C5"/>
    <w:rsid w:val="00080652"/>
    <w:rsid w:val="0008090D"/>
    <w:rsid w:val="00082F7B"/>
    <w:rsid w:val="00090C82"/>
    <w:rsid w:val="000B28DC"/>
    <w:rsid w:val="000B62F5"/>
    <w:rsid w:val="000D5E73"/>
    <w:rsid w:val="000F23A3"/>
    <w:rsid w:val="000F3E1F"/>
    <w:rsid w:val="00112946"/>
    <w:rsid w:val="00113355"/>
    <w:rsid w:val="00117FB4"/>
    <w:rsid w:val="001246DA"/>
    <w:rsid w:val="001257FC"/>
    <w:rsid w:val="00131718"/>
    <w:rsid w:val="00131992"/>
    <w:rsid w:val="00132419"/>
    <w:rsid w:val="00163766"/>
    <w:rsid w:val="00167E7A"/>
    <w:rsid w:val="00176105"/>
    <w:rsid w:val="001761E3"/>
    <w:rsid w:val="00176F22"/>
    <w:rsid w:val="00182143"/>
    <w:rsid w:val="00191778"/>
    <w:rsid w:val="0019748B"/>
    <w:rsid w:val="001A1884"/>
    <w:rsid w:val="001A4188"/>
    <w:rsid w:val="001B02D5"/>
    <w:rsid w:val="001B6F9F"/>
    <w:rsid w:val="001C380F"/>
    <w:rsid w:val="001C5B42"/>
    <w:rsid w:val="001D07BC"/>
    <w:rsid w:val="001D608B"/>
    <w:rsid w:val="001D730C"/>
    <w:rsid w:val="001E5EB6"/>
    <w:rsid w:val="001F2981"/>
    <w:rsid w:val="002038B9"/>
    <w:rsid w:val="00224C8A"/>
    <w:rsid w:val="0023181C"/>
    <w:rsid w:val="002539DD"/>
    <w:rsid w:val="00260790"/>
    <w:rsid w:val="0026085F"/>
    <w:rsid w:val="002622C6"/>
    <w:rsid w:val="002661DB"/>
    <w:rsid w:val="0026645C"/>
    <w:rsid w:val="00272FDA"/>
    <w:rsid w:val="0028407A"/>
    <w:rsid w:val="002841DB"/>
    <w:rsid w:val="002A0D59"/>
    <w:rsid w:val="002A220D"/>
    <w:rsid w:val="002B1607"/>
    <w:rsid w:val="002B44FF"/>
    <w:rsid w:val="002B7D0C"/>
    <w:rsid w:val="002C2544"/>
    <w:rsid w:val="002C3344"/>
    <w:rsid w:val="002D5D4F"/>
    <w:rsid w:val="002F1CBD"/>
    <w:rsid w:val="002F3D38"/>
    <w:rsid w:val="002F71C4"/>
    <w:rsid w:val="003021BB"/>
    <w:rsid w:val="00302879"/>
    <w:rsid w:val="0030651B"/>
    <w:rsid w:val="0033134E"/>
    <w:rsid w:val="0033172B"/>
    <w:rsid w:val="00333B0E"/>
    <w:rsid w:val="00337627"/>
    <w:rsid w:val="003476AD"/>
    <w:rsid w:val="00354E34"/>
    <w:rsid w:val="00363A05"/>
    <w:rsid w:val="00380EDD"/>
    <w:rsid w:val="003965F0"/>
    <w:rsid w:val="003A5C7A"/>
    <w:rsid w:val="003A69C0"/>
    <w:rsid w:val="003B3C0A"/>
    <w:rsid w:val="003C10CD"/>
    <w:rsid w:val="003D67A5"/>
    <w:rsid w:val="003E7F90"/>
    <w:rsid w:val="003F2808"/>
    <w:rsid w:val="004073BB"/>
    <w:rsid w:val="0040795A"/>
    <w:rsid w:val="00422422"/>
    <w:rsid w:val="004309FB"/>
    <w:rsid w:val="00431C8D"/>
    <w:rsid w:val="004400AD"/>
    <w:rsid w:val="00454508"/>
    <w:rsid w:val="00455E1D"/>
    <w:rsid w:val="00465185"/>
    <w:rsid w:val="004857CB"/>
    <w:rsid w:val="004A1775"/>
    <w:rsid w:val="004B218E"/>
    <w:rsid w:val="004B6762"/>
    <w:rsid w:val="004C64AC"/>
    <w:rsid w:val="004D4CBC"/>
    <w:rsid w:val="004F1AB5"/>
    <w:rsid w:val="004F5228"/>
    <w:rsid w:val="004F7E80"/>
    <w:rsid w:val="005052BD"/>
    <w:rsid w:val="005062DA"/>
    <w:rsid w:val="00506C14"/>
    <w:rsid w:val="00512320"/>
    <w:rsid w:val="0052002C"/>
    <w:rsid w:val="005309BB"/>
    <w:rsid w:val="00536A39"/>
    <w:rsid w:val="005503D9"/>
    <w:rsid w:val="00550881"/>
    <w:rsid w:val="005530C3"/>
    <w:rsid w:val="00553F90"/>
    <w:rsid w:val="0056072A"/>
    <w:rsid w:val="00560A0A"/>
    <w:rsid w:val="0056412E"/>
    <w:rsid w:val="00584B98"/>
    <w:rsid w:val="00586C90"/>
    <w:rsid w:val="00597A2D"/>
    <w:rsid w:val="005A4A85"/>
    <w:rsid w:val="005B0F45"/>
    <w:rsid w:val="005C34A1"/>
    <w:rsid w:val="005D0A12"/>
    <w:rsid w:val="005D155B"/>
    <w:rsid w:val="005D2D7A"/>
    <w:rsid w:val="005D6C56"/>
    <w:rsid w:val="005E1A12"/>
    <w:rsid w:val="005F1A1B"/>
    <w:rsid w:val="00607AA1"/>
    <w:rsid w:val="00613ADC"/>
    <w:rsid w:val="006242E8"/>
    <w:rsid w:val="00624526"/>
    <w:rsid w:val="00630B03"/>
    <w:rsid w:val="00631773"/>
    <w:rsid w:val="00644CC0"/>
    <w:rsid w:val="0064757E"/>
    <w:rsid w:val="00651B70"/>
    <w:rsid w:val="0065235A"/>
    <w:rsid w:val="0066165B"/>
    <w:rsid w:val="00661927"/>
    <w:rsid w:val="00664280"/>
    <w:rsid w:val="0068068B"/>
    <w:rsid w:val="00684C44"/>
    <w:rsid w:val="00685E68"/>
    <w:rsid w:val="00685F63"/>
    <w:rsid w:val="0069608C"/>
    <w:rsid w:val="006B12FF"/>
    <w:rsid w:val="006C0452"/>
    <w:rsid w:val="006C06E6"/>
    <w:rsid w:val="006E5BEE"/>
    <w:rsid w:val="00711920"/>
    <w:rsid w:val="00711D5D"/>
    <w:rsid w:val="007136F6"/>
    <w:rsid w:val="00716A83"/>
    <w:rsid w:val="00720D03"/>
    <w:rsid w:val="007263E4"/>
    <w:rsid w:val="00726447"/>
    <w:rsid w:val="00727E41"/>
    <w:rsid w:val="00731973"/>
    <w:rsid w:val="0073408D"/>
    <w:rsid w:val="00745D18"/>
    <w:rsid w:val="007552D2"/>
    <w:rsid w:val="00756C34"/>
    <w:rsid w:val="007571EA"/>
    <w:rsid w:val="00757CC0"/>
    <w:rsid w:val="007711B0"/>
    <w:rsid w:val="00774E0D"/>
    <w:rsid w:val="00777A92"/>
    <w:rsid w:val="00781C80"/>
    <w:rsid w:val="00783CAC"/>
    <w:rsid w:val="0078434C"/>
    <w:rsid w:val="00785CBB"/>
    <w:rsid w:val="00792506"/>
    <w:rsid w:val="007A12A6"/>
    <w:rsid w:val="007B3D66"/>
    <w:rsid w:val="007C4083"/>
    <w:rsid w:val="007D235C"/>
    <w:rsid w:val="007E7419"/>
    <w:rsid w:val="007F2832"/>
    <w:rsid w:val="00812077"/>
    <w:rsid w:val="00826A9F"/>
    <w:rsid w:val="00827815"/>
    <w:rsid w:val="008568D5"/>
    <w:rsid w:val="0086494A"/>
    <w:rsid w:val="00897B52"/>
    <w:rsid w:val="008A2B11"/>
    <w:rsid w:val="008A4E98"/>
    <w:rsid w:val="008A509A"/>
    <w:rsid w:val="008A539B"/>
    <w:rsid w:val="008B776D"/>
    <w:rsid w:val="008C32A6"/>
    <w:rsid w:val="008C4185"/>
    <w:rsid w:val="008C44AA"/>
    <w:rsid w:val="008D1C2E"/>
    <w:rsid w:val="008E4377"/>
    <w:rsid w:val="008F4334"/>
    <w:rsid w:val="00911597"/>
    <w:rsid w:val="00912742"/>
    <w:rsid w:val="0091508E"/>
    <w:rsid w:val="00921169"/>
    <w:rsid w:val="009238C5"/>
    <w:rsid w:val="009247A0"/>
    <w:rsid w:val="00932100"/>
    <w:rsid w:val="00937587"/>
    <w:rsid w:val="00940A6D"/>
    <w:rsid w:val="0094611F"/>
    <w:rsid w:val="00951C91"/>
    <w:rsid w:val="00957973"/>
    <w:rsid w:val="00962EBC"/>
    <w:rsid w:val="00973D75"/>
    <w:rsid w:val="00974091"/>
    <w:rsid w:val="009844F9"/>
    <w:rsid w:val="009C487A"/>
    <w:rsid w:val="009C7387"/>
    <w:rsid w:val="009C7D32"/>
    <w:rsid w:val="009D3385"/>
    <w:rsid w:val="009E0111"/>
    <w:rsid w:val="009E1AC9"/>
    <w:rsid w:val="009E4AA3"/>
    <w:rsid w:val="00A00816"/>
    <w:rsid w:val="00A17F4B"/>
    <w:rsid w:val="00A23F87"/>
    <w:rsid w:val="00A24B0B"/>
    <w:rsid w:val="00A258F7"/>
    <w:rsid w:val="00A25DAA"/>
    <w:rsid w:val="00A315E1"/>
    <w:rsid w:val="00A3785C"/>
    <w:rsid w:val="00A44229"/>
    <w:rsid w:val="00A4606B"/>
    <w:rsid w:val="00A6002A"/>
    <w:rsid w:val="00A85FA9"/>
    <w:rsid w:val="00AA5398"/>
    <w:rsid w:val="00AA6F18"/>
    <w:rsid w:val="00AB1CB9"/>
    <w:rsid w:val="00AB4AED"/>
    <w:rsid w:val="00AC3985"/>
    <w:rsid w:val="00AD6212"/>
    <w:rsid w:val="00AF1580"/>
    <w:rsid w:val="00B00BC0"/>
    <w:rsid w:val="00B16D68"/>
    <w:rsid w:val="00B20578"/>
    <w:rsid w:val="00B23D14"/>
    <w:rsid w:val="00B30718"/>
    <w:rsid w:val="00B320AD"/>
    <w:rsid w:val="00B54282"/>
    <w:rsid w:val="00B67248"/>
    <w:rsid w:val="00B976D5"/>
    <w:rsid w:val="00BA2B75"/>
    <w:rsid w:val="00BA609C"/>
    <w:rsid w:val="00BA6BEA"/>
    <w:rsid w:val="00BC5E2E"/>
    <w:rsid w:val="00BD03F8"/>
    <w:rsid w:val="00BE2D01"/>
    <w:rsid w:val="00C11B57"/>
    <w:rsid w:val="00C33189"/>
    <w:rsid w:val="00C477F8"/>
    <w:rsid w:val="00C505B4"/>
    <w:rsid w:val="00C71EFA"/>
    <w:rsid w:val="00C71FD1"/>
    <w:rsid w:val="00C76836"/>
    <w:rsid w:val="00C7707E"/>
    <w:rsid w:val="00C77811"/>
    <w:rsid w:val="00C87E69"/>
    <w:rsid w:val="00CB09EE"/>
    <w:rsid w:val="00CC18B8"/>
    <w:rsid w:val="00CC3F85"/>
    <w:rsid w:val="00CE634A"/>
    <w:rsid w:val="00CF58BD"/>
    <w:rsid w:val="00CF67B6"/>
    <w:rsid w:val="00CF7AA4"/>
    <w:rsid w:val="00D026E4"/>
    <w:rsid w:val="00D03D4E"/>
    <w:rsid w:val="00D1444D"/>
    <w:rsid w:val="00D26EEA"/>
    <w:rsid w:val="00D3103F"/>
    <w:rsid w:val="00D345F5"/>
    <w:rsid w:val="00D37814"/>
    <w:rsid w:val="00D5643A"/>
    <w:rsid w:val="00D6645B"/>
    <w:rsid w:val="00D71087"/>
    <w:rsid w:val="00D71183"/>
    <w:rsid w:val="00D7454F"/>
    <w:rsid w:val="00D77402"/>
    <w:rsid w:val="00D82695"/>
    <w:rsid w:val="00D86268"/>
    <w:rsid w:val="00D923B4"/>
    <w:rsid w:val="00D975B2"/>
    <w:rsid w:val="00DA4060"/>
    <w:rsid w:val="00DC6F1B"/>
    <w:rsid w:val="00DD1B1D"/>
    <w:rsid w:val="00E002D3"/>
    <w:rsid w:val="00E01C09"/>
    <w:rsid w:val="00E02ED8"/>
    <w:rsid w:val="00E271CE"/>
    <w:rsid w:val="00E5507D"/>
    <w:rsid w:val="00E57665"/>
    <w:rsid w:val="00E638DA"/>
    <w:rsid w:val="00E67431"/>
    <w:rsid w:val="00E774D5"/>
    <w:rsid w:val="00E837D9"/>
    <w:rsid w:val="00E95C6D"/>
    <w:rsid w:val="00EB244F"/>
    <w:rsid w:val="00EB5FE2"/>
    <w:rsid w:val="00ED59B1"/>
    <w:rsid w:val="00F047C7"/>
    <w:rsid w:val="00F064B6"/>
    <w:rsid w:val="00F33074"/>
    <w:rsid w:val="00F46820"/>
    <w:rsid w:val="00F56C8E"/>
    <w:rsid w:val="00F60205"/>
    <w:rsid w:val="00F656A1"/>
    <w:rsid w:val="00F65DD2"/>
    <w:rsid w:val="00F734F9"/>
    <w:rsid w:val="00F7399E"/>
    <w:rsid w:val="00F757FE"/>
    <w:rsid w:val="00FA2383"/>
    <w:rsid w:val="00FB1EFD"/>
    <w:rsid w:val="00FB3B2E"/>
    <w:rsid w:val="00FB6256"/>
    <w:rsid w:val="00FB6F12"/>
    <w:rsid w:val="00FB6F87"/>
    <w:rsid w:val="00FC1F9B"/>
    <w:rsid w:val="00FD571C"/>
    <w:rsid w:val="00FF292B"/>
    <w:rsid w:val="00FF6328"/>
    <w:rsid w:val="00FF72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7473A"/>
  <w15:chartTrackingRefBased/>
  <w15:docId w15:val="{57ED471C-B3A2-5F41-AA2B-EE260874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9844F9"/>
    <w:pPr>
      <w:spacing w:line="288" w:lineRule="auto"/>
    </w:pPr>
    <w:rPr>
      <w:rFonts w:ascii="Arial" w:hAnsi="Arial" w:cs="Arial"/>
      <w:noProof/>
      <w:sz w:val="20"/>
      <w:szCs w:val="20"/>
      <w:shd w:val="clear" w:color="auto" w:fill="FFFFFF"/>
      <w:lang w:val="de-AT" w:eastAsia="de-DE"/>
    </w:rPr>
  </w:style>
  <w:style w:type="paragraph" w:styleId="Nadpis1">
    <w:name w:val="heading 1"/>
    <w:basedOn w:val="Nzev"/>
    <w:next w:val="Normln"/>
    <w:link w:val="Nadpis1Char"/>
    <w:uiPriority w:val="9"/>
    <w:qFormat/>
    <w:rsid w:val="002B7D0C"/>
    <w:pPr>
      <w:outlineLvl w:val="0"/>
    </w:pPr>
    <w:rPr>
      <w:sz w:val="56"/>
      <w:szCs w:val="56"/>
    </w:rPr>
  </w:style>
  <w:style w:type="paragraph" w:styleId="Nadpis2">
    <w:name w:val="heading 2"/>
    <w:basedOn w:val="Normln"/>
    <w:next w:val="Normln"/>
    <w:link w:val="Nadpis2Char"/>
    <w:uiPriority w:val="9"/>
    <w:unhideWhenUsed/>
    <w:qFormat/>
    <w:rsid w:val="002B7D0C"/>
    <w:pPr>
      <w:keepNext/>
      <w:keepLines/>
      <w:spacing w:before="40" w:after="120"/>
      <w:outlineLvl w:val="1"/>
    </w:pPr>
    <w:rPr>
      <w:rFonts w:eastAsiaTheme="majorEastAsia" w:cstheme="majorBidi"/>
      <w:b/>
      <w:bCs/>
      <w:color w:val="00497B"/>
      <w:sz w:val="40"/>
      <w:szCs w:val="40"/>
    </w:rPr>
  </w:style>
  <w:style w:type="paragraph" w:styleId="Nadpis3">
    <w:name w:val="heading 3"/>
    <w:basedOn w:val="Nadpis2"/>
    <w:next w:val="Normln"/>
    <w:link w:val="Nadpis3Char"/>
    <w:uiPriority w:val="9"/>
    <w:unhideWhenUsed/>
    <w:qFormat/>
    <w:rsid w:val="002B7D0C"/>
    <w:pPr>
      <w:outlineLvl w:val="2"/>
    </w:pPr>
    <w:rPr>
      <w:sz w:val="32"/>
      <w:szCs w:val="32"/>
    </w:rPr>
  </w:style>
  <w:style w:type="paragraph" w:styleId="Nadpis4">
    <w:name w:val="heading 4"/>
    <w:basedOn w:val="Nadpis3"/>
    <w:next w:val="Normln"/>
    <w:link w:val="Nadpis4Char"/>
    <w:uiPriority w:val="9"/>
    <w:unhideWhenUsed/>
    <w:qFormat/>
    <w:rsid w:val="002B7D0C"/>
    <w:p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qFormat/>
    <w:rsid w:val="00553F90"/>
    <w:rPr>
      <w:rFonts w:eastAsia="Arial"/>
      <w:color w:val="00497C"/>
      <w:sz w:val="14"/>
      <w:szCs w:val="14"/>
      <w:u w:val="single"/>
      <w:shd w:val="clear" w:color="auto" w:fill="auto"/>
    </w:rPr>
  </w:style>
  <w:style w:type="paragraph" w:styleId="Zhlav">
    <w:name w:val="header"/>
    <w:basedOn w:val="Normln"/>
    <w:link w:val="ZhlavChar"/>
    <w:uiPriority w:val="99"/>
    <w:unhideWhenUsed/>
    <w:rsid w:val="00897B52"/>
    <w:pPr>
      <w:tabs>
        <w:tab w:val="center" w:pos="4536"/>
        <w:tab w:val="right" w:pos="9072"/>
      </w:tabs>
    </w:pPr>
  </w:style>
  <w:style w:type="character" w:customStyle="1" w:styleId="ZhlavChar">
    <w:name w:val="Záhlaví Char"/>
    <w:basedOn w:val="Standardnpsmoodstavce"/>
    <w:link w:val="Zhlav"/>
    <w:uiPriority w:val="99"/>
    <w:rsid w:val="00897B52"/>
    <w:rPr>
      <w:noProof/>
      <w:lang w:val="de-AT"/>
    </w:rPr>
  </w:style>
  <w:style w:type="paragraph" w:styleId="Zpat">
    <w:name w:val="footer"/>
    <w:basedOn w:val="Normln"/>
    <w:link w:val="ZpatChar"/>
    <w:uiPriority w:val="99"/>
    <w:unhideWhenUsed/>
    <w:rsid w:val="00897B52"/>
    <w:pPr>
      <w:tabs>
        <w:tab w:val="center" w:pos="4536"/>
        <w:tab w:val="right" w:pos="9072"/>
      </w:tabs>
    </w:pPr>
  </w:style>
  <w:style w:type="character" w:customStyle="1" w:styleId="ZpatChar">
    <w:name w:val="Zápatí Char"/>
    <w:basedOn w:val="Standardnpsmoodstavce"/>
    <w:link w:val="Zpat"/>
    <w:uiPriority w:val="99"/>
    <w:rsid w:val="00897B52"/>
    <w:rPr>
      <w:noProof/>
      <w:lang w:val="de-AT"/>
    </w:rPr>
  </w:style>
  <w:style w:type="paragraph" w:styleId="Nzev">
    <w:name w:val="Title"/>
    <w:basedOn w:val="Normln"/>
    <w:next w:val="Normln"/>
    <w:link w:val="NzevChar"/>
    <w:uiPriority w:val="10"/>
    <w:qFormat/>
    <w:rsid w:val="00224C8A"/>
    <w:pPr>
      <w:tabs>
        <w:tab w:val="left" w:pos="4067"/>
      </w:tabs>
    </w:pPr>
    <w:rPr>
      <w:b/>
      <w:bCs/>
      <w:color w:val="00497B"/>
      <w:sz w:val="50"/>
      <w:szCs w:val="50"/>
    </w:rPr>
  </w:style>
  <w:style w:type="character" w:customStyle="1" w:styleId="NzevChar">
    <w:name w:val="Název Char"/>
    <w:basedOn w:val="Standardnpsmoodstavce"/>
    <w:link w:val="Nzev"/>
    <w:uiPriority w:val="10"/>
    <w:rsid w:val="00224C8A"/>
    <w:rPr>
      <w:rFonts w:ascii="Arial" w:hAnsi="Arial" w:cs="Arial"/>
      <w:b/>
      <w:bCs/>
      <w:noProof/>
      <w:color w:val="00497B"/>
      <w:sz w:val="50"/>
      <w:szCs w:val="50"/>
      <w:lang w:val="de-AT"/>
    </w:rPr>
  </w:style>
  <w:style w:type="character" w:customStyle="1" w:styleId="Nadpis2Char">
    <w:name w:val="Nadpis 2 Char"/>
    <w:basedOn w:val="Standardnpsmoodstavce"/>
    <w:link w:val="Nadpis2"/>
    <w:uiPriority w:val="9"/>
    <w:rsid w:val="002B7D0C"/>
    <w:rPr>
      <w:rFonts w:ascii="Arial" w:eastAsiaTheme="majorEastAsia" w:hAnsi="Arial" w:cstheme="majorBidi"/>
      <w:b/>
      <w:bCs/>
      <w:noProof/>
      <w:color w:val="00497B"/>
      <w:sz w:val="40"/>
      <w:szCs w:val="40"/>
      <w:lang w:val="de-AT" w:eastAsia="de-DE"/>
    </w:rPr>
  </w:style>
  <w:style w:type="character" w:customStyle="1" w:styleId="Nadpis1Char">
    <w:name w:val="Nadpis 1 Char"/>
    <w:basedOn w:val="Standardnpsmoodstavce"/>
    <w:link w:val="Nadpis1"/>
    <w:uiPriority w:val="9"/>
    <w:rsid w:val="002B7D0C"/>
    <w:rPr>
      <w:rFonts w:ascii="Arial" w:hAnsi="Arial" w:cs="Arial"/>
      <w:b/>
      <w:bCs/>
      <w:noProof/>
      <w:color w:val="00497B"/>
      <w:sz w:val="56"/>
      <w:szCs w:val="56"/>
      <w:lang w:val="de-AT" w:eastAsia="de-DE"/>
    </w:rPr>
  </w:style>
  <w:style w:type="character" w:customStyle="1" w:styleId="Nadpis3Char">
    <w:name w:val="Nadpis 3 Char"/>
    <w:basedOn w:val="Standardnpsmoodstavce"/>
    <w:link w:val="Nadpis3"/>
    <w:uiPriority w:val="9"/>
    <w:rsid w:val="002B7D0C"/>
    <w:rPr>
      <w:rFonts w:ascii="Arial" w:eastAsiaTheme="majorEastAsia" w:hAnsi="Arial" w:cstheme="majorBidi"/>
      <w:b/>
      <w:bCs/>
      <w:noProof/>
      <w:color w:val="00497B"/>
      <w:sz w:val="32"/>
      <w:szCs w:val="32"/>
      <w:lang w:val="de-AT" w:eastAsia="de-DE"/>
    </w:rPr>
  </w:style>
  <w:style w:type="paragraph" w:customStyle="1" w:styleId="berschrift3mitHintergrund">
    <w:name w:val="Überschrift 3 mit Hintergrund"/>
    <w:basedOn w:val="Nadpis3"/>
    <w:qFormat/>
    <w:rsid w:val="00E57665"/>
    <w:pPr>
      <w:shd w:val="clear" w:color="auto" w:fill="A3C0D7"/>
    </w:pPr>
  </w:style>
  <w:style w:type="paragraph" w:styleId="Vrazncitt">
    <w:name w:val="Intense Quote"/>
    <w:basedOn w:val="Normln"/>
    <w:next w:val="Normln"/>
    <w:link w:val="VrazncittChar"/>
    <w:uiPriority w:val="30"/>
    <w:qFormat/>
    <w:rsid w:val="00E5766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E57665"/>
    <w:rPr>
      <w:rFonts w:ascii="Arial" w:hAnsi="Arial" w:cs="Arial"/>
      <w:i/>
      <w:iCs/>
      <w:noProof/>
      <w:color w:val="4472C4" w:themeColor="accent1"/>
      <w:sz w:val="20"/>
      <w:szCs w:val="20"/>
      <w:lang w:val="de-AT" w:eastAsia="de-DE"/>
    </w:rPr>
  </w:style>
  <w:style w:type="paragraph" w:styleId="Odstavecseseznamem">
    <w:name w:val="List Paragraph"/>
    <w:basedOn w:val="Normln"/>
    <w:uiPriority w:val="34"/>
    <w:qFormat/>
    <w:rsid w:val="00AC3985"/>
    <w:pPr>
      <w:numPr>
        <w:numId w:val="13"/>
      </w:numPr>
      <w:ind w:right="986"/>
      <w:contextualSpacing/>
    </w:pPr>
    <w:rPr>
      <w:sz w:val="24"/>
      <w:szCs w:val="24"/>
    </w:rPr>
  </w:style>
  <w:style w:type="table" w:styleId="Mkatabulky">
    <w:name w:val="Table Grid"/>
    <w:basedOn w:val="Normlntabulka"/>
    <w:uiPriority w:val="39"/>
    <w:rsid w:val="002B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2B7D0C"/>
    <w:rPr>
      <w:rFonts w:ascii="Arial" w:eastAsiaTheme="majorEastAsia" w:hAnsi="Arial" w:cstheme="majorBidi"/>
      <w:b/>
      <w:bCs/>
      <w:noProof/>
      <w:color w:val="00497B"/>
      <w:lang w:val="de-AT" w:eastAsia="de-DE"/>
    </w:rPr>
  </w:style>
  <w:style w:type="character" w:styleId="Nevyeenzmnka">
    <w:name w:val="Unresolved Mention"/>
    <w:basedOn w:val="Standardnpsmoodstavce"/>
    <w:uiPriority w:val="99"/>
    <w:rsid w:val="005A4A85"/>
    <w:rPr>
      <w:color w:val="605E5C"/>
      <w:shd w:val="clear" w:color="auto" w:fill="E1DFDD"/>
    </w:rPr>
  </w:style>
  <w:style w:type="paragraph" w:customStyle="1" w:styleId="Aufzhlung">
    <w:name w:val="Aufzählung"/>
    <w:basedOn w:val="Normln"/>
    <w:uiPriority w:val="1"/>
    <w:qFormat/>
    <w:rsid w:val="00E67431"/>
    <w:pPr>
      <w:spacing w:line="320" w:lineRule="atLeast"/>
      <w:jc w:val="both"/>
    </w:pPr>
    <w:rPr>
      <w:rFonts w:ascii="Helvetica" w:eastAsia="Helvetica" w:hAnsi="Helvetica" w:cs="Helvetica"/>
      <w:noProof w:val="0"/>
      <w:sz w:val="24"/>
      <w:szCs w:val="24"/>
      <w:shd w:val="clear" w:color="auto" w:fill="auto"/>
      <w:lang w:eastAsia="de-AT" w:bidi="de-AT"/>
      <w14:ligatures w14:val="standardContextual"/>
    </w:rPr>
  </w:style>
  <w:style w:type="paragraph" w:styleId="Textkomente">
    <w:name w:val="annotation text"/>
    <w:basedOn w:val="Normln"/>
    <w:link w:val="TextkomenteChar"/>
    <w:uiPriority w:val="99"/>
    <w:semiHidden/>
    <w:unhideWhenUsed/>
    <w:rsid w:val="00E67431"/>
    <w:pPr>
      <w:spacing w:line="240" w:lineRule="auto"/>
    </w:pPr>
    <w:rPr>
      <w:rFonts w:eastAsia="Calibri" w:cs="Times New Roman"/>
      <w:noProof w:val="0"/>
      <w:shd w:val="clear" w:color="auto" w:fill="auto"/>
      <w:lang w:eastAsia="en-US"/>
    </w:rPr>
  </w:style>
  <w:style w:type="character" w:customStyle="1" w:styleId="TextkomenteChar">
    <w:name w:val="Text komentáře Char"/>
    <w:basedOn w:val="Standardnpsmoodstavce"/>
    <w:link w:val="Textkomente"/>
    <w:uiPriority w:val="99"/>
    <w:semiHidden/>
    <w:rsid w:val="00E67431"/>
    <w:rPr>
      <w:rFonts w:ascii="Arial" w:eastAsia="Calibri" w:hAnsi="Arial" w:cs="Times New Roman"/>
      <w:sz w:val="20"/>
      <w:szCs w:val="20"/>
      <w:lang w:val="de-AT"/>
    </w:rPr>
  </w:style>
  <w:style w:type="character" w:styleId="Siln">
    <w:name w:val="Strong"/>
    <w:basedOn w:val="Standardnpsmoodstavce"/>
    <w:uiPriority w:val="22"/>
    <w:qFormat/>
    <w:rsid w:val="0069608C"/>
    <w:rPr>
      <w:b/>
      <w:bCs/>
    </w:rPr>
  </w:style>
  <w:style w:type="character" w:styleId="Sledovanodkaz">
    <w:name w:val="FollowedHyperlink"/>
    <w:basedOn w:val="Hypertextovodkaz"/>
    <w:uiPriority w:val="99"/>
    <w:unhideWhenUsed/>
    <w:rsid w:val="00553F90"/>
    <w:rPr>
      <w:rFonts w:eastAsia="Arial"/>
      <w:color w:val="00497C"/>
      <w:sz w:val="14"/>
      <w:szCs w:val="14"/>
      <w:u w:val="single"/>
      <w:shd w:val="clear" w:color="auto" w:fill="auto"/>
    </w:rPr>
  </w:style>
  <w:style w:type="character" w:styleId="Odkaznakoment">
    <w:name w:val="annotation reference"/>
    <w:basedOn w:val="Standardnpsmoodstavce"/>
    <w:uiPriority w:val="99"/>
    <w:semiHidden/>
    <w:unhideWhenUsed/>
    <w:rsid w:val="00553F90"/>
    <w:rPr>
      <w:sz w:val="16"/>
      <w:szCs w:val="16"/>
    </w:rPr>
  </w:style>
  <w:style w:type="paragraph" w:styleId="Datum">
    <w:name w:val="Date"/>
    <w:basedOn w:val="Normln"/>
    <w:next w:val="Normln"/>
    <w:link w:val="DatumChar"/>
    <w:autoRedefine/>
    <w:uiPriority w:val="99"/>
    <w:unhideWhenUsed/>
    <w:rsid w:val="00711920"/>
    <w:pPr>
      <w:ind w:left="567"/>
    </w:pPr>
    <w:rPr>
      <w:color w:val="00497B"/>
      <w:shd w:val="clear" w:color="auto" w:fill="auto"/>
    </w:rPr>
  </w:style>
  <w:style w:type="character" w:customStyle="1" w:styleId="DatumChar">
    <w:name w:val="Datum Char"/>
    <w:basedOn w:val="Standardnpsmoodstavce"/>
    <w:link w:val="Datum"/>
    <w:uiPriority w:val="99"/>
    <w:rsid w:val="00711920"/>
    <w:rPr>
      <w:rFonts w:ascii="Arial" w:hAnsi="Arial" w:cs="Arial"/>
      <w:noProof/>
      <w:color w:val="00497B"/>
      <w:sz w:val="20"/>
      <w:szCs w:val="20"/>
      <w:lang w:val="de-AT" w:eastAsia="de-DE"/>
    </w:rPr>
  </w:style>
  <w:style w:type="paragraph" w:customStyle="1" w:styleId="Zitat1">
    <w:name w:val="Zitat1"/>
    <w:basedOn w:val="Normln"/>
    <w:qFormat/>
    <w:rsid w:val="00745D18"/>
    <w:pPr>
      <w:spacing w:line="312" w:lineRule="auto"/>
      <w:ind w:left="459" w:right="312"/>
    </w:pPr>
    <w:rPr>
      <w:i/>
      <w:iCs/>
      <w:color w:val="00497C"/>
      <w:shd w:val="clear" w:color="auto" w:fill="auto"/>
    </w:rPr>
  </w:style>
  <w:style w:type="paragraph" w:customStyle="1" w:styleId="QuoteIn-Text">
    <w:name w:val="Quote In-Text"/>
    <w:basedOn w:val="Normln"/>
    <w:next w:val="Normln"/>
    <w:link w:val="QuoteIn-TextZchn"/>
    <w:qFormat/>
    <w:rsid w:val="00AC3985"/>
    <w:rPr>
      <w:i/>
      <w:iCs/>
      <w:color w:val="000000" w:themeColor="text1"/>
      <w:shd w:val="clear" w:color="auto" w:fill="auto"/>
    </w:rPr>
  </w:style>
  <w:style w:type="character" w:customStyle="1" w:styleId="QuoteIn-TextZchn">
    <w:name w:val="Quote In-Text Zchn"/>
    <w:basedOn w:val="Standardnpsmoodstavce"/>
    <w:link w:val="QuoteIn-Text"/>
    <w:rsid w:val="00AC3985"/>
    <w:rPr>
      <w:rFonts w:ascii="Arial" w:hAnsi="Arial" w:cs="Arial"/>
      <w:i/>
      <w:iCs/>
      <w:noProof/>
      <w:color w:val="000000" w:themeColor="text1"/>
      <w:sz w:val="20"/>
      <w:szCs w:val="20"/>
      <w:lang w:val="de-AT" w:eastAsia="de-DE"/>
    </w:rPr>
  </w:style>
  <w:style w:type="paragraph" w:customStyle="1" w:styleId="Default">
    <w:name w:val="Default"/>
    <w:rsid w:val="005503D9"/>
    <w:pPr>
      <w:autoSpaceDE w:val="0"/>
      <w:autoSpaceDN w:val="0"/>
      <w:adjustRightInd w:val="0"/>
    </w:pPr>
    <w:rPr>
      <w:rFonts w:ascii="Arial" w:hAnsi="Arial" w:cs="Arial"/>
      <w:color w:val="000000"/>
    </w:rPr>
  </w:style>
  <w:style w:type="paragraph" w:customStyle="1" w:styleId="Externer-Hyperlink">
    <w:name w:val="Externer-Hyperlink"/>
    <w:basedOn w:val="Normln"/>
    <w:qFormat/>
    <w:rsid w:val="005C34A1"/>
    <w:rPr>
      <w:b/>
      <w:bCs/>
      <w:color w:val="00497C"/>
      <w:u w:val="single"/>
    </w:rPr>
  </w:style>
  <w:style w:type="paragraph" w:customStyle="1" w:styleId="Credits">
    <w:name w:val="Credits"/>
    <w:basedOn w:val="Normln"/>
    <w:qFormat/>
    <w:rsid w:val="005C34A1"/>
    <w:rPr>
      <w:sz w:val="16"/>
      <w:szCs w:val="16"/>
    </w:rPr>
  </w:style>
  <w:style w:type="paragraph" w:customStyle="1" w:styleId="berschrift-Kopfzeile">
    <w:name w:val="Überschrift-Kopfzeile"/>
    <w:basedOn w:val="Nadpis3"/>
    <w:qFormat/>
    <w:rsid w:val="00584B98"/>
    <w:pPr>
      <w:spacing w:after="40"/>
      <w:ind w:left="567" w:right="556"/>
    </w:pPr>
    <w:rPr>
      <w:shd w:val="clear" w:color="auto" w:fill="auto"/>
    </w:rPr>
  </w:style>
  <w:style w:type="paragraph" w:customStyle="1" w:styleId="ListenabsatzFliesstext">
    <w:name w:val="Listenabsatz Fliesstext"/>
    <w:basedOn w:val="Odstavecseseznamem"/>
    <w:qFormat/>
    <w:rsid w:val="00AC3985"/>
    <w:rPr>
      <w:sz w:val="20"/>
      <w:szCs w:val="20"/>
    </w:rPr>
  </w:style>
  <w:style w:type="paragraph" w:styleId="Bezmezer">
    <w:name w:val="No Spacing"/>
    <w:uiPriority w:val="1"/>
    <w:qFormat/>
    <w:rsid w:val="00A23F87"/>
    <w:rPr>
      <w:rFonts w:ascii="Arial" w:eastAsia="Calibri" w:hAnsi="Arial" w:cs="Times New Roman"/>
      <w:sz w:val="22"/>
      <w:szCs w:val="22"/>
      <w:lang w:val="de-AT"/>
    </w:rPr>
  </w:style>
  <w:style w:type="paragraph" w:customStyle="1" w:styleId="Info">
    <w:name w:val="Info"/>
    <w:basedOn w:val="Normln"/>
    <w:uiPriority w:val="11"/>
    <w:qFormat/>
    <w:rsid w:val="001D07BC"/>
    <w:pPr>
      <w:spacing w:line="169" w:lineRule="exact"/>
    </w:pPr>
    <w:rPr>
      <w:rFonts w:asciiTheme="minorHAnsi" w:hAnsiTheme="minorHAnsi" w:cstheme="minorBidi"/>
      <w:noProof w:val="0"/>
      <w:color w:val="000000" w:themeColor="text1"/>
      <w:sz w:val="13"/>
      <w:szCs w:val="22"/>
      <w:shd w:val="clear" w:color="auto" w:fill="auto"/>
      <w:lang w:val="en-GB" w:eastAsia="en-US"/>
    </w:rPr>
  </w:style>
  <w:style w:type="paragraph" w:styleId="Revize">
    <w:name w:val="Revision"/>
    <w:hidden/>
    <w:uiPriority w:val="99"/>
    <w:semiHidden/>
    <w:rsid w:val="00B320AD"/>
    <w:rPr>
      <w:rFonts w:ascii="Arial" w:hAnsi="Arial" w:cs="Arial"/>
      <w:noProof/>
      <w:sz w:val="20"/>
      <w:szCs w:val="20"/>
      <w:shd w:val="clear" w:color="auto" w:fill="FFFFFF"/>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4482">
      <w:bodyDiv w:val="1"/>
      <w:marLeft w:val="0"/>
      <w:marRight w:val="0"/>
      <w:marTop w:val="0"/>
      <w:marBottom w:val="0"/>
      <w:divBdr>
        <w:top w:val="none" w:sz="0" w:space="0" w:color="auto"/>
        <w:left w:val="none" w:sz="0" w:space="0" w:color="auto"/>
        <w:bottom w:val="none" w:sz="0" w:space="0" w:color="auto"/>
        <w:right w:val="none" w:sz="0" w:space="0" w:color="auto"/>
      </w:divBdr>
    </w:div>
    <w:div w:id="158086030">
      <w:bodyDiv w:val="1"/>
      <w:marLeft w:val="0"/>
      <w:marRight w:val="0"/>
      <w:marTop w:val="0"/>
      <w:marBottom w:val="0"/>
      <w:divBdr>
        <w:top w:val="none" w:sz="0" w:space="0" w:color="auto"/>
        <w:left w:val="none" w:sz="0" w:space="0" w:color="auto"/>
        <w:bottom w:val="none" w:sz="0" w:space="0" w:color="auto"/>
        <w:right w:val="none" w:sz="0" w:space="0" w:color="auto"/>
      </w:divBdr>
    </w:div>
    <w:div w:id="174882318">
      <w:bodyDiv w:val="1"/>
      <w:marLeft w:val="0"/>
      <w:marRight w:val="0"/>
      <w:marTop w:val="0"/>
      <w:marBottom w:val="0"/>
      <w:divBdr>
        <w:top w:val="none" w:sz="0" w:space="0" w:color="auto"/>
        <w:left w:val="none" w:sz="0" w:space="0" w:color="auto"/>
        <w:bottom w:val="none" w:sz="0" w:space="0" w:color="auto"/>
        <w:right w:val="none" w:sz="0" w:space="0" w:color="auto"/>
      </w:divBdr>
      <w:divsChild>
        <w:div w:id="1659383571">
          <w:marLeft w:val="0"/>
          <w:marRight w:val="0"/>
          <w:marTop w:val="0"/>
          <w:marBottom w:val="0"/>
          <w:divBdr>
            <w:top w:val="none" w:sz="0" w:space="0" w:color="auto"/>
            <w:left w:val="none" w:sz="0" w:space="0" w:color="auto"/>
            <w:bottom w:val="none" w:sz="0" w:space="0" w:color="auto"/>
            <w:right w:val="none" w:sz="0" w:space="0" w:color="auto"/>
          </w:divBdr>
        </w:div>
      </w:divsChild>
    </w:div>
    <w:div w:id="198008732">
      <w:bodyDiv w:val="1"/>
      <w:marLeft w:val="0"/>
      <w:marRight w:val="0"/>
      <w:marTop w:val="0"/>
      <w:marBottom w:val="0"/>
      <w:divBdr>
        <w:top w:val="none" w:sz="0" w:space="0" w:color="auto"/>
        <w:left w:val="none" w:sz="0" w:space="0" w:color="auto"/>
        <w:bottom w:val="none" w:sz="0" w:space="0" w:color="auto"/>
        <w:right w:val="none" w:sz="0" w:space="0" w:color="auto"/>
      </w:divBdr>
    </w:div>
    <w:div w:id="446706568">
      <w:bodyDiv w:val="1"/>
      <w:marLeft w:val="0"/>
      <w:marRight w:val="0"/>
      <w:marTop w:val="0"/>
      <w:marBottom w:val="0"/>
      <w:divBdr>
        <w:top w:val="none" w:sz="0" w:space="0" w:color="auto"/>
        <w:left w:val="none" w:sz="0" w:space="0" w:color="auto"/>
        <w:bottom w:val="none" w:sz="0" w:space="0" w:color="auto"/>
        <w:right w:val="none" w:sz="0" w:space="0" w:color="auto"/>
      </w:divBdr>
    </w:div>
    <w:div w:id="532963368">
      <w:bodyDiv w:val="1"/>
      <w:marLeft w:val="0"/>
      <w:marRight w:val="0"/>
      <w:marTop w:val="0"/>
      <w:marBottom w:val="0"/>
      <w:divBdr>
        <w:top w:val="none" w:sz="0" w:space="0" w:color="auto"/>
        <w:left w:val="none" w:sz="0" w:space="0" w:color="auto"/>
        <w:bottom w:val="none" w:sz="0" w:space="0" w:color="auto"/>
        <w:right w:val="none" w:sz="0" w:space="0" w:color="auto"/>
      </w:divBdr>
    </w:div>
    <w:div w:id="579875465">
      <w:bodyDiv w:val="1"/>
      <w:marLeft w:val="0"/>
      <w:marRight w:val="0"/>
      <w:marTop w:val="0"/>
      <w:marBottom w:val="0"/>
      <w:divBdr>
        <w:top w:val="none" w:sz="0" w:space="0" w:color="auto"/>
        <w:left w:val="none" w:sz="0" w:space="0" w:color="auto"/>
        <w:bottom w:val="none" w:sz="0" w:space="0" w:color="auto"/>
        <w:right w:val="none" w:sz="0" w:space="0" w:color="auto"/>
      </w:divBdr>
    </w:div>
    <w:div w:id="810901684">
      <w:bodyDiv w:val="1"/>
      <w:marLeft w:val="0"/>
      <w:marRight w:val="0"/>
      <w:marTop w:val="0"/>
      <w:marBottom w:val="0"/>
      <w:divBdr>
        <w:top w:val="none" w:sz="0" w:space="0" w:color="auto"/>
        <w:left w:val="none" w:sz="0" w:space="0" w:color="auto"/>
        <w:bottom w:val="none" w:sz="0" w:space="0" w:color="auto"/>
        <w:right w:val="none" w:sz="0" w:space="0" w:color="auto"/>
      </w:divBdr>
    </w:div>
    <w:div w:id="833105308">
      <w:bodyDiv w:val="1"/>
      <w:marLeft w:val="0"/>
      <w:marRight w:val="0"/>
      <w:marTop w:val="0"/>
      <w:marBottom w:val="0"/>
      <w:divBdr>
        <w:top w:val="none" w:sz="0" w:space="0" w:color="auto"/>
        <w:left w:val="none" w:sz="0" w:space="0" w:color="auto"/>
        <w:bottom w:val="none" w:sz="0" w:space="0" w:color="auto"/>
        <w:right w:val="none" w:sz="0" w:space="0" w:color="auto"/>
      </w:divBdr>
    </w:div>
    <w:div w:id="850293339">
      <w:bodyDiv w:val="1"/>
      <w:marLeft w:val="0"/>
      <w:marRight w:val="0"/>
      <w:marTop w:val="0"/>
      <w:marBottom w:val="0"/>
      <w:divBdr>
        <w:top w:val="none" w:sz="0" w:space="0" w:color="auto"/>
        <w:left w:val="none" w:sz="0" w:space="0" w:color="auto"/>
        <w:bottom w:val="none" w:sz="0" w:space="0" w:color="auto"/>
        <w:right w:val="none" w:sz="0" w:space="0" w:color="auto"/>
      </w:divBdr>
    </w:div>
    <w:div w:id="870607147">
      <w:bodyDiv w:val="1"/>
      <w:marLeft w:val="0"/>
      <w:marRight w:val="0"/>
      <w:marTop w:val="0"/>
      <w:marBottom w:val="0"/>
      <w:divBdr>
        <w:top w:val="none" w:sz="0" w:space="0" w:color="auto"/>
        <w:left w:val="none" w:sz="0" w:space="0" w:color="auto"/>
        <w:bottom w:val="none" w:sz="0" w:space="0" w:color="auto"/>
        <w:right w:val="none" w:sz="0" w:space="0" w:color="auto"/>
      </w:divBdr>
    </w:div>
    <w:div w:id="885874511">
      <w:bodyDiv w:val="1"/>
      <w:marLeft w:val="0"/>
      <w:marRight w:val="0"/>
      <w:marTop w:val="0"/>
      <w:marBottom w:val="0"/>
      <w:divBdr>
        <w:top w:val="none" w:sz="0" w:space="0" w:color="auto"/>
        <w:left w:val="none" w:sz="0" w:space="0" w:color="auto"/>
        <w:bottom w:val="none" w:sz="0" w:space="0" w:color="auto"/>
        <w:right w:val="none" w:sz="0" w:space="0" w:color="auto"/>
      </w:divBdr>
    </w:div>
    <w:div w:id="998004098">
      <w:bodyDiv w:val="1"/>
      <w:marLeft w:val="0"/>
      <w:marRight w:val="0"/>
      <w:marTop w:val="0"/>
      <w:marBottom w:val="0"/>
      <w:divBdr>
        <w:top w:val="none" w:sz="0" w:space="0" w:color="auto"/>
        <w:left w:val="none" w:sz="0" w:space="0" w:color="auto"/>
        <w:bottom w:val="none" w:sz="0" w:space="0" w:color="auto"/>
        <w:right w:val="none" w:sz="0" w:space="0" w:color="auto"/>
      </w:divBdr>
    </w:div>
    <w:div w:id="1025444768">
      <w:bodyDiv w:val="1"/>
      <w:marLeft w:val="0"/>
      <w:marRight w:val="0"/>
      <w:marTop w:val="0"/>
      <w:marBottom w:val="0"/>
      <w:divBdr>
        <w:top w:val="none" w:sz="0" w:space="0" w:color="auto"/>
        <w:left w:val="none" w:sz="0" w:space="0" w:color="auto"/>
        <w:bottom w:val="none" w:sz="0" w:space="0" w:color="auto"/>
        <w:right w:val="none" w:sz="0" w:space="0" w:color="auto"/>
      </w:divBdr>
    </w:div>
    <w:div w:id="1027756082">
      <w:bodyDiv w:val="1"/>
      <w:marLeft w:val="0"/>
      <w:marRight w:val="0"/>
      <w:marTop w:val="0"/>
      <w:marBottom w:val="0"/>
      <w:divBdr>
        <w:top w:val="none" w:sz="0" w:space="0" w:color="auto"/>
        <w:left w:val="none" w:sz="0" w:space="0" w:color="auto"/>
        <w:bottom w:val="none" w:sz="0" w:space="0" w:color="auto"/>
        <w:right w:val="none" w:sz="0" w:space="0" w:color="auto"/>
      </w:divBdr>
    </w:div>
    <w:div w:id="1034888608">
      <w:bodyDiv w:val="1"/>
      <w:marLeft w:val="0"/>
      <w:marRight w:val="0"/>
      <w:marTop w:val="0"/>
      <w:marBottom w:val="0"/>
      <w:divBdr>
        <w:top w:val="none" w:sz="0" w:space="0" w:color="auto"/>
        <w:left w:val="none" w:sz="0" w:space="0" w:color="auto"/>
        <w:bottom w:val="none" w:sz="0" w:space="0" w:color="auto"/>
        <w:right w:val="none" w:sz="0" w:space="0" w:color="auto"/>
      </w:divBdr>
    </w:div>
    <w:div w:id="1082991499">
      <w:bodyDiv w:val="1"/>
      <w:marLeft w:val="0"/>
      <w:marRight w:val="0"/>
      <w:marTop w:val="0"/>
      <w:marBottom w:val="0"/>
      <w:divBdr>
        <w:top w:val="none" w:sz="0" w:space="0" w:color="auto"/>
        <w:left w:val="none" w:sz="0" w:space="0" w:color="auto"/>
        <w:bottom w:val="none" w:sz="0" w:space="0" w:color="auto"/>
        <w:right w:val="none" w:sz="0" w:space="0" w:color="auto"/>
      </w:divBdr>
    </w:div>
    <w:div w:id="1155293602">
      <w:bodyDiv w:val="1"/>
      <w:marLeft w:val="0"/>
      <w:marRight w:val="0"/>
      <w:marTop w:val="0"/>
      <w:marBottom w:val="0"/>
      <w:divBdr>
        <w:top w:val="none" w:sz="0" w:space="0" w:color="auto"/>
        <w:left w:val="none" w:sz="0" w:space="0" w:color="auto"/>
        <w:bottom w:val="none" w:sz="0" w:space="0" w:color="auto"/>
        <w:right w:val="none" w:sz="0" w:space="0" w:color="auto"/>
      </w:divBdr>
    </w:div>
    <w:div w:id="1156724760">
      <w:bodyDiv w:val="1"/>
      <w:marLeft w:val="0"/>
      <w:marRight w:val="0"/>
      <w:marTop w:val="0"/>
      <w:marBottom w:val="0"/>
      <w:divBdr>
        <w:top w:val="none" w:sz="0" w:space="0" w:color="auto"/>
        <w:left w:val="none" w:sz="0" w:space="0" w:color="auto"/>
        <w:bottom w:val="none" w:sz="0" w:space="0" w:color="auto"/>
        <w:right w:val="none" w:sz="0" w:space="0" w:color="auto"/>
      </w:divBdr>
    </w:div>
    <w:div w:id="1157378452">
      <w:bodyDiv w:val="1"/>
      <w:marLeft w:val="0"/>
      <w:marRight w:val="0"/>
      <w:marTop w:val="0"/>
      <w:marBottom w:val="0"/>
      <w:divBdr>
        <w:top w:val="none" w:sz="0" w:space="0" w:color="auto"/>
        <w:left w:val="none" w:sz="0" w:space="0" w:color="auto"/>
        <w:bottom w:val="none" w:sz="0" w:space="0" w:color="auto"/>
        <w:right w:val="none" w:sz="0" w:space="0" w:color="auto"/>
      </w:divBdr>
    </w:div>
    <w:div w:id="1225675191">
      <w:bodyDiv w:val="1"/>
      <w:marLeft w:val="0"/>
      <w:marRight w:val="0"/>
      <w:marTop w:val="0"/>
      <w:marBottom w:val="0"/>
      <w:divBdr>
        <w:top w:val="none" w:sz="0" w:space="0" w:color="auto"/>
        <w:left w:val="none" w:sz="0" w:space="0" w:color="auto"/>
        <w:bottom w:val="none" w:sz="0" w:space="0" w:color="auto"/>
        <w:right w:val="none" w:sz="0" w:space="0" w:color="auto"/>
      </w:divBdr>
    </w:div>
    <w:div w:id="1241603192">
      <w:bodyDiv w:val="1"/>
      <w:marLeft w:val="0"/>
      <w:marRight w:val="0"/>
      <w:marTop w:val="0"/>
      <w:marBottom w:val="0"/>
      <w:divBdr>
        <w:top w:val="none" w:sz="0" w:space="0" w:color="auto"/>
        <w:left w:val="none" w:sz="0" w:space="0" w:color="auto"/>
        <w:bottom w:val="none" w:sz="0" w:space="0" w:color="auto"/>
        <w:right w:val="none" w:sz="0" w:space="0" w:color="auto"/>
      </w:divBdr>
    </w:div>
    <w:div w:id="1249652756">
      <w:bodyDiv w:val="1"/>
      <w:marLeft w:val="0"/>
      <w:marRight w:val="0"/>
      <w:marTop w:val="0"/>
      <w:marBottom w:val="0"/>
      <w:divBdr>
        <w:top w:val="none" w:sz="0" w:space="0" w:color="auto"/>
        <w:left w:val="none" w:sz="0" w:space="0" w:color="auto"/>
        <w:bottom w:val="none" w:sz="0" w:space="0" w:color="auto"/>
        <w:right w:val="none" w:sz="0" w:space="0" w:color="auto"/>
      </w:divBdr>
    </w:div>
    <w:div w:id="1280338018">
      <w:bodyDiv w:val="1"/>
      <w:marLeft w:val="0"/>
      <w:marRight w:val="0"/>
      <w:marTop w:val="0"/>
      <w:marBottom w:val="0"/>
      <w:divBdr>
        <w:top w:val="none" w:sz="0" w:space="0" w:color="auto"/>
        <w:left w:val="none" w:sz="0" w:space="0" w:color="auto"/>
        <w:bottom w:val="none" w:sz="0" w:space="0" w:color="auto"/>
        <w:right w:val="none" w:sz="0" w:space="0" w:color="auto"/>
      </w:divBdr>
    </w:div>
    <w:div w:id="1348021163">
      <w:bodyDiv w:val="1"/>
      <w:marLeft w:val="0"/>
      <w:marRight w:val="0"/>
      <w:marTop w:val="0"/>
      <w:marBottom w:val="0"/>
      <w:divBdr>
        <w:top w:val="none" w:sz="0" w:space="0" w:color="auto"/>
        <w:left w:val="none" w:sz="0" w:space="0" w:color="auto"/>
        <w:bottom w:val="none" w:sz="0" w:space="0" w:color="auto"/>
        <w:right w:val="none" w:sz="0" w:space="0" w:color="auto"/>
      </w:divBdr>
    </w:div>
    <w:div w:id="1387997230">
      <w:bodyDiv w:val="1"/>
      <w:marLeft w:val="0"/>
      <w:marRight w:val="0"/>
      <w:marTop w:val="0"/>
      <w:marBottom w:val="0"/>
      <w:divBdr>
        <w:top w:val="none" w:sz="0" w:space="0" w:color="auto"/>
        <w:left w:val="none" w:sz="0" w:space="0" w:color="auto"/>
        <w:bottom w:val="none" w:sz="0" w:space="0" w:color="auto"/>
        <w:right w:val="none" w:sz="0" w:space="0" w:color="auto"/>
      </w:divBdr>
    </w:div>
    <w:div w:id="1494223197">
      <w:bodyDiv w:val="1"/>
      <w:marLeft w:val="0"/>
      <w:marRight w:val="0"/>
      <w:marTop w:val="0"/>
      <w:marBottom w:val="0"/>
      <w:divBdr>
        <w:top w:val="none" w:sz="0" w:space="0" w:color="auto"/>
        <w:left w:val="none" w:sz="0" w:space="0" w:color="auto"/>
        <w:bottom w:val="none" w:sz="0" w:space="0" w:color="auto"/>
        <w:right w:val="none" w:sz="0" w:space="0" w:color="auto"/>
      </w:divBdr>
    </w:div>
    <w:div w:id="1510944110">
      <w:bodyDiv w:val="1"/>
      <w:marLeft w:val="0"/>
      <w:marRight w:val="0"/>
      <w:marTop w:val="0"/>
      <w:marBottom w:val="0"/>
      <w:divBdr>
        <w:top w:val="none" w:sz="0" w:space="0" w:color="auto"/>
        <w:left w:val="none" w:sz="0" w:space="0" w:color="auto"/>
        <w:bottom w:val="none" w:sz="0" w:space="0" w:color="auto"/>
        <w:right w:val="none" w:sz="0" w:space="0" w:color="auto"/>
      </w:divBdr>
    </w:div>
    <w:div w:id="1524636067">
      <w:bodyDiv w:val="1"/>
      <w:marLeft w:val="0"/>
      <w:marRight w:val="0"/>
      <w:marTop w:val="0"/>
      <w:marBottom w:val="0"/>
      <w:divBdr>
        <w:top w:val="none" w:sz="0" w:space="0" w:color="auto"/>
        <w:left w:val="none" w:sz="0" w:space="0" w:color="auto"/>
        <w:bottom w:val="none" w:sz="0" w:space="0" w:color="auto"/>
        <w:right w:val="none" w:sz="0" w:space="0" w:color="auto"/>
      </w:divBdr>
    </w:div>
    <w:div w:id="1586764372">
      <w:bodyDiv w:val="1"/>
      <w:marLeft w:val="0"/>
      <w:marRight w:val="0"/>
      <w:marTop w:val="0"/>
      <w:marBottom w:val="0"/>
      <w:divBdr>
        <w:top w:val="none" w:sz="0" w:space="0" w:color="auto"/>
        <w:left w:val="none" w:sz="0" w:space="0" w:color="auto"/>
        <w:bottom w:val="none" w:sz="0" w:space="0" w:color="auto"/>
        <w:right w:val="none" w:sz="0" w:space="0" w:color="auto"/>
      </w:divBdr>
    </w:div>
    <w:div w:id="1601833889">
      <w:bodyDiv w:val="1"/>
      <w:marLeft w:val="0"/>
      <w:marRight w:val="0"/>
      <w:marTop w:val="0"/>
      <w:marBottom w:val="0"/>
      <w:divBdr>
        <w:top w:val="none" w:sz="0" w:space="0" w:color="auto"/>
        <w:left w:val="none" w:sz="0" w:space="0" w:color="auto"/>
        <w:bottom w:val="none" w:sz="0" w:space="0" w:color="auto"/>
        <w:right w:val="none" w:sz="0" w:space="0" w:color="auto"/>
      </w:divBdr>
    </w:div>
    <w:div w:id="1636642320">
      <w:bodyDiv w:val="1"/>
      <w:marLeft w:val="0"/>
      <w:marRight w:val="0"/>
      <w:marTop w:val="0"/>
      <w:marBottom w:val="0"/>
      <w:divBdr>
        <w:top w:val="none" w:sz="0" w:space="0" w:color="auto"/>
        <w:left w:val="none" w:sz="0" w:space="0" w:color="auto"/>
        <w:bottom w:val="none" w:sz="0" w:space="0" w:color="auto"/>
        <w:right w:val="none" w:sz="0" w:space="0" w:color="auto"/>
      </w:divBdr>
    </w:div>
    <w:div w:id="1654792353">
      <w:bodyDiv w:val="1"/>
      <w:marLeft w:val="0"/>
      <w:marRight w:val="0"/>
      <w:marTop w:val="0"/>
      <w:marBottom w:val="0"/>
      <w:divBdr>
        <w:top w:val="none" w:sz="0" w:space="0" w:color="auto"/>
        <w:left w:val="none" w:sz="0" w:space="0" w:color="auto"/>
        <w:bottom w:val="none" w:sz="0" w:space="0" w:color="auto"/>
        <w:right w:val="none" w:sz="0" w:space="0" w:color="auto"/>
      </w:divBdr>
    </w:div>
    <w:div w:id="1686402383">
      <w:bodyDiv w:val="1"/>
      <w:marLeft w:val="0"/>
      <w:marRight w:val="0"/>
      <w:marTop w:val="0"/>
      <w:marBottom w:val="0"/>
      <w:divBdr>
        <w:top w:val="none" w:sz="0" w:space="0" w:color="auto"/>
        <w:left w:val="none" w:sz="0" w:space="0" w:color="auto"/>
        <w:bottom w:val="none" w:sz="0" w:space="0" w:color="auto"/>
        <w:right w:val="none" w:sz="0" w:space="0" w:color="auto"/>
      </w:divBdr>
    </w:div>
    <w:div w:id="1701978243">
      <w:bodyDiv w:val="1"/>
      <w:marLeft w:val="0"/>
      <w:marRight w:val="0"/>
      <w:marTop w:val="0"/>
      <w:marBottom w:val="0"/>
      <w:divBdr>
        <w:top w:val="none" w:sz="0" w:space="0" w:color="auto"/>
        <w:left w:val="none" w:sz="0" w:space="0" w:color="auto"/>
        <w:bottom w:val="none" w:sz="0" w:space="0" w:color="auto"/>
        <w:right w:val="none" w:sz="0" w:space="0" w:color="auto"/>
      </w:divBdr>
    </w:div>
    <w:div w:id="1706518267">
      <w:bodyDiv w:val="1"/>
      <w:marLeft w:val="0"/>
      <w:marRight w:val="0"/>
      <w:marTop w:val="0"/>
      <w:marBottom w:val="0"/>
      <w:divBdr>
        <w:top w:val="none" w:sz="0" w:space="0" w:color="auto"/>
        <w:left w:val="none" w:sz="0" w:space="0" w:color="auto"/>
        <w:bottom w:val="none" w:sz="0" w:space="0" w:color="auto"/>
        <w:right w:val="none" w:sz="0" w:space="0" w:color="auto"/>
      </w:divBdr>
    </w:div>
    <w:div w:id="1732533104">
      <w:bodyDiv w:val="1"/>
      <w:marLeft w:val="0"/>
      <w:marRight w:val="0"/>
      <w:marTop w:val="0"/>
      <w:marBottom w:val="0"/>
      <w:divBdr>
        <w:top w:val="none" w:sz="0" w:space="0" w:color="auto"/>
        <w:left w:val="none" w:sz="0" w:space="0" w:color="auto"/>
        <w:bottom w:val="none" w:sz="0" w:space="0" w:color="auto"/>
        <w:right w:val="none" w:sz="0" w:space="0" w:color="auto"/>
      </w:divBdr>
    </w:div>
    <w:div w:id="1754550903">
      <w:bodyDiv w:val="1"/>
      <w:marLeft w:val="0"/>
      <w:marRight w:val="0"/>
      <w:marTop w:val="0"/>
      <w:marBottom w:val="0"/>
      <w:divBdr>
        <w:top w:val="none" w:sz="0" w:space="0" w:color="auto"/>
        <w:left w:val="none" w:sz="0" w:space="0" w:color="auto"/>
        <w:bottom w:val="none" w:sz="0" w:space="0" w:color="auto"/>
        <w:right w:val="none" w:sz="0" w:space="0" w:color="auto"/>
      </w:divBdr>
    </w:div>
    <w:div w:id="1831754005">
      <w:bodyDiv w:val="1"/>
      <w:marLeft w:val="0"/>
      <w:marRight w:val="0"/>
      <w:marTop w:val="0"/>
      <w:marBottom w:val="0"/>
      <w:divBdr>
        <w:top w:val="none" w:sz="0" w:space="0" w:color="auto"/>
        <w:left w:val="none" w:sz="0" w:space="0" w:color="auto"/>
        <w:bottom w:val="none" w:sz="0" w:space="0" w:color="auto"/>
        <w:right w:val="none" w:sz="0" w:space="0" w:color="auto"/>
      </w:divBdr>
    </w:div>
    <w:div w:id="1841315077">
      <w:bodyDiv w:val="1"/>
      <w:marLeft w:val="0"/>
      <w:marRight w:val="0"/>
      <w:marTop w:val="0"/>
      <w:marBottom w:val="0"/>
      <w:divBdr>
        <w:top w:val="none" w:sz="0" w:space="0" w:color="auto"/>
        <w:left w:val="none" w:sz="0" w:space="0" w:color="auto"/>
        <w:bottom w:val="none" w:sz="0" w:space="0" w:color="auto"/>
        <w:right w:val="none" w:sz="0" w:space="0" w:color="auto"/>
      </w:divBdr>
    </w:div>
    <w:div w:id="1953975443">
      <w:bodyDiv w:val="1"/>
      <w:marLeft w:val="0"/>
      <w:marRight w:val="0"/>
      <w:marTop w:val="0"/>
      <w:marBottom w:val="0"/>
      <w:divBdr>
        <w:top w:val="none" w:sz="0" w:space="0" w:color="auto"/>
        <w:left w:val="none" w:sz="0" w:space="0" w:color="auto"/>
        <w:bottom w:val="none" w:sz="0" w:space="0" w:color="auto"/>
        <w:right w:val="none" w:sz="0" w:space="0" w:color="auto"/>
      </w:divBdr>
    </w:div>
    <w:div w:id="1964531514">
      <w:bodyDiv w:val="1"/>
      <w:marLeft w:val="0"/>
      <w:marRight w:val="0"/>
      <w:marTop w:val="0"/>
      <w:marBottom w:val="0"/>
      <w:divBdr>
        <w:top w:val="none" w:sz="0" w:space="0" w:color="auto"/>
        <w:left w:val="none" w:sz="0" w:space="0" w:color="auto"/>
        <w:bottom w:val="none" w:sz="0" w:space="0" w:color="auto"/>
        <w:right w:val="none" w:sz="0" w:space="0" w:color="auto"/>
      </w:divBdr>
    </w:div>
    <w:div w:id="2045476201">
      <w:bodyDiv w:val="1"/>
      <w:marLeft w:val="0"/>
      <w:marRight w:val="0"/>
      <w:marTop w:val="0"/>
      <w:marBottom w:val="0"/>
      <w:divBdr>
        <w:top w:val="none" w:sz="0" w:space="0" w:color="auto"/>
        <w:left w:val="none" w:sz="0" w:space="0" w:color="auto"/>
        <w:bottom w:val="none" w:sz="0" w:space="0" w:color="auto"/>
        <w:right w:val="none" w:sz="0" w:space="0" w:color="auto"/>
      </w:divBdr>
    </w:div>
    <w:div w:id="2083873206">
      <w:bodyDiv w:val="1"/>
      <w:marLeft w:val="0"/>
      <w:marRight w:val="0"/>
      <w:marTop w:val="0"/>
      <w:marBottom w:val="0"/>
      <w:divBdr>
        <w:top w:val="none" w:sz="0" w:space="0" w:color="auto"/>
        <w:left w:val="none" w:sz="0" w:space="0" w:color="auto"/>
        <w:bottom w:val="none" w:sz="0" w:space="0" w:color="auto"/>
        <w:right w:val="none" w:sz="0" w:space="0" w:color="auto"/>
      </w:divBdr>
    </w:div>
    <w:div w:id="21193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klopf@erstegroup.com" TargetMode="External"/><Relationship Id="rId18" Type="http://schemas.openxmlformats.org/officeDocument/2006/relationships/hyperlink" Target="mailto:peter.klopf@erstegroup.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esse@erstebank.at" TargetMode="External"/><Relationship Id="rId7" Type="http://schemas.openxmlformats.org/officeDocument/2006/relationships/settings" Target="settings.xml"/><Relationship Id="rId12" Type="http://schemas.openxmlformats.org/officeDocument/2006/relationships/hyperlink" Target="mailto:christian.hromatka@erstegroup.com" TargetMode="External"/><Relationship Id="rId17" Type="http://schemas.openxmlformats.org/officeDocument/2006/relationships/hyperlink" Target="mailto:christian.hromatka@erstegroup.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esse@erstebank.at" TargetMode="External"/><Relationship Id="rId20" Type="http://schemas.openxmlformats.org/officeDocument/2006/relationships/hyperlink" Target="https://www.erstegroup.com/en/news-med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rstegroup.com/en/news-media"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martin.sonn-wende@erstegrou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sonn-wende@erstegroup.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96243a\Erste%20Group\AT%20Digital%20Content%20Newsroom%20-%20General\Guidelines&amp;Templates\CD%20neu%202022\TEMPLATE_Holding_Press%20Release-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09EF6D673F6C444A56AD1A69ED879D5" ma:contentTypeVersion="23" ma:contentTypeDescription="Ein neues Dokument erstellen." ma:contentTypeScope="" ma:versionID="35894dd38c55255bd57107435c8cdef8">
  <xsd:schema xmlns:xsd="http://www.w3.org/2001/XMLSchema" xmlns:xs="http://www.w3.org/2001/XMLSchema" xmlns:p="http://schemas.microsoft.com/office/2006/metadata/properties" xmlns:ns1="http://schemas.microsoft.com/sharepoint/v3" xmlns:ns2="4fbe574a-ea71-4a7a-8b6c-7f8379c27a3b" xmlns:ns3="c2323869-9312-41a6-b73b-7b8186d7ec70" xmlns:ns4="http://schemas.microsoft.com/sharepoint/v4" targetNamespace="http://schemas.microsoft.com/office/2006/metadata/properties" ma:root="true" ma:fieldsID="0bd3c10d612ab0f1b2a3384a4a0de1fe" ns1:_="" ns2:_="" ns3:_="" ns4:_="">
    <xsd:import namespace="http://schemas.microsoft.com/sharepoint/v3"/>
    <xsd:import namespace="4fbe574a-ea71-4a7a-8b6c-7f8379c27a3b"/>
    <xsd:import namespace="c2323869-9312-41a6-b73b-7b8186d7ec7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4:IconOverlay" minOccurs="0"/>
                <xsd:element ref="ns1:_ip_UnifiedCompliancePolicyProperties" minOccurs="0"/>
                <xsd:element ref="ns1:_ip_UnifiedCompliancePolicyUIAc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Eigenschaften der einheitlichen Compliancerichtlinie" ma:hidden="true" ma:internalName="_ip_UnifiedCompliancePolicyProperties">
      <xsd:simpleType>
        <xsd:restriction base="dms:Note"/>
      </xsd:simpleType>
    </xsd:element>
    <xsd:element name="_ip_UnifiedCompliancePolicyUIAction" ma:index="23"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e574a-ea71-4a7a-8b6c-7f8379c27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Bildmarkierungen" ma:readOnly="false" ma:fieldId="{5cf76f15-5ced-4ddc-b409-7134ff3c332f}" ma:taxonomyMulti="true" ma:sspId="8e7e5b6c-b918-456f-bde5-0dbd0052d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323869-9312-41a6-b73b-7b8186d7ec7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d8366b5-4854-423f-9ece-b76b9890fd11}" ma:internalName="TaxCatchAll" ma:showField="CatchAllData" ma:web="c2323869-9312-41a6-b73b-7b8186d7ec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ip_UnifiedCompliancePolicyUIAction xmlns="http://schemas.microsoft.com/sharepoint/v3" xsi:nil="true"/>
    <_ip_UnifiedCompliancePolicyProperties xmlns="http://schemas.microsoft.com/sharepoint/v3" xsi:nil="true"/>
    <TaxCatchAll xmlns="c2323869-9312-41a6-b73b-7b8186d7ec70" xsi:nil="true"/>
    <lcf76f155ced4ddcb4097134ff3c332f xmlns="4fbe574a-ea71-4a7a-8b6c-7f8379c27a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2C5707-1DCB-4AAC-9DE9-802E974CD6A8}">
  <ds:schemaRefs>
    <ds:schemaRef ds:uri="http://schemas.microsoft.com/sharepoint/v3/contenttype/forms"/>
  </ds:schemaRefs>
</ds:datastoreItem>
</file>

<file path=customXml/itemProps2.xml><?xml version="1.0" encoding="utf-8"?>
<ds:datastoreItem xmlns:ds="http://schemas.openxmlformats.org/officeDocument/2006/customXml" ds:itemID="{DB57B6C5-9615-D344-958A-8002CE0ED59A}">
  <ds:schemaRefs>
    <ds:schemaRef ds:uri="http://schemas.openxmlformats.org/officeDocument/2006/bibliography"/>
  </ds:schemaRefs>
</ds:datastoreItem>
</file>

<file path=customXml/itemProps3.xml><?xml version="1.0" encoding="utf-8"?>
<ds:datastoreItem xmlns:ds="http://schemas.openxmlformats.org/officeDocument/2006/customXml" ds:itemID="{D4703540-DD2E-4493-8A54-4D4267162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be574a-ea71-4a7a-8b6c-7f8379c27a3b"/>
    <ds:schemaRef ds:uri="c2323869-9312-41a6-b73b-7b8186d7ec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F4E33-DEAC-4DAA-9AD4-412F9ADAD9CC}">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c2323869-9312-41a6-b73b-7b8186d7ec70"/>
    <ds:schemaRef ds:uri="4fbe574a-ea71-4a7a-8b6c-7f8379c27a3b"/>
  </ds:schemaRefs>
</ds:datastoreItem>
</file>

<file path=docProps/app.xml><?xml version="1.0" encoding="utf-8"?>
<Properties xmlns="http://schemas.openxmlformats.org/officeDocument/2006/extended-properties" xmlns:vt="http://schemas.openxmlformats.org/officeDocument/2006/docPropsVTypes">
  <Template>TEMPLATE_Holding_Press Release-EN.dotx</Template>
  <TotalTime>3</TotalTime>
  <Pages>4</Pages>
  <Words>1400</Words>
  <Characters>8262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Aschinger Marvin</dc:creator>
  <cp:keywords/>
  <dc:description/>
  <cp:lastModifiedBy>Bouc František</cp:lastModifiedBy>
  <cp:revision>2</cp:revision>
  <dcterms:created xsi:type="dcterms:W3CDTF">2024-02-28T14:25:00Z</dcterms:created>
  <dcterms:modified xsi:type="dcterms:W3CDTF">2024-02-28T14:25:00Z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0x010100409EF6D673F6C444A56AD1A69ED879D5</vt:lpwstr>
  </property>
  <property fmtid="{D5CDD505-2E9C-101B-9397-08002B2CF9AE}" pid="3" name="MSIP_Label_38939b85-7e40-4a1d-91e1-0e84c3b219d7_Enabled">
    <vt:lpwstr>true</vt:lpwstr>
  </property>
  <property fmtid="{D5CDD505-2E9C-101B-9397-08002B2CF9AE}" pid="4" name="MSIP_Label_38939b85-7e40-4a1d-91e1-0e84c3b219d7_SetDate">
    <vt:lpwstr>2021-11-25T09:42:50Z</vt:lpwstr>
  </property>
  <property fmtid="{D5CDD505-2E9C-101B-9397-08002B2CF9AE}" pid="5" name="MSIP_Label_38939b85-7e40-4a1d-91e1-0e84c3b219d7_Method">
    <vt:lpwstr>Standard</vt:lpwstr>
  </property>
  <property fmtid="{D5CDD505-2E9C-101B-9397-08002B2CF9AE}" pid="6" name="MSIP_Label_38939b85-7e40-4a1d-91e1-0e84c3b219d7_Name">
    <vt:lpwstr>38939b85-7e40-4a1d-91e1-0e84c3b219d7</vt:lpwstr>
  </property>
  <property fmtid="{D5CDD505-2E9C-101B-9397-08002B2CF9AE}" pid="7" name="MSIP_Label_38939b85-7e40-4a1d-91e1-0e84c3b219d7_SiteId">
    <vt:lpwstr>3ad0376a-54d3-49a6-9e20-52de0a92fc89</vt:lpwstr>
  </property>
  <property fmtid="{D5CDD505-2E9C-101B-9397-08002B2CF9AE}" pid="8" name="MSIP_Label_38939b85-7e40-4a1d-91e1-0e84c3b219d7_ActionId">
    <vt:lpwstr>4ea7e129-8015-4c13-8b39-d95537ec838d</vt:lpwstr>
  </property>
  <property fmtid="{D5CDD505-2E9C-101B-9397-08002B2CF9AE}" pid="9" name="MSIP_Label_38939b85-7e40-4a1d-91e1-0e84c3b219d7_ContentBits">
    <vt:lpwstr>0</vt:lpwstr>
  </property>
  <property fmtid="{D5CDD505-2E9C-101B-9397-08002B2CF9AE}" pid="10" name="MediaServiceImageTags">
    <vt:lpwstr/>
  </property>
</Properties>
</file>