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223F" w14:textId="23EDF7E7" w:rsidR="00A23F87" w:rsidRPr="005E17F7" w:rsidRDefault="00B75DD6" w:rsidP="00A23F87">
      <w:pPr>
        <w:pStyle w:val="Nadpis2"/>
        <w:rPr>
          <w:rStyle w:val="Siln"/>
          <w:rFonts w:ascii="Inter" w:hAnsi="Inter"/>
          <w:b/>
          <w:bCs/>
          <w:noProof w:val="0"/>
          <w:color w:val="auto"/>
          <w:lang w:val="cs-CZ"/>
        </w:rPr>
      </w:pPr>
      <w:r w:rsidRPr="00B75DD6">
        <w:rPr>
          <w:rFonts w:ascii="Inter" w:hAnsi="Inter"/>
          <w:noProof w:val="0"/>
          <w:color w:val="auto"/>
          <w:lang w:val="cs-CZ"/>
        </w:rPr>
        <w:t xml:space="preserve">Výsledky za rok </w:t>
      </w:r>
      <w:r w:rsidR="00777A92" w:rsidRPr="00B75DD6">
        <w:rPr>
          <w:rFonts w:ascii="Inter" w:hAnsi="Inter"/>
          <w:noProof w:val="0"/>
          <w:color w:val="auto"/>
          <w:lang w:val="cs-CZ"/>
        </w:rPr>
        <w:t>202</w:t>
      </w:r>
      <w:r w:rsidR="00777A92" w:rsidRPr="005E17F7">
        <w:rPr>
          <w:rFonts w:ascii="Inter" w:hAnsi="Inter"/>
          <w:noProof w:val="0"/>
          <w:color w:val="auto"/>
          <w:lang w:val="cs-CZ"/>
        </w:rPr>
        <w:t xml:space="preserve">3: </w:t>
      </w:r>
      <w:r w:rsidR="003A7CB3">
        <w:rPr>
          <w:rFonts w:ascii="Inter" w:hAnsi="Inter"/>
          <w:noProof w:val="0"/>
          <w:color w:val="auto"/>
          <w:lang w:val="cs-CZ"/>
        </w:rPr>
        <w:t>silné</w:t>
      </w:r>
      <w:r w:rsidR="00F76414" w:rsidRPr="005E17F7">
        <w:rPr>
          <w:rFonts w:ascii="Inter" w:hAnsi="Inter"/>
          <w:noProof w:val="0"/>
          <w:color w:val="auto"/>
          <w:lang w:val="cs-CZ"/>
        </w:rPr>
        <w:t xml:space="preserve"> </w:t>
      </w:r>
      <w:r w:rsidR="00614FA1" w:rsidRPr="005E17F7">
        <w:rPr>
          <w:rFonts w:ascii="Inter" w:hAnsi="Inter"/>
          <w:noProof w:val="0"/>
          <w:color w:val="auto"/>
          <w:lang w:val="cs-CZ"/>
        </w:rPr>
        <w:t>obchodní vý</w:t>
      </w:r>
      <w:r w:rsidR="00F76414" w:rsidRPr="005E17F7">
        <w:rPr>
          <w:rFonts w:ascii="Inter" w:hAnsi="Inter"/>
          <w:noProof w:val="0"/>
          <w:color w:val="auto"/>
          <w:lang w:val="cs-CZ"/>
        </w:rPr>
        <w:t>ko</w:t>
      </w:r>
      <w:r w:rsidR="003A7CB3">
        <w:rPr>
          <w:rFonts w:ascii="Inter" w:hAnsi="Inter"/>
          <w:noProof w:val="0"/>
          <w:color w:val="auto"/>
          <w:lang w:val="cs-CZ"/>
        </w:rPr>
        <w:t>ny</w:t>
      </w:r>
      <w:r w:rsidR="00614FA1" w:rsidRPr="005E17F7">
        <w:rPr>
          <w:rFonts w:ascii="Inter" w:hAnsi="Inter"/>
          <w:noProof w:val="0"/>
          <w:color w:val="auto"/>
          <w:lang w:val="cs-CZ"/>
        </w:rPr>
        <w:t xml:space="preserve"> </w:t>
      </w:r>
      <w:r w:rsidR="003A7CB3">
        <w:rPr>
          <w:rFonts w:ascii="Inter" w:hAnsi="Inter"/>
          <w:noProof w:val="0"/>
          <w:color w:val="auto"/>
          <w:lang w:val="cs-CZ"/>
        </w:rPr>
        <w:t>i</w:t>
      </w:r>
      <w:r w:rsidR="00614FA1" w:rsidRPr="005E17F7">
        <w:rPr>
          <w:rFonts w:ascii="Inter" w:hAnsi="Inter"/>
          <w:noProof w:val="0"/>
          <w:color w:val="auto"/>
          <w:lang w:val="cs-CZ"/>
        </w:rPr>
        <w:t xml:space="preserve"> kapitálová základna </w:t>
      </w:r>
    </w:p>
    <w:p w14:paraId="53119E0E" w14:textId="77777777" w:rsidR="00A23F87" w:rsidRPr="005E17F7" w:rsidRDefault="00A23F87" w:rsidP="00A23F87">
      <w:pPr>
        <w:rPr>
          <w:rFonts w:ascii="Inter" w:hAnsi="Inter"/>
          <w:noProof w:val="0"/>
          <w:lang w:val="cs-CZ"/>
        </w:rPr>
      </w:pPr>
    </w:p>
    <w:p w14:paraId="65E970C0" w14:textId="48632FE6" w:rsidR="00A23F87" w:rsidRPr="005E17F7" w:rsidRDefault="009B3DCD" w:rsidP="00A23F87">
      <w:pPr>
        <w:pStyle w:val="Odstavecseseznamem"/>
        <w:numPr>
          <w:ilvl w:val="0"/>
          <w:numId w:val="21"/>
        </w:numPr>
        <w:shd w:val="clear" w:color="auto" w:fill="FFFFFF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>Nárůst obje</w:t>
      </w:r>
      <w:r w:rsidR="001C3A22" w:rsidRPr="005E17F7">
        <w:rPr>
          <w:rFonts w:ascii="Inter" w:hAnsi="Inter"/>
          <w:noProof w:val="0"/>
          <w:lang w:val="cs-CZ"/>
        </w:rPr>
        <w:t>m</w:t>
      </w:r>
      <w:r w:rsidRPr="005E17F7">
        <w:rPr>
          <w:rFonts w:ascii="Inter" w:hAnsi="Inter"/>
          <w:noProof w:val="0"/>
          <w:lang w:val="cs-CZ"/>
        </w:rPr>
        <w:t xml:space="preserve">u úvěrů </w:t>
      </w:r>
      <w:r w:rsidR="00D345F5" w:rsidRPr="005E17F7">
        <w:rPr>
          <w:rFonts w:ascii="Inter" w:hAnsi="Inter"/>
          <w:noProof w:val="0"/>
          <w:lang w:val="cs-CZ"/>
        </w:rPr>
        <w:t>(+2</w:t>
      </w:r>
      <w:r w:rsidR="00E31BFD" w:rsidRPr="005E17F7">
        <w:rPr>
          <w:rFonts w:ascii="Inter" w:hAnsi="Inter"/>
          <w:noProof w:val="0"/>
          <w:lang w:val="cs-CZ"/>
        </w:rPr>
        <w:t>,</w:t>
      </w:r>
      <w:r w:rsidR="00D345F5" w:rsidRPr="005E17F7">
        <w:rPr>
          <w:rFonts w:ascii="Inter" w:hAnsi="Inter"/>
          <w:noProof w:val="0"/>
          <w:lang w:val="cs-CZ"/>
        </w:rPr>
        <w:t>8</w:t>
      </w:r>
      <w:r w:rsidRPr="005E17F7">
        <w:rPr>
          <w:rFonts w:ascii="Inter" w:hAnsi="Inter"/>
          <w:noProof w:val="0"/>
          <w:lang w:val="cs-CZ"/>
        </w:rPr>
        <w:t xml:space="preserve"> %</w:t>
      </w:r>
      <w:r w:rsidR="00D345F5" w:rsidRPr="005E17F7">
        <w:rPr>
          <w:rFonts w:ascii="Inter" w:hAnsi="Inter"/>
          <w:noProof w:val="0"/>
          <w:lang w:val="cs-CZ"/>
        </w:rPr>
        <w:t xml:space="preserve">) </w:t>
      </w:r>
      <w:r w:rsidR="001C3A22" w:rsidRPr="005E17F7">
        <w:rPr>
          <w:rFonts w:ascii="Inter" w:hAnsi="Inter"/>
          <w:noProof w:val="0"/>
          <w:lang w:val="cs-CZ"/>
        </w:rPr>
        <w:t>i</w:t>
      </w:r>
      <w:r w:rsidR="00E31BFD" w:rsidRPr="005E17F7">
        <w:rPr>
          <w:rFonts w:ascii="Inter" w:hAnsi="Inter"/>
          <w:noProof w:val="0"/>
          <w:lang w:val="cs-CZ"/>
        </w:rPr>
        <w:t xml:space="preserve"> klientských vkladů </w:t>
      </w:r>
      <w:r w:rsidR="000042BA" w:rsidRPr="005E17F7">
        <w:rPr>
          <w:rFonts w:ascii="Inter" w:hAnsi="Inter"/>
          <w:noProof w:val="0"/>
          <w:lang w:val="cs-CZ"/>
        </w:rPr>
        <w:t>(+3</w:t>
      </w:r>
      <w:r w:rsidR="00E31BFD" w:rsidRPr="005E17F7">
        <w:rPr>
          <w:rFonts w:ascii="Inter" w:hAnsi="Inter"/>
          <w:noProof w:val="0"/>
          <w:lang w:val="cs-CZ"/>
        </w:rPr>
        <w:t>,</w:t>
      </w:r>
      <w:r w:rsidR="000042BA" w:rsidRPr="005E17F7">
        <w:rPr>
          <w:rFonts w:ascii="Inter" w:hAnsi="Inter"/>
          <w:noProof w:val="0"/>
          <w:lang w:val="cs-CZ"/>
        </w:rPr>
        <w:t>9</w:t>
      </w:r>
      <w:r w:rsidRPr="005E17F7">
        <w:rPr>
          <w:rFonts w:ascii="Inter" w:hAnsi="Inter"/>
          <w:noProof w:val="0"/>
          <w:lang w:val="cs-CZ"/>
        </w:rPr>
        <w:t xml:space="preserve"> %</w:t>
      </w:r>
      <w:r w:rsidR="000042BA" w:rsidRPr="005E17F7">
        <w:rPr>
          <w:rFonts w:ascii="Inter" w:hAnsi="Inter"/>
          <w:noProof w:val="0"/>
          <w:lang w:val="cs-CZ"/>
        </w:rPr>
        <w:t>)</w:t>
      </w:r>
    </w:p>
    <w:p w14:paraId="479764A5" w14:textId="44F1F627" w:rsidR="00A23F87" w:rsidRPr="005E17F7" w:rsidRDefault="00560A0A" w:rsidP="00A23F87">
      <w:pPr>
        <w:pStyle w:val="Odstavecseseznamem"/>
        <w:numPr>
          <w:ilvl w:val="0"/>
          <w:numId w:val="21"/>
        </w:numPr>
        <w:shd w:val="clear" w:color="auto" w:fill="FFFFFF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>S</w:t>
      </w:r>
      <w:r w:rsidR="00715A9C" w:rsidRPr="005E17F7">
        <w:rPr>
          <w:rFonts w:ascii="Inter" w:hAnsi="Inter"/>
          <w:noProof w:val="0"/>
          <w:lang w:val="cs-CZ"/>
        </w:rPr>
        <w:t>ilná kapitálová základna</w:t>
      </w:r>
      <w:r w:rsidRPr="005E17F7">
        <w:rPr>
          <w:rFonts w:ascii="Inter" w:hAnsi="Inter"/>
          <w:noProof w:val="0"/>
          <w:lang w:val="cs-CZ"/>
        </w:rPr>
        <w:t xml:space="preserve">: </w:t>
      </w:r>
      <w:r w:rsidR="00715A9C" w:rsidRPr="005E17F7">
        <w:rPr>
          <w:rFonts w:ascii="Inter" w:hAnsi="Inter"/>
          <w:noProof w:val="0"/>
          <w:lang w:val="cs-CZ"/>
        </w:rPr>
        <w:t xml:space="preserve">ukazatel </w:t>
      </w:r>
      <w:r w:rsidRPr="005E17F7">
        <w:rPr>
          <w:rFonts w:ascii="Inter" w:hAnsi="Inter"/>
          <w:noProof w:val="0"/>
          <w:lang w:val="cs-CZ"/>
        </w:rPr>
        <w:t xml:space="preserve">CET1 </w:t>
      </w:r>
      <w:r w:rsidR="00715A9C" w:rsidRPr="005E17F7">
        <w:rPr>
          <w:rFonts w:ascii="Inter" w:hAnsi="Inter"/>
          <w:noProof w:val="0"/>
          <w:lang w:val="cs-CZ"/>
        </w:rPr>
        <w:t xml:space="preserve">na </w:t>
      </w:r>
      <w:r w:rsidRPr="005E17F7">
        <w:rPr>
          <w:rFonts w:ascii="Inter" w:hAnsi="Inter"/>
          <w:noProof w:val="0"/>
          <w:lang w:val="cs-CZ"/>
        </w:rPr>
        <w:t>15</w:t>
      </w:r>
      <w:r w:rsidR="00E31BFD" w:rsidRPr="005E17F7">
        <w:rPr>
          <w:rFonts w:ascii="Inter" w:hAnsi="Inter"/>
          <w:noProof w:val="0"/>
          <w:lang w:val="cs-CZ"/>
        </w:rPr>
        <w:t>,</w:t>
      </w:r>
      <w:r w:rsidRPr="005E17F7">
        <w:rPr>
          <w:rFonts w:ascii="Inter" w:hAnsi="Inter"/>
          <w:noProof w:val="0"/>
          <w:lang w:val="cs-CZ"/>
        </w:rPr>
        <w:t>7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</w:p>
    <w:p w14:paraId="15FCE131" w14:textId="44625BCD" w:rsidR="00A23F87" w:rsidRPr="005E17F7" w:rsidRDefault="00715A9C" w:rsidP="00A23F87">
      <w:pPr>
        <w:pStyle w:val="Odstavecseseznamem"/>
        <w:numPr>
          <w:ilvl w:val="0"/>
          <w:numId w:val="21"/>
        </w:numPr>
        <w:shd w:val="clear" w:color="auto" w:fill="FFFFFF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 xml:space="preserve">Podíl rizikových úvěrů zůstává </w:t>
      </w:r>
      <w:r w:rsidR="007F4351" w:rsidRPr="005E17F7">
        <w:rPr>
          <w:rFonts w:ascii="Inter" w:hAnsi="Inter"/>
          <w:noProof w:val="0"/>
          <w:lang w:val="cs-CZ"/>
        </w:rPr>
        <w:t xml:space="preserve">i nadále </w:t>
      </w:r>
      <w:r w:rsidRPr="005E17F7">
        <w:rPr>
          <w:rFonts w:ascii="Inter" w:hAnsi="Inter"/>
          <w:noProof w:val="0"/>
          <w:lang w:val="cs-CZ"/>
        </w:rPr>
        <w:t xml:space="preserve">nízký </w:t>
      </w:r>
      <w:r w:rsidR="00CB09EE" w:rsidRPr="005E17F7">
        <w:rPr>
          <w:rFonts w:ascii="Inter" w:hAnsi="Inter"/>
          <w:noProof w:val="0"/>
          <w:lang w:val="cs-CZ"/>
        </w:rPr>
        <w:t>(2</w:t>
      </w:r>
      <w:r w:rsidR="00E31BFD" w:rsidRPr="005E17F7">
        <w:rPr>
          <w:rFonts w:ascii="Inter" w:hAnsi="Inter"/>
          <w:noProof w:val="0"/>
          <w:lang w:val="cs-CZ"/>
        </w:rPr>
        <w:t>,</w:t>
      </w:r>
      <w:r w:rsidR="00CB09EE" w:rsidRPr="005E17F7">
        <w:rPr>
          <w:rFonts w:ascii="Inter" w:hAnsi="Inter"/>
          <w:noProof w:val="0"/>
          <w:lang w:val="cs-CZ"/>
        </w:rPr>
        <w:t>3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  <w:r w:rsidR="00CB09EE" w:rsidRPr="005E17F7">
        <w:rPr>
          <w:rFonts w:ascii="Inter" w:hAnsi="Inter"/>
          <w:noProof w:val="0"/>
          <w:lang w:val="cs-CZ"/>
        </w:rPr>
        <w:t>)</w:t>
      </w:r>
      <w:r w:rsidRPr="005E17F7">
        <w:rPr>
          <w:rFonts w:ascii="Inter" w:hAnsi="Inter"/>
          <w:noProof w:val="0"/>
          <w:lang w:val="cs-CZ"/>
        </w:rPr>
        <w:t xml:space="preserve"> </w:t>
      </w:r>
    </w:p>
    <w:p w14:paraId="774B69C2" w14:textId="6CCE2A69" w:rsidR="00CB09EE" w:rsidRPr="005E17F7" w:rsidRDefault="003A7CB3" w:rsidP="00A23F87">
      <w:pPr>
        <w:pStyle w:val="Odstavecseseznamem"/>
        <w:numPr>
          <w:ilvl w:val="0"/>
          <w:numId w:val="21"/>
        </w:numPr>
        <w:shd w:val="clear" w:color="auto" w:fill="FFFFFF"/>
        <w:rPr>
          <w:rFonts w:ascii="Inter" w:hAnsi="Inter"/>
          <w:noProof w:val="0"/>
          <w:lang w:val="cs-CZ"/>
        </w:rPr>
      </w:pPr>
      <w:r>
        <w:rPr>
          <w:rFonts w:ascii="Inter" w:hAnsi="Inter"/>
          <w:noProof w:val="0"/>
          <w:lang w:val="cs-CZ"/>
        </w:rPr>
        <w:t xml:space="preserve">Digitální bankovnictví </w:t>
      </w:r>
      <w:r w:rsidR="008A2B11" w:rsidRPr="005E17F7">
        <w:rPr>
          <w:rFonts w:ascii="Inter" w:hAnsi="Inter"/>
          <w:noProof w:val="0"/>
          <w:lang w:val="cs-CZ"/>
        </w:rPr>
        <w:t xml:space="preserve">George </w:t>
      </w:r>
      <w:r w:rsidR="00715A9C" w:rsidRPr="005E17F7">
        <w:rPr>
          <w:rFonts w:ascii="Inter" w:hAnsi="Inter"/>
          <w:noProof w:val="0"/>
          <w:lang w:val="cs-CZ"/>
        </w:rPr>
        <w:t>dosáhl</w:t>
      </w:r>
      <w:r>
        <w:rPr>
          <w:rFonts w:ascii="Inter" w:hAnsi="Inter"/>
          <w:noProof w:val="0"/>
          <w:lang w:val="cs-CZ"/>
        </w:rPr>
        <w:t>o</w:t>
      </w:r>
      <w:r w:rsidR="00715A9C" w:rsidRPr="005E17F7">
        <w:rPr>
          <w:rFonts w:ascii="Inter" w:hAnsi="Inter"/>
          <w:noProof w:val="0"/>
          <w:lang w:val="cs-CZ"/>
        </w:rPr>
        <w:t xml:space="preserve"> 10 milionů uživatelů </w:t>
      </w:r>
    </w:p>
    <w:p w14:paraId="1DA531E1" w14:textId="71337293" w:rsidR="003476AD" w:rsidRPr="005E17F7" w:rsidRDefault="00715A9C" w:rsidP="00A23F87">
      <w:pPr>
        <w:pStyle w:val="Odstavecseseznamem"/>
        <w:numPr>
          <w:ilvl w:val="0"/>
          <w:numId w:val="21"/>
        </w:numPr>
        <w:shd w:val="clear" w:color="auto" w:fill="FFFFFF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 xml:space="preserve">Ekonomiky v regionu střední a východní Evropy se v roce </w:t>
      </w:r>
      <w:r w:rsidR="00C505B4" w:rsidRPr="005E17F7">
        <w:rPr>
          <w:rFonts w:ascii="Inter" w:hAnsi="Inter"/>
          <w:noProof w:val="0"/>
          <w:lang w:val="cs-CZ"/>
        </w:rPr>
        <w:t>2024</w:t>
      </w:r>
      <w:r w:rsidRPr="005E17F7">
        <w:rPr>
          <w:rFonts w:ascii="Inter" w:hAnsi="Inter"/>
          <w:noProof w:val="0"/>
          <w:lang w:val="cs-CZ"/>
        </w:rPr>
        <w:t xml:space="preserve"> vrátí k růstu</w:t>
      </w:r>
    </w:p>
    <w:p w14:paraId="2157C0B6" w14:textId="77777777" w:rsidR="00A23F87" w:rsidRPr="005E17F7" w:rsidRDefault="00A23F87" w:rsidP="00A23F87">
      <w:pPr>
        <w:rPr>
          <w:rFonts w:ascii="Inter" w:hAnsi="Inter"/>
          <w:noProof w:val="0"/>
          <w:lang w:val="cs-CZ"/>
        </w:rPr>
      </w:pPr>
    </w:p>
    <w:p w14:paraId="3E88CA87" w14:textId="29A554D0" w:rsidR="00A23F87" w:rsidRPr="005E17F7" w:rsidRDefault="00715A9C" w:rsidP="005B0F45">
      <w:pPr>
        <w:spacing w:line="280" w:lineRule="exact"/>
        <w:rPr>
          <w:rFonts w:ascii="Inter" w:hAnsi="Inter"/>
          <w:b/>
          <w:noProof w:val="0"/>
          <w:lang w:val="cs-CZ"/>
        </w:rPr>
      </w:pPr>
      <w:r w:rsidRPr="005E17F7">
        <w:rPr>
          <w:rFonts w:ascii="Inter" w:hAnsi="Inter"/>
          <w:b/>
          <w:noProof w:val="0"/>
          <w:lang w:val="cs-CZ"/>
        </w:rPr>
        <w:t xml:space="preserve">Díky </w:t>
      </w:r>
      <w:r w:rsidR="003A7CB3">
        <w:rPr>
          <w:rFonts w:ascii="Inter" w:hAnsi="Inter"/>
          <w:b/>
          <w:noProof w:val="0"/>
          <w:lang w:val="cs-CZ"/>
        </w:rPr>
        <w:t>dobrým</w:t>
      </w:r>
      <w:r w:rsidR="000D5CA1" w:rsidRPr="005E17F7">
        <w:rPr>
          <w:rFonts w:ascii="Inter" w:hAnsi="Inter"/>
          <w:b/>
          <w:noProof w:val="0"/>
          <w:lang w:val="cs-CZ"/>
        </w:rPr>
        <w:t xml:space="preserve"> provozním výsledkům a příznivým úrokovým sazbám zaznamenala skupina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proofErr w:type="spellStart"/>
      <w:r w:rsidR="00F60205" w:rsidRPr="005E17F7">
        <w:rPr>
          <w:rFonts w:ascii="Inter" w:hAnsi="Inter"/>
          <w:b/>
          <w:noProof w:val="0"/>
          <w:lang w:val="cs-CZ"/>
        </w:rPr>
        <w:t>Erste</w:t>
      </w:r>
      <w:proofErr w:type="spellEnd"/>
      <w:r w:rsidR="00F60205" w:rsidRPr="005E17F7">
        <w:rPr>
          <w:rFonts w:ascii="Inter" w:hAnsi="Inter"/>
          <w:b/>
          <w:noProof w:val="0"/>
          <w:lang w:val="cs-CZ"/>
        </w:rPr>
        <w:t xml:space="preserve"> Group</w:t>
      </w:r>
      <w:r w:rsidR="005E17F7" w:rsidRPr="005E17F7">
        <w:rPr>
          <w:rFonts w:ascii="Inter" w:hAnsi="Inter"/>
          <w:b/>
          <w:noProof w:val="0"/>
          <w:lang w:val="cs-CZ"/>
        </w:rPr>
        <w:t xml:space="preserve"> </w:t>
      </w:r>
      <w:r w:rsidR="00F60205" w:rsidRPr="005E17F7">
        <w:rPr>
          <w:rFonts w:ascii="Inter" w:hAnsi="Inter"/>
          <w:b/>
          <w:noProof w:val="0"/>
          <w:lang w:val="cs-CZ"/>
        </w:rPr>
        <w:t>Bank</w:t>
      </w:r>
      <w:r w:rsidR="005E17F7" w:rsidRPr="005E17F7">
        <w:rPr>
          <w:rFonts w:ascii="Inter" w:hAnsi="Inter"/>
          <w:b/>
          <w:noProof w:val="0"/>
          <w:lang w:val="cs-CZ"/>
        </w:rPr>
        <w:t> </w:t>
      </w:r>
      <w:r w:rsidR="00F60205" w:rsidRPr="005E17F7">
        <w:rPr>
          <w:rFonts w:ascii="Inter" w:hAnsi="Inter"/>
          <w:b/>
          <w:noProof w:val="0"/>
          <w:lang w:val="cs-CZ"/>
        </w:rPr>
        <w:t xml:space="preserve">AG </w:t>
      </w:r>
      <w:r w:rsidR="000D5CA1" w:rsidRPr="005E17F7">
        <w:rPr>
          <w:rFonts w:ascii="Inter" w:hAnsi="Inter"/>
          <w:b/>
          <w:noProof w:val="0"/>
          <w:lang w:val="cs-CZ"/>
        </w:rPr>
        <w:t xml:space="preserve">v roce 2023 provozní výsledek ve výši </w:t>
      </w:r>
      <w:r w:rsidR="009E1AC9" w:rsidRPr="005E17F7">
        <w:rPr>
          <w:rFonts w:ascii="Inter" w:hAnsi="Inter"/>
          <w:b/>
          <w:noProof w:val="0"/>
          <w:lang w:val="cs-CZ"/>
        </w:rPr>
        <w:t>5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9E1AC9" w:rsidRPr="005E17F7">
        <w:rPr>
          <w:rFonts w:ascii="Inter" w:hAnsi="Inter"/>
          <w:b/>
          <w:noProof w:val="0"/>
          <w:lang w:val="cs-CZ"/>
        </w:rPr>
        <w:t>5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 xml:space="preserve">miliard eur, což je </w:t>
      </w:r>
      <w:r w:rsidR="009E1AC9" w:rsidRPr="005E17F7">
        <w:rPr>
          <w:rFonts w:ascii="Inter" w:hAnsi="Inter"/>
          <w:b/>
          <w:noProof w:val="0"/>
          <w:lang w:val="cs-CZ"/>
        </w:rPr>
        <w:t>38</w:t>
      </w:r>
      <w:r w:rsidR="009B3DCD" w:rsidRPr="005E17F7">
        <w:rPr>
          <w:rFonts w:ascii="Inter" w:hAnsi="Inter"/>
          <w:b/>
          <w:noProof w:val="0"/>
          <w:lang w:val="cs-CZ"/>
        </w:rPr>
        <w:t>%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 xml:space="preserve">zvýšení v porovnání s předchozím rokem. Poměr nákladů k výnosům se zlepšil z </w:t>
      </w:r>
      <w:r w:rsidR="004B218E" w:rsidRPr="005E17F7">
        <w:rPr>
          <w:rFonts w:ascii="Inter" w:hAnsi="Inter"/>
          <w:b/>
          <w:noProof w:val="0"/>
          <w:lang w:val="cs-CZ"/>
        </w:rPr>
        <w:t>53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4B218E" w:rsidRPr="005E17F7">
        <w:rPr>
          <w:rFonts w:ascii="Inter" w:hAnsi="Inter"/>
          <w:b/>
          <w:noProof w:val="0"/>
          <w:lang w:val="cs-CZ"/>
        </w:rPr>
        <w:t>4</w:t>
      </w:r>
      <w:r w:rsidR="000D5CA1" w:rsidRPr="005E17F7">
        <w:rPr>
          <w:rFonts w:ascii="Inter" w:hAnsi="Inter"/>
          <w:b/>
          <w:noProof w:val="0"/>
          <w:lang w:val="cs-CZ"/>
        </w:rPr>
        <w:t> </w:t>
      </w:r>
      <w:r w:rsidR="009B3DCD" w:rsidRPr="005E17F7">
        <w:rPr>
          <w:rFonts w:ascii="Inter" w:hAnsi="Inter"/>
          <w:b/>
          <w:noProof w:val="0"/>
          <w:lang w:val="cs-CZ"/>
        </w:rPr>
        <w:t>%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>na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4B218E" w:rsidRPr="005E17F7">
        <w:rPr>
          <w:rFonts w:ascii="Inter" w:hAnsi="Inter"/>
          <w:b/>
          <w:noProof w:val="0"/>
          <w:lang w:val="cs-CZ"/>
        </w:rPr>
        <w:t>47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4B218E" w:rsidRPr="005E17F7">
        <w:rPr>
          <w:rFonts w:ascii="Inter" w:hAnsi="Inter"/>
          <w:b/>
          <w:noProof w:val="0"/>
          <w:lang w:val="cs-CZ"/>
        </w:rPr>
        <w:t>6</w:t>
      </w:r>
      <w:r w:rsidR="000D5CA1" w:rsidRPr="005E17F7">
        <w:rPr>
          <w:rFonts w:ascii="Inter" w:hAnsi="Inter"/>
          <w:b/>
          <w:noProof w:val="0"/>
          <w:lang w:val="cs-CZ"/>
        </w:rPr>
        <w:t> </w:t>
      </w:r>
      <w:r w:rsidR="009B3DCD" w:rsidRPr="005E17F7">
        <w:rPr>
          <w:rFonts w:ascii="Inter" w:hAnsi="Inter"/>
          <w:b/>
          <w:noProof w:val="0"/>
          <w:lang w:val="cs-CZ"/>
        </w:rPr>
        <w:t>%</w:t>
      </w:r>
      <w:r w:rsidR="00F60205" w:rsidRPr="005E17F7">
        <w:rPr>
          <w:rFonts w:ascii="Inter" w:hAnsi="Inter"/>
          <w:b/>
          <w:noProof w:val="0"/>
          <w:lang w:val="cs-CZ"/>
        </w:rPr>
        <w:t xml:space="preserve">. </w:t>
      </w:r>
      <w:r w:rsidR="000D5CA1" w:rsidRPr="005E17F7">
        <w:rPr>
          <w:rFonts w:ascii="Inter" w:hAnsi="Inter"/>
          <w:b/>
          <w:noProof w:val="0"/>
          <w:lang w:val="cs-CZ"/>
        </w:rPr>
        <w:t xml:space="preserve">Objem úvěrů meziročně stoupnul o </w:t>
      </w:r>
      <w:r w:rsidR="004B218E" w:rsidRPr="005E17F7">
        <w:rPr>
          <w:rFonts w:ascii="Inter" w:hAnsi="Inter"/>
          <w:b/>
          <w:noProof w:val="0"/>
          <w:lang w:val="cs-CZ"/>
        </w:rPr>
        <w:t>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4B218E" w:rsidRPr="005E17F7">
        <w:rPr>
          <w:rFonts w:ascii="Inter" w:hAnsi="Inter"/>
          <w:b/>
          <w:noProof w:val="0"/>
          <w:lang w:val="cs-CZ"/>
        </w:rPr>
        <w:t>8</w:t>
      </w:r>
      <w:r w:rsidR="000D5CA1" w:rsidRPr="005E17F7">
        <w:rPr>
          <w:rFonts w:ascii="Inter" w:hAnsi="Inter"/>
          <w:b/>
          <w:noProof w:val="0"/>
          <w:lang w:val="cs-CZ"/>
        </w:rPr>
        <w:t> </w:t>
      </w:r>
      <w:r w:rsidR="009B3DCD" w:rsidRPr="005E17F7">
        <w:rPr>
          <w:rFonts w:ascii="Inter" w:hAnsi="Inter"/>
          <w:b/>
          <w:noProof w:val="0"/>
          <w:lang w:val="cs-CZ"/>
        </w:rPr>
        <w:t>%</w:t>
      </w:r>
      <w:r w:rsidR="000D5CA1" w:rsidRPr="005E17F7">
        <w:rPr>
          <w:rFonts w:ascii="Inter" w:hAnsi="Inter"/>
          <w:b/>
          <w:noProof w:val="0"/>
          <w:lang w:val="cs-CZ"/>
        </w:rPr>
        <w:t xml:space="preserve">, z </w:t>
      </w:r>
      <w:r w:rsidR="004B218E" w:rsidRPr="005E17F7">
        <w:rPr>
          <w:rFonts w:ascii="Inter" w:hAnsi="Inter"/>
          <w:b/>
          <w:noProof w:val="0"/>
          <w:lang w:val="cs-CZ"/>
        </w:rPr>
        <w:t>202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4B218E" w:rsidRPr="005E17F7">
        <w:rPr>
          <w:rFonts w:ascii="Inter" w:hAnsi="Inter"/>
          <w:b/>
          <w:noProof w:val="0"/>
          <w:lang w:val="cs-CZ"/>
        </w:rPr>
        <w:t>1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 xml:space="preserve">na </w:t>
      </w:r>
      <w:r w:rsidR="00D026E4" w:rsidRPr="005E17F7">
        <w:rPr>
          <w:rFonts w:ascii="Inter" w:hAnsi="Inter"/>
          <w:b/>
          <w:noProof w:val="0"/>
          <w:lang w:val="cs-CZ"/>
        </w:rPr>
        <w:t>207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D026E4" w:rsidRPr="005E17F7">
        <w:rPr>
          <w:rFonts w:ascii="Inter" w:hAnsi="Inter"/>
          <w:b/>
          <w:noProof w:val="0"/>
          <w:lang w:val="cs-CZ"/>
        </w:rPr>
        <w:t>8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 xml:space="preserve">miliard eur, přičemž </w:t>
      </w:r>
      <w:r w:rsidR="00D026E4" w:rsidRPr="005E17F7">
        <w:rPr>
          <w:rFonts w:ascii="Inter" w:hAnsi="Inter"/>
          <w:b/>
          <w:noProof w:val="0"/>
          <w:lang w:val="cs-CZ"/>
        </w:rPr>
        <w:t>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D026E4" w:rsidRPr="005E17F7">
        <w:rPr>
          <w:rFonts w:ascii="Inter" w:hAnsi="Inter"/>
          <w:b/>
          <w:noProof w:val="0"/>
          <w:lang w:val="cs-CZ"/>
        </w:rPr>
        <w:t>95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0D5CA1" w:rsidRPr="005E17F7">
        <w:rPr>
          <w:rFonts w:ascii="Inter" w:hAnsi="Inter"/>
          <w:b/>
          <w:noProof w:val="0"/>
          <w:lang w:val="cs-CZ"/>
        </w:rPr>
        <w:t>miliard eur bylo poskytnuto v podobě udržitelných úvěrů</w:t>
      </w:r>
      <w:r w:rsidR="003A7CB3">
        <w:rPr>
          <w:rFonts w:ascii="Inter" w:hAnsi="Inter"/>
          <w:b/>
          <w:noProof w:val="0"/>
          <w:lang w:val="cs-CZ"/>
        </w:rPr>
        <w:t xml:space="preserve"> na nové projekty</w:t>
      </w:r>
      <w:r w:rsidR="000D5CA1" w:rsidRPr="005E17F7">
        <w:rPr>
          <w:rFonts w:ascii="Inter" w:hAnsi="Inter"/>
          <w:b/>
          <w:noProof w:val="0"/>
          <w:lang w:val="cs-CZ"/>
        </w:rPr>
        <w:t xml:space="preserve">. </w:t>
      </w:r>
      <w:r w:rsidR="00614FA1" w:rsidRPr="005E17F7">
        <w:rPr>
          <w:rFonts w:ascii="Inter" w:hAnsi="Inter"/>
          <w:b/>
          <w:noProof w:val="0"/>
          <w:lang w:val="cs-CZ"/>
        </w:rPr>
        <w:t>Na všech klíčových trzích rostly k</w:t>
      </w:r>
      <w:r w:rsidR="000D5CA1" w:rsidRPr="005E17F7">
        <w:rPr>
          <w:rFonts w:ascii="Inter" w:hAnsi="Inter"/>
          <w:b/>
          <w:noProof w:val="0"/>
          <w:lang w:val="cs-CZ"/>
        </w:rPr>
        <w:t>lientské vklady</w:t>
      </w:r>
      <w:r w:rsidR="00614FA1" w:rsidRPr="005E17F7">
        <w:rPr>
          <w:rFonts w:ascii="Inter" w:hAnsi="Inter"/>
          <w:b/>
          <w:noProof w:val="0"/>
          <w:lang w:val="cs-CZ"/>
        </w:rPr>
        <w:t xml:space="preserve">, zejména v Rakousku a České republice, </w:t>
      </w:r>
      <w:r w:rsidR="00B30715">
        <w:rPr>
          <w:rFonts w:ascii="Inter" w:hAnsi="Inter"/>
          <w:b/>
          <w:noProof w:val="0"/>
          <w:lang w:val="cs-CZ"/>
        </w:rPr>
        <w:t>a</w:t>
      </w:r>
      <w:r w:rsidR="00614FA1" w:rsidRPr="005E17F7">
        <w:rPr>
          <w:rFonts w:ascii="Inter" w:hAnsi="Inter"/>
          <w:b/>
          <w:noProof w:val="0"/>
          <w:lang w:val="cs-CZ"/>
        </w:rPr>
        <w:t xml:space="preserve"> dosáhly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30651B" w:rsidRPr="005E17F7">
        <w:rPr>
          <w:rFonts w:ascii="Inter" w:hAnsi="Inter"/>
          <w:b/>
          <w:noProof w:val="0"/>
          <w:lang w:val="cs-CZ"/>
        </w:rPr>
        <w:t>232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30651B" w:rsidRPr="005E17F7">
        <w:rPr>
          <w:rFonts w:ascii="Inter" w:hAnsi="Inter"/>
          <w:b/>
          <w:noProof w:val="0"/>
          <w:lang w:val="cs-CZ"/>
        </w:rPr>
        <w:t xml:space="preserve">8 </w:t>
      </w:r>
      <w:r w:rsidR="00614FA1" w:rsidRPr="005E17F7">
        <w:rPr>
          <w:rFonts w:ascii="Inter" w:hAnsi="Inter"/>
          <w:b/>
          <w:noProof w:val="0"/>
          <w:lang w:val="cs-CZ"/>
        </w:rPr>
        <w:t>miliard eur</w:t>
      </w:r>
      <w:r w:rsidR="0030651B" w:rsidRPr="005E17F7">
        <w:rPr>
          <w:rFonts w:ascii="Inter" w:hAnsi="Inter"/>
          <w:b/>
          <w:noProof w:val="0"/>
          <w:lang w:val="cs-CZ"/>
        </w:rPr>
        <w:t xml:space="preserve"> </w:t>
      </w:r>
      <w:r w:rsidR="00F60205" w:rsidRPr="005E17F7">
        <w:rPr>
          <w:rFonts w:ascii="Inter" w:hAnsi="Inter"/>
          <w:b/>
          <w:noProof w:val="0"/>
          <w:lang w:val="cs-CZ"/>
        </w:rPr>
        <w:t>(+</w:t>
      </w:r>
      <w:r w:rsidR="0065235A" w:rsidRPr="005E17F7">
        <w:rPr>
          <w:rFonts w:ascii="Inter" w:hAnsi="Inter"/>
          <w:b/>
          <w:noProof w:val="0"/>
          <w:lang w:val="cs-CZ"/>
        </w:rPr>
        <w:t>3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65235A" w:rsidRPr="005E17F7">
        <w:rPr>
          <w:rFonts w:ascii="Inter" w:hAnsi="Inter"/>
          <w:b/>
          <w:noProof w:val="0"/>
          <w:lang w:val="cs-CZ"/>
        </w:rPr>
        <w:t>9</w:t>
      </w:r>
      <w:r w:rsidR="009B3DCD" w:rsidRPr="005E17F7">
        <w:rPr>
          <w:rFonts w:ascii="Inter" w:hAnsi="Inter"/>
          <w:b/>
          <w:noProof w:val="0"/>
          <w:lang w:val="cs-CZ"/>
        </w:rPr>
        <w:t xml:space="preserve"> %</w:t>
      </w:r>
      <w:r w:rsidR="00F60205" w:rsidRPr="005E17F7">
        <w:rPr>
          <w:rFonts w:ascii="Inter" w:hAnsi="Inter"/>
          <w:b/>
          <w:noProof w:val="0"/>
          <w:lang w:val="cs-CZ"/>
        </w:rPr>
        <w:t xml:space="preserve">). </w:t>
      </w:r>
      <w:r w:rsidR="00614FA1" w:rsidRPr="005E17F7">
        <w:rPr>
          <w:rFonts w:ascii="Inter" w:hAnsi="Inter"/>
          <w:b/>
          <w:noProof w:val="0"/>
          <w:lang w:val="cs-CZ"/>
        </w:rPr>
        <w:t xml:space="preserve">George využívá napříč skupinou Erste Group kolem 10 milionů zákazníků a </w:t>
      </w:r>
      <w:r w:rsidR="00FE1C22" w:rsidRPr="005E17F7">
        <w:rPr>
          <w:rFonts w:ascii="Inter" w:hAnsi="Inter"/>
          <w:b/>
          <w:noProof w:val="0"/>
          <w:lang w:val="cs-CZ"/>
        </w:rPr>
        <w:t>každý</w:t>
      </w:r>
      <w:r w:rsidR="00614FA1" w:rsidRPr="005E17F7">
        <w:rPr>
          <w:rFonts w:ascii="Inter" w:hAnsi="Inter"/>
          <w:b/>
          <w:noProof w:val="0"/>
          <w:lang w:val="cs-CZ"/>
        </w:rPr>
        <w:t xml:space="preserve"> druhý produkt se v retailovém sektoru prodal digitální cestou. Čistý zisk za rok 2023 činil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5B0F45" w:rsidRPr="005E17F7">
        <w:rPr>
          <w:rFonts w:ascii="Inter" w:hAnsi="Inter"/>
          <w:b/>
          <w:noProof w:val="0"/>
          <w:lang w:val="cs-CZ"/>
        </w:rPr>
        <w:t>2</w:t>
      </w:r>
      <w:r w:rsidR="00614FA1" w:rsidRPr="005E17F7">
        <w:rPr>
          <w:rFonts w:ascii="Inter" w:hAnsi="Inter"/>
          <w:b/>
          <w:noProof w:val="0"/>
          <w:lang w:val="cs-CZ"/>
        </w:rPr>
        <w:t>.</w:t>
      </w:r>
      <w:r w:rsidR="005B0F45" w:rsidRPr="005E17F7">
        <w:rPr>
          <w:rFonts w:ascii="Inter" w:hAnsi="Inter"/>
          <w:b/>
          <w:noProof w:val="0"/>
          <w:lang w:val="cs-CZ"/>
        </w:rPr>
        <w:t>99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614FA1" w:rsidRPr="005E17F7">
        <w:rPr>
          <w:rFonts w:ascii="Inter" w:hAnsi="Inter"/>
          <w:b/>
          <w:noProof w:val="0"/>
          <w:lang w:val="cs-CZ"/>
        </w:rPr>
        <w:t xml:space="preserve">miliardy eur </w:t>
      </w:r>
      <w:r w:rsidR="00F60205" w:rsidRPr="005E17F7">
        <w:rPr>
          <w:rFonts w:ascii="Inter" w:hAnsi="Inter"/>
          <w:b/>
          <w:noProof w:val="0"/>
          <w:lang w:val="cs-CZ"/>
        </w:rPr>
        <w:t xml:space="preserve">(2022: </w:t>
      </w:r>
      <w:r w:rsidR="005B0F45" w:rsidRPr="005E17F7">
        <w:rPr>
          <w:rFonts w:ascii="Inter" w:hAnsi="Inter"/>
          <w:b/>
          <w:noProof w:val="0"/>
          <w:lang w:val="cs-CZ"/>
        </w:rPr>
        <w:t>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5B0F45" w:rsidRPr="005E17F7">
        <w:rPr>
          <w:rFonts w:ascii="Inter" w:hAnsi="Inter"/>
          <w:b/>
          <w:noProof w:val="0"/>
          <w:lang w:val="cs-CZ"/>
        </w:rPr>
        <w:t>17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614FA1" w:rsidRPr="005E17F7">
        <w:rPr>
          <w:rFonts w:ascii="Inter" w:hAnsi="Inter"/>
          <w:b/>
          <w:noProof w:val="0"/>
          <w:lang w:val="cs-CZ"/>
        </w:rPr>
        <w:t>miliardy eur</w:t>
      </w:r>
      <w:r w:rsidR="00F60205" w:rsidRPr="005E17F7">
        <w:rPr>
          <w:rFonts w:ascii="Inter" w:hAnsi="Inter"/>
          <w:b/>
          <w:noProof w:val="0"/>
          <w:lang w:val="cs-CZ"/>
        </w:rPr>
        <w:t xml:space="preserve">). </w:t>
      </w:r>
      <w:r w:rsidR="00614FA1" w:rsidRPr="005E17F7">
        <w:rPr>
          <w:rFonts w:ascii="Inter" w:hAnsi="Inter"/>
          <w:b/>
          <w:noProof w:val="0"/>
          <w:lang w:val="cs-CZ"/>
        </w:rPr>
        <w:t xml:space="preserve">Na květnové výroční valné hromadě představenstvo </w:t>
      </w:r>
      <w:r w:rsidR="005B0F45" w:rsidRPr="005E17F7">
        <w:rPr>
          <w:rFonts w:ascii="Inter" w:hAnsi="Inter"/>
          <w:b/>
          <w:noProof w:val="0"/>
          <w:lang w:val="cs-CZ"/>
        </w:rPr>
        <w:t>Erste Group</w:t>
      </w:r>
      <w:r w:rsidR="00F60205" w:rsidRPr="005E17F7">
        <w:rPr>
          <w:rFonts w:ascii="Inter" w:hAnsi="Inter"/>
          <w:b/>
          <w:noProof w:val="0"/>
          <w:lang w:val="cs-CZ"/>
        </w:rPr>
        <w:t xml:space="preserve"> </w:t>
      </w:r>
      <w:r w:rsidR="00614FA1" w:rsidRPr="005E17F7">
        <w:rPr>
          <w:rFonts w:ascii="Inter" w:hAnsi="Inter"/>
          <w:b/>
          <w:noProof w:val="0"/>
          <w:lang w:val="cs-CZ"/>
        </w:rPr>
        <w:t xml:space="preserve">navrhne dividendu za finanční rok 2023 ve výši </w:t>
      </w:r>
      <w:r w:rsidR="005B0F45" w:rsidRPr="005E17F7">
        <w:rPr>
          <w:rFonts w:ascii="Inter" w:hAnsi="Inter"/>
          <w:b/>
          <w:noProof w:val="0"/>
          <w:lang w:val="cs-CZ"/>
        </w:rPr>
        <w:t>2</w:t>
      </w:r>
      <w:r w:rsidR="00E31BFD" w:rsidRPr="005E17F7">
        <w:rPr>
          <w:rFonts w:ascii="Inter" w:hAnsi="Inter"/>
          <w:b/>
          <w:noProof w:val="0"/>
          <w:lang w:val="cs-CZ"/>
        </w:rPr>
        <w:t>,</w:t>
      </w:r>
      <w:r w:rsidR="005B0F45" w:rsidRPr="005E17F7">
        <w:rPr>
          <w:rFonts w:ascii="Inter" w:hAnsi="Inter"/>
          <w:b/>
          <w:noProof w:val="0"/>
          <w:lang w:val="cs-CZ"/>
        </w:rPr>
        <w:t>70</w:t>
      </w:r>
      <w:r w:rsidR="00F60205" w:rsidRPr="005E17F7">
        <w:rPr>
          <w:rFonts w:ascii="Inter" w:hAnsi="Inter"/>
          <w:b/>
          <w:noProof w:val="0"/>
          <w:lang w:val="cs-CZ"/>
        </w:rPr>
        <w:t xml:space="preserve"> eu</w:t>
      </w:r>
      <w:r w:rsidR="00614FA1" w:rsidRPr="005E17F7">
        <w:rPr>
          <w:rFonts w:ascii="Inter" w:hAnsi="Inter"/>
          <w:b/>
          <w:noProof w:val="0"/>
          <w:lang w:val="cs-CZ"/>
        </w:rPr>
        <w:t>r na akcii</w:t>
      </w:r>
      <w:r w:rsidR="00F60205" w:rsidRPr="005E17F7">
        <w:rPr>
          <w:rFonts w:ascii="Inter" w:hAnsi="Inter"/>
          <w:b/>
          <w:noProof w:val="0"/>
          <w:lang w:val="cs-CZ"/>
        </w:rPr>
        <w:t>.</w:t>
      </w:r>
    </w:p>
    <w:p w14:paraId="1C5F188E" w14:textId="77777777" w:rsidR="00F60205" w:rsidRPr="005E17F7" w:rsidRDefault="00F60205" w:rsidP="00A23F87">
      <w:pPr>
        <w:spacing w:line="280" w:lineRule="exact"/>
        <w:rPr>
          <w:rFonts w:ascii="Inter" w:hAnsi="Inter"/>
          <w:bCs/>
          <w:noProof w:val="0"/>
          <w:lang w:val="cs-CZ"/>
        </w:rPr>
      </w:pPr>
    </w:p>
    <w:p w14:paraId="6A5D7FDF" w14:textId="39025BE7" w:rsidR="00F60205" w:rsidRPr="005E17F7" w:rsidRDefault="005509D1" w:rsidP="00A23F87">
      <w:pPr>
        <w:spacing w:line="280" w:lineRule="exact"/>
        <w:rPr>
          <w:rFonts w:ascii="Inter" w:hAnsi="Inter"/>
          <w:bCs/>
          <w:noProof w:val="0"/>
          <w:lang w:val="cs-CZ"/>
        </w:rPr>
      </w:pPr>
      <w:r w:rsidRPr="005E17F7">
        <w:rPr>
          <w:rFonts w:ascii="Inter" w:hAnsi="Inter"/>
          <w:bCs/>
          <w:noProof w:val="0"/>
          <w:lang w:val="cs-CZ"/>
        </w:rPr>
        <w:t xml:space="preserve">„Dvacet let poté, co se EU poprvé rozšířila </w:t>
      </w:r>
      <w:r w:rsidR="00922478">
        <w:rPr>
          <w:rFonts w:ascii="Inter" w:hAnsi="Inter"/>
          <w:bCs/>
          <w:noProof w:val="0"/>
          <w:lang w:val="cs-CZ"/>
        </w:rPr>
        <w:t>o země</w:t>
      </w:r>
      <w:r w:rsidRPr="005E17F7">
        <w:rPr>
          <w:rFonts w:ascii="Inter" w:hAnsi="Inter"/>
          <w:bCs/>
          <w:noProof w:val="0"/>
          <w:lang w:val="cs-CZ"/>
        </w:rPr>
        <w:t xml:space="preserve"> střední a východní Evropy, je </w:t>
      </w:r>
      <w:r w:rsidR="00B30715">
        <w:rPr>
          <w:rFonts w:ascii="Inter" w:hAnsi="Inter"/>
          <w:bCs/>
          <w:noProof w:val="0"/>
          <w:lang w:val="cs-CZ"/>
        </w:rPr>
        <w:t>zřejmé</w:t>
      </w:r>
      <w:r w:rsidRPr="005E17F7">
        <w:rPr>
          <w:rFonts w:ascii="Inter" w:hAnsi="Inter"/>
          <w:bCs/>
          <w:noProof w:val="0"/>
          <w:lang w:val="cs-CZ"/>
        </w:rPr>
        <w:t xml:space="preserve">, že skutečný příběh úspěchu se psal a píše právě v tomto regionu. Střední a východní Evropa však také čelí významným problémům, </w:t>
      </w:r>
      <w:r w:rsidR="00B113B9" w:rsidRPr="005E17F7">
        <w:rPr>
          <w:rFonts w:ascii="Inter" w:hAnsi="Inter"/>
          <w:bCs/>
          <w:noProof w:val="0"/>
          <w:lang w:val="cs-CZ"/>
        </w:rPr>
        <w:t>které</w:t>
      </w:r>
      <w:r w:rsidRPr="005E17F7">
        <w:rPr>
          <w:rFonts w:ascii="Inter" w:hAnsi="Inter"/>
          <w:bCs/>
          <w:noProof w:val="0"/>
          <w:lang w:val="cs-CZ"/>
        </w:rPr>
        <w:t xml:space="preserve"> je nutno překonat. Zelená transformace a postupující digitalizace – to vše bude vyžadovat investice, </w:t>
      </w:r>
      <w:r w:rsidR="00922478">
        <w:rPr>
          <w:rFonts w:ascii="Inter" w:hAnsi="Inter"/>
          <w:bCs/>
          <w:noProof w:val="0"/>
          <w:lang w:val="cs-CZ"/>
        </w:rPr>
        <w:t>které jsme připraveni podporovat</w:t>
      </w:r>
      <w:r w:rsidRPr="005E17F7">
        <w:rPr>
          <w:rFonts w:ascii="Inter" w:hAnsi="Inter"/>
          <w:bCs/>
          <w:noProof w:val="0"/>
          <w:lang w:val="cs-CZ"/>
        </w:rPr>
        <w:t>. Jedn</w:t>
      </w:r>
      <w:r w:rsidR="00922478">
        <w:rPr>
          <w:rFonts w:ascii="Inter" w:hAnsi="Inter"/>
          <w:bCs/>
          <w:noProof w:val="0"/>
          <w:lang w:val="cs-CZ"/>
        </w:rPr>
        <w:t>ím</w:t>
      </w:r>
      <w:r w:rsidRPr="005E17F7">
        <w:rPr>
          <w:rFonts w:ascii="Inter" w:hAnsi="Inter"/>
          <w:bCs/>
          <w:noProof w:val="0"/>
          <w:lang w:val="cs-CZ"/>
        </w:rPr>
        <w:t xml:space="preserve"> z velmi vítaných </w:t>
      </w:r>
      <w:r w:rsidR="00922478">
        <w:rPr>
          <w:rFonts w:ascii="Inter" w:hAnsi="Inter"/>
          <w:bCs/>
          <w:noProof w:val="0"/>
          <w:lang w:val="cs-CZ"/>
        </w:rPr>
        <w:t>poznatků ohledně aktuálního vývoje</w:t>
      </w:r>
      <w:r w:rsidR="00B113B9" w:rsidRPr="005E17F7">
        <w:rPr>
          <w:rFonts w:ascii="Inter" w:hAnsi="Inter"/>
          <w:bCs/>
          <w:noProof w:val="0"/>
          <w:lang w:val="cs-CZ"/>
        </w:rPr>
        <w:t xml:space="preserve"> je skutečnost, že se střední a východní Evropa vrací ke své roli motoru růstu Evropy,“ říká generální ředitel </w:t>
      </w:r>
      <w:proofErr w:type="spellStart"/>
      <w:r w:rsidR="00B113B9" w:rsidRPr="005E17F7">
        <w:rPr>
          <w:rFonts w:ascii="Inter" w:hAnsi="Inter"/>
          <w:bCs/>
          <w:noProof w:val="0"/>
          <w:lang w:val="cs-CZ"/>
        </w:rPr>
        <w:t>Erste</w:t>
      </w:r>
      <w:proofErr w:type="spellEnd"/>
      <w:r w:rsidR="00B113B9" w:rsidRPr="005E17F7">
        <w:rPr>
          <w:rFonts w:ascii="Inter" w:hAnsi="Inter"/>
          <w:bCs/>
          <w:noProof w:val="0"/>
          <w:lang w:val="cs-CZ"/>
        </w:rPr>
        <w:t xml:space="preserve"> Group</w:t>
      </w:r>
      <w:r w:rsidR="004073BB" w:rsidRPr="005E17F7">
        <w:rPr>
          <w:rFonts w:ascii="Inter" w:hAnsi="Inter"/>
          <w:bCs/>
          <w:noProof w:val="0"/>
          <w:lang w:val="cs-CZ"/>
        </w:rPr>
        <w:t xml:space="preserve"> </w:t>
      </w:r>
      <w:r w:rsidR="0026085F" w:rsidRPr="005E17F7">
        <w:rPr>
          <w:rFonts w:ascii="Inter" w:hAnsi="Inter"/>
          <w:bCs/>
          <w:noProof w:val="0"/>
          <w:lang w:val="cs-CZ"/>
        </w:rPr>
        <w:t xml:space="preserve">Willi </w:t>
      </w:r>
      <w:proofErr w:type="spellStart"/>
      <w:r w:rsidR="0026085F" w:rsidRPr="005E17F7">
        <w:rPr>
          <w:rFonts w:ascii="Inter" w:hAnsi="Inter"/>
          <w:bCs/>
          <w:noProof w:val="0"/>
          <w:lang w:val="cs-CZ"/>
        </w:rPr>
        <w:t>Cernko</w:t>
      </w:r>
      <w:proofErr w:type="spellEnd"/>
      <w:r w:rsidR="004073BB" w:rsidRPr="005E17F7">
        <w:rPr>
          <w:rFonts w:ascii="Inter" w:hAnsi="Inter"/>
          <w:bCs/>
          <w:noProof w:val="0"/>
          <w:lang w:val="cs-CZ"/>
        </w:rPr>
        <w:t>.</w:t>
      </w:r>
    </w:p>
    <w:p w14:paraId="253CDC7D" w14:textId="77777777" w:rsidR="00F60205" w:rsidRPr="005E17F7" w:rsidRDefault="00F60205" w:rsidP="00A23F87">
      <w:pPr>
        <w:spacing w:line="280" w:lineRule="exact"/>
        <w:rPr>
          <w:rFonts w:ascii="Inter" w:hAnsi="Inter"/>
          <w:bCs/>
          <w:noProof w:val="0"/>
          <w:lang w:val="cs-CZ"/>
        </w:rPr>
      </w:pPr>
    </w:p>
    <w:p w14:paraId="5E943899" w14:textId="38F40737" w:rsidR="00C87E69" w:rsidRPr="005E17F7" w:rsidRDefault="00B453E2" w:rsidP="00C87E69">
      <w:pPr>
        <w:spacing w:line="280" w:lineRule="exact"/>
        <w:rPr>
          <w:rFonts w:ascii="Inter" w:hAnsi="Inter"/>
          <w:bCs/>
          <w:noProof w:val="0"/>
          <w:lang w:val="cs-CZ"/>
        </w:rPr>
      </w:pPr>
      <w:r w:rsidRPr="005E17F7">
        <w:rPr>
          <w:rFonts w:ascii="Inter" w:hAnsi="Inter"/>
          <w:bCs/>
          <w:noProof w:val="0"/>
          <w:lang w:val="cs-CZ"/>
        </w:rPr>
        <w:t>„Rok 2</w:t>
      </w:r>
      <w:r w:rsidR="00C87E69" w:rsidRPr="005E17F7">
        <w:rPr>
          <w:rFonts w:ascii="Inter" w:hAnsi="Inter"/>
          <w:bCs/>
          <w:noProof w:val="0"/>
          <w:lang w:val="cs-CZ"/>
        </w:rPr>
        <w:t xml:space="preserve">023 </w:t>
      </w:r>
      <w:r w:rsidRPr="005E17F7">
        <w:rPr>
          <w:rFonts w:ascii="Inter" w:hAnsi="Inter"/>
          <w:bCs/>
          <w:noProof w:val="0"/>
          <w:lang w:val="cs-CZ"/>
        </w:rPr>
        <w:t xml:space="preserve">byl pro naši bankovní skupinu silným rokem. I přes makroekonomické zpomalení jsme dosáhli vynikajícího výsledku díky růstu v objemu úvěrů a příznivému </w:t>
      </w:r>
      <w:r w:rsidR="00922478">
        <w:rPr>
          <w:rFonts w:ascii="Inter" w:hAnsi="Inter"/>
          <w:bCs/>
          <w:noProof w:val="0"/>
          <w:lang w:val="cs-CZ"/>
        </w:rPr>
        <w:t>vývoji v</w:t>
      </w:r>
      <w:r w:rsidRPr="005E17F7">
        <w:rPr>
          <w:rFonts w:ascii="Inter" w:hAnsi="Inter"/>
          <w:bCs/>
          <w:noProof w:val="0"/>
          <w:lang w:val="cs-CZ"/>
        </w:rPr>
        <w:t xml:space="preserve"> oblasti úrokových sazeb </w:t>
      </w:r>
      <w:r w:rsidR="00922478">
        <w:rPr>
          <w:rFonts w:ascii="Inter" w:hAnsi="Inter"/>
          <w:bCs/>
          <w:noProof w:val="0"/>
          <w:lang w:val="cs-CZ"/>
        </w:rPr>
        <w:t>i</w:t>
      </w:r>
      <w:r w:rsidRPr="005E17F7">
        <w:rPr>
          <w:rFonts w:ascii="Inter" w:hAnsi="Inter"/>
          <w:bCs/>
          <w:noProof w:val="0"/>
          <w:lang w:val="cs-CZ"/>
        </w:rPr>
        <w:t xml:space="preserve"> rizik</w:t>
      </w:r>
      <w:r w:rsidR="00922478">
        <w:rPr>
          <w:rFonts w:ascii="Inter" w:hAnsi="Inter"/>
          <w:bCs/>
          <w:noProof w:val="0"/>
          <w:lang w:val="cs-CZ"/>
        </w:rPr>
        <w:t>. Přesto</w:t>
      </w:r>
      <w:r w:rsidRPr="005E17F7">
        <w:rPr>
          <w:rFonts w:ascii="Inter" w:hAnsi="Inter"/>
          <w:bCs/>
          <w:noProof w:val="0"/>
          <w:lang w:val="cs-CZ"/>
        </w:rPr>
        <w:t>že se úrokové podmínky v průběhu tohoto roku pravděpodobně změní</w:t>
      </w:r>
      <w:r w:rsidR="00E555AF">
        <w:rPr>
          <w:rFonts w:ascii="Inter" w:hAnsi="Inter"/>
          <w:bCs/>
          <w:noProof w:val="0"/>
          <w:lang w:val="cs-CZ"/>
        </w:rPr>
        <w:t>, v</w:t>
      </w:r>
      <w:r w:rsidRPr="005E17F7">
        <w:rPr>
          <w:rFonts w:ascii="Inter" w:hAnsi="Inter"/>
          <w:bCs/>
          <w:noProof w:val="0"/>
          <w:lang w:val="cs-CZ"/>
        </w:rPr>
        <w:t xml:space="preserve">ytvořili jsme si pozici k tomu, abychom financovali pokračující vzestup v našem regionu,“ uvedl </w:t>
      </w:r>
      <w:r w:rsidR="00065B5C">
        <w:rPr>
          <w:rFonts w:ascii="Inter" w:hAnsi="Inter"/>
          <w:bCs/>
          <w:noProof w:val="0"/>
          <w:lang w:val="cs-CZ"/>
        </w:rPr>
        <w:t xml:space="preserve">k </w:t>
      </w:r>
      <w:r w:rsidRPr="005E17F7">
        <w:rPr>
          <w:rFonts w:ascii="Inter" w:hAnsi="Inter"/>
          <w:bCs/>
          <w:noProof w:val="0"/>
          <w:lang w:val="cs-CZ"/>
        </w:rPr>
        <w:t xml:space="preserve">výsledkům za finanční rok 2023 finanční ředitel </w:t>
      </w:r>
      <w:r w:rsidR="002D5960">
        <w:rPr>
          <w:rFonts w:ascii="Inter" w:hAnsi="Inter"/>
          <w:bCs/>
          <w:noProof w:val="0"/>
          <w:lang w:val="cs-CZ"/>
        </w:rPr>
        <w:t xml:space="preserve">skupiny </w:t>
      </w:r>
      <w:proofErr w:type="spellStart"/>
      <w:r w:rsidRPr="005E17F7">
        <w:rPr>
          <w:rFonts w:ascii="Inter" w:hAnsi="Inter"/>
          <w:bCs/>
          <w:noProof w:val="0"/>
          <w:lang w:val="cs-CZ"/>
        </w:rPr>
        <w:t>Erste</w:t>
      </w:r>
      <w:proofErr w:type="spellEnd"/>
      <w:r w:rsidRPr="005E17F7">
        <w:rPr>
          <w:rFonts w:ascii="Inter" w:hAnsi="Inter"/>
          <w:bCs/>
          <w:noProof w:val="0"/>
          <w:lang w:val="cs-CZ"/>
        </w:rPr>
        <w:t xml:space="preserve"> Group </w:t>
      </w:r>
      <w:r w:rsidR="0026085F" w:rsidRPr="005E17F7">
        <w:rPr>
          <w:rFonts w:ascii="Inter" w:hAnsi="Inter"/>
          <w:bCs/>
          <w:noProof w:val="0"/>
          <w:lang w:val="cs-CZ"/>
        </w:rPr>
        <w:t xml:space="preserve">Stefan </w:t>
      </w:r>
      <w:proofErr w:type="spellStart"/>
      <w:r w:rsidR="0026085F" w:rsidRPr="005E17F7">
        <w:rPr>
          <w:rFonts w:ascii="Inter" w:hAnsi="Inter"/>
          <w:bCs/>
          <w:noProof w:val="0"/>
          <w:lang w:val="cs-CZ"/>
        </w:rPr>
        <w:t>Dörfler</w:t>
      </w:r>
      <w:proofErr w:type="spellEnd"/>
      <w:r w:rsidR="00C87E69" w:rsidRPr="005E17F7">
        <w:rPr>
          <w:rFonts w:ascii="Inter" w:hAnsi="Inter"/>
          <w:bCs/>
          <w:noProof w:val="0"/>
          <w:lang w:val="cs-CZ"/>
        </w:rPr>
        <w:t>.</w:t>
      </w:r>
    </w:p>
    <w:p w14:paraId="20CE70AA" w14:textId="72FEF98F" w:rsidR="00711D5D" w:rsidRPr="005E17F7" w:rsidRDefault="00711D5D" w:rsidP="00A23F87">
      <w:pPr>
        <w:rPr>
          <w:rFonts w:ascii="Inter" w:hAnsi="Inter"/>
          <w:noProof w:val="0"/>
          <w:color w:val="FFFFFF" w:themeColor="background1"/>
          <w:lang w:val="cs-CZ"/>
        </w:rPr>
      </w:pPr>
    </w:p>
    <w:p w14:paraId="2AC4F882" w14:textId="7DB889EC" w:rsidR="004D4CBC" w:rsidRPr="005E17F7" w:rsidRDefault="004D4CBC">
      <w:pPr>
        <w:spacing w:line="240" w:lineRule="auto"/>
        <w:rPr>
          <w:rFonts w:ascii="Inter" w:hAnsi="Inter"/>
          <w:noProof w:val="0"/>
          <w:color w:val="FFFFFF" w:themeColor="background1"/>
          <w:lang w:val="cs-CZ"/>
        </w:rPr>
      </w:pPr>
      <w:r w:rsidRPr="005E17F7">
        <w:rPr>
          <w:rFonts w:ascii="Inter" w:hAnsi="Inter"/>
          <w:noProof w:val="0"/>
          <w:color w:val="FFFFFF" w:themeColor="background1"/>
          <w:lang w:val="cs-CZ"/>
        </w:rPr>
        <w:br w:type="page"/>
      </w:r>
    </w:p>
    <w:p w14:paraId="2B901D18" w14:textId="77777777" w:rsidR="00711D5D" w:rsidRPr="005E17F7" w:rsidRDefault="00711D5D" w:rsidP="00A23F87">
      <w:pPr>
        <w:rPr>
          <w:rFonts w:ascii="Inter" w:hAnsi="Inter"/>
          <w:noProof w:val="0"/>
          <w:color w:val="FFFFFF" w:themeColor="background1"/>
          <w:lang w:val="cs-CZ"/>
        </w:rPr>
      </w:pPr>
    </w:p>
    <w:p w14:paraId="7798641C" w14:textId="1914C812" w:rsidR="000D5E73" w:rsidRPr="005E17F7" w:rsidRDefault="00702B23" w:rsidP="000D5E73">
      <w:pPr>
        <w:pStyle w:val="Bezmezer"/>
        <w:spacing w:line="280" w:lineRule="exact"/>
        <w:rPr>
          <w:rFonts w:ascii="Inter" w:hAnsi="Inter"/>
          <w:color w:val="0070C0"/>
          <w:sz w:val="16"/>
          <w:szCs w:val="16"/>
          <w:lang w:val="cs-CZ"/>
        </w:rPr>
      </w:pPr>
      <w:r w:rsidRPr="005E17F7">
        <w:rPr>
          <w:rFonts w:ascii="Inter" w:hAnsi="Inter"/>
          <w:color w:val="0070C0"/>
          <w:sz w:val="16"/>
          <w:szCs w:val="16"/>
          <w:lang w:val="cs-CZ"/>
        </w:rPr>
        <w:t>Finanční výsledky za rok 2023 jsou porovnávány s výsledky za rok 2022, rozvahová pozice ke 31. prosinci 2023 je porovnávána s </w:t>
      </w:r>
      <w:r w:rsidR="002C4E00" w:rsidRPr="005E17F7">
        <w:rPr>
          <w:rFonts w:ascii="Inter" w:hAnsi="Inter"/>
          <w:color w:val="0070C0"/>
          <w:sz w:val="16"/>
          <w:szCs w:val="16"/>
          <w:lang w:val="cs-CZ"/>
        </w:rPr>
        <w:t>pozicí</w:t>
      </w:r>
      <w:r w:rsidRPr="005E17F7">
        <w:rPr>
          <w:rFonts w:ascii="Inter" w:hAnsi="Inter"/>
          <w:color w:val="0070C0"/>
          <w:sz w:val="16"/>
          <w:szCs w:val="16"/>
          <w:lang w:val="cs-CZ"/>
        </w:rPr>
        <w:t xml:space="preserve"> ke 31. prosinci 202</w:t>
      </w:r>
      <w:r w:rsidR="000D5E73" w:rsidRPr="005E17F7">
        <w:rPr>
          <w:rFonts w:ascii="Inter" w:hAnsi="Inter"/>
          <w:color w:val="0070C0"/>
          <w:sz w:val="16"/>
          <w:szCs w:val="16"/>
          <w:lang w:val="cs-CZ"/>
        </w:rPr>
        <w:t>2</w:t>
      </w:r>
    </w:p>
    <w:p w14:paraId="46DBC16E" w14:textId="77777777" w:rsidR="000D5E73" w:rsidRPr="005E17F7" w:rsidRDefault="000D5E73" w:rsidP="00C71EFA">
      <w:pPr>
        <w:rPr>
          <w:rFonts w:ascii="Inter" w:hAnsi="Inter"/>
          <w:noProof w:val="0"/>
          <w:lang w:val="cs-CZ"/>
        </w:rPr>
      </w:pPr>
    </w:p>
    <w:p w14:paraId="1443F780" w14:textId="31051CCD" w:rsidR="00A23F87" w:rsidRPr="006D656A" w:rsidRDefault="006D656A" w:rsidP="00A23F87">
      <w:pPr>
        <w:pStyle w:val="Nadpis4"/>
        <w:rPr>
          <w:rFonts w:ascii="Inter" w:hAnsi="Inter"/>
          <w:color w:val="auto"/>
          <w:highlight w:val="yellow"/>
          <w:lang w:val="en-US"/>
        </w:rPr>
      </w:pPr>
      <w:r w:rsidRPr="006D656A">
        <w:rPr>
          <w:rFonts w:ascii="Inter" w:hAnsi="Inter"/>
          <w:color w:val="auto"/>
          <w:lang w:val="en-US"/>
        </w:rPr>
        <w:t>Růst zisku díky většímu objemu úvěrů a příznivým tržním úrokovým sazbám</w:t>
      </w:r>
    </w:p>
    <w:p w14:paraId="1D4A2402" w14:textId="60F40546" w:rsidR="002C4E00" w:rsidRPr="008A500E" w:rsidRDefault="002C4E00" w:rsidP="00103BDF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5E17F7">
        <w:rPr>
          <w:rFonts w:ascii="Inter" w:hAnsi="Inter" w:cs="Arial"/>
          <w:b/>
          <w:bCs/>
          <w:sz w:val="20"/>
          <w:szCs w:val="20"/>
          <w:lang w:val="cs-CZ"/>
        </w:rPr>
        <w:t>Čistý úrokový výnos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 podstatně vzrostl, a to na 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7,228 </w:t>
      </w:r>
      <w:r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 (+21</w:t>
      </w:r>
      <w:r w:rsidR="00E31BFD" w:rsidRPr="005E17F7">
        <w:rPr>
          <w:rFonts w:ascii="Inter" w:hAnsi="Inter" w:cs="Arial"/>
          <w:sz w:val="20"/>
          <w:szCs w:val="20"/>
          <w:lang w:val="cs-CZ"/>
        </w:rPr>
        <w:t>,</w:t>
      </w:r>
      <w:r w:rsidR="000752C5" w:rsidRPr="005E17F7">
        <w:rPr>
          <w:rFonts w:ascii="Inter" w:hAnsi="Inter" w:cs="Arial"/>
          <w:sz w:val="20"/>
          <w:szCs w:val="20"/>
          <w:lang w:val="cs-CZ"/>
        </w:rPr>
        <w:t>5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; 5,951 </w:t>
      </w:r>
      <w:r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),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nejsilněji v Rakousku, </w:t>
      </w:r>
      <w:r w:rsidR="008A500E">
        <w:rPr>
          <w:rFonts w:ascii="Inter" w:hAnsi="Inter" w:cs="Arial"/>
          <w:sz w:val="20"/>
          <w:szCs w:val="20"/>
          <w:lang w:val="cs-CZ"/>
        </w:rPr>
        <w:t xml:space="preserve">a to </w:t>
      </w:r>
      <w:r w:rsidRPr="005E17F7">
        <w:rPr>
          <w:rFonts w:ascii="Inter" w:hAnsi="Inter" w:cs="Arial"/>
          <w:sz w:val="20"/>
          <w:szCs w:val="20"/>
          <w:lang w:val="cs-CZ"/>
        </w:rPr>
        <w:t>v důsledku vyšších úrokových sazeb na trhu a většího objemu úvěrů.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 </w:t>
      </w:r>
      <w:r w:rsidRPr="005E17F7">
        <w:rPr>
          <w:rFonts w:ascii="Inter" w:hAnsi="Inter" w:cs="Arial"/>
          <w:b/>
          <w:bCs/>
          <w:sz w:val="20"/>
          <w:szCs w:val="20"/>
          <w:lang w:val="cs-CZ"/>
        </w:rPr>
        <w:t>Čistý výnos z poplatků a provizí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 vzrostl na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 2,640 </w:t>
      </w:r>
      <w:r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 (+7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0752C5" w:rsidRPr="005E17F7">
        <w:rPr>
          <w:rFonts w:ascii="Inter" w:hAnsi="Inter" w:cs="Arial"/>
          <w:sz w:val="20"/>
          <w:szCs w:val="20"/>
          <w:lang w:val="cs-CZ"/>
        </w:rPr>
        <w:t>6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; 2,452 </w:t>
      </w:r>
      <w:r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).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Nárůst byl zaznamenán na všech hlavních trzích, přičemž nejvýraznější byl v oblasti platebních služeb a ve správě aktiv a v úvěrech. </w:t>
      </w:r>
      <w:r w:rsidRPr="00A059B2">
        <w:rPr>
          <w:rFonts w:ascii="Inter" w:hAnsi="Inter" w:cs="Arial"/>
          <w:b/>
          <w:bCs/>
          <w:sz w:val="20"/>
          <w:szCs w:val="20"/>
          <w:lang w:val="cs-CZ"/>
        </w:rPr>
        <w:t>Č</w:t>
      </w:r>
      <w:r w:rsidRPr="005E17F7">
        <w:rPr>
          <w:rFonts w:ascii="Inter" w:hAnsi="Inter" w:cs="Arial"/>
          <w:b/>
          <w:bCs/>
          <w:sz w:val="20"/>
          <w:szCs w:val="20"/>
          <w:lang w:val="cs-CZ"/>
        </w:rPr>
        <w:t xml:space="preserve">istý zisk z obchodních operací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se zlepšil na 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754 </w:t>
      </w:r>
      <w:r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5E17F7">
        <w:rPr>
          <w:rFonts w:ascii="Inter" w:hAnsi="Inter" w:cs="Arial"/>
          <w:sz w:val="20"/>
          <w:szCs w:val="20"/>
          <w:lang w:val="cs-CZ"/>
        </w:rPr>
        <w:t xml:space="preserve"> (-779 </w:t>
      </w:r>
      <w:r w:rsidRPr="005E17F7">
        <w:rPr>
          <w:rFonts w:ascii="Inter" w:hAnsi="Inter" w:cs="Arial"/>
          <w:sz w:val="20"/>
          <w:szCs w:val="20"/>
          <w:lang w:val="cs-CZ"/>
        </w:rPr>
        <w:t>mili</w:t>
      </w:r>
      <w:r w:rsidRPr="008A500E">
        <w:rPr>
          <w:rFonts w:ascii="Inter" w:hAnsi="Inter" w:cs="Arial"/>
          <w:sz w:val="20"/>
          <w:szCs w:val="20"/>
          <w:lang w:val="cs-CZ"/>
        </w:rPr>
        <w:t>onů eur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); </w:t>
      </w:r>
      <w:r w:rsidR="00103BDF" w:rsidRPr="008A500E">
        <w:rPr>
          <w:rFonts w:ascii="Inter" w:hAnsi="Inter"/>
          <w:sz w:val="20"/>
          <w:szCs w:val="20"/>
          <w:lang w:val="cs-CZ"/>
        </w:rPr>
        <w:t xml:space="preserve">položka </w:t>
      </w:r>
      <w:r w:rsidR="00103BDF" w:rsidRPr="008A500E">
        <w:rPr>
          <w:rFonts w:ascii="Inter" w:hAnsi="Inter"/>
          <w:b/>
          <w:sz w:val="20"/>
          <w:szCs w:val="20"/>
          <w:lang w:val="cs-CZ"/>
        </w:rPr>
        <w:t>čistý zisk/ztráta z finančních nástrojů vykazovaných v reálné hodnotě do zisku nebo ztráty</w:t>
      </w:r>
      <w:r w:rsidR="00103BDF" w:rsidRPr="008A500E">
        <w:rPr>
          <w:rFonts w:ascii="Inter" w:hAnsi="Inter" w:cs="Arial"/>
          <w:sz w:val="20"/>
          <w:szCs w:val="20"/>
          <w:lang w:val="cs-CZ"/>
        </w:rPr>
        <w:t xml:space="preserve"> poklesla na 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-306 </w:t>
      </w:r>
      <w:r w:rsidRPr="008A500E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 (731 </w:t>
      </w:r>
      <w:r w:rsidRPr="008A500E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). </w:t>
      </w:r>
      <w:r w:rsidR="00103BDF" w:rsidRPr="008A500E">
        <w:rPr>
          <w:rFonts w:ascii="Inter" w:hAnsi="Inter"/>
          <w:sz w:val="20"/>
          <w:szCs w:val="20"/>
          <w:lang w:val="cs-CZ"/>
        </w:rPr>
        <w:t xml:space="preserve">Vývoj těchto dvou položek byl především výsledkem vlivu oceňování. </w:t>
      </w:r>
      <w:r w:rsidR="00103BDF" w:rsidRPr="008A500E">
        <w:rPr>
          <w:rFonts w:ascii="Inter" w:hAnsi="Inter"/>
          <w:b/>
          <w:bCs/>
          <w:sz w:val="20"/>
          <w:szCs w:val="20"/>
          <w:lang w:val="cs-CZ"/>
        </w:rPr>
        <w:t xml:space="preserve">Provozní výnosy </w:t>
      </w:r>
      <w:r w:rsidR="00103BDF" w:rsidRPr="008A500E">
        <w:rPr>
          <w:rFonts w:ascii="Inter" w:hAnsi="Inter"/>
          <w:sz w:val="20"/>
          <w:szCs w:val="20"/>
          <w:lang w:val="cs-CZ"/>
        </w:rPr>
        <w:t>vzrostly na</w:t>
      </w:r>
      <w:r w:rsidR="00103BDF" w:rsidRPr="008A500E">
        <w:rPr>
          <w:rFonts w:ascii="Inter" w:hAnsi="Inter" w:cs="Arial"/>
          <w:sz w:val="20"/>
          <w:szCs w:val="20"/>
          <w:lang w:val="cs-CZ"/>
        </w:rPr>
        <w:t xml:space="preserve"> 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10,552 </w:t>
      </w:r>
      <w:r w:rsidRPr="008A500E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 (+23</w:t>
      </w:r>
      <w:r w:rsidR="00715A9C" w:rsidRPr="008A500E">
        <w:rPr>
          <w:rFonts w:ascii="Inter" w:hAnsi="Inter" w:cs="Arial"/>
          <w:sz w:val="20"/>
          <w:szCs w:val="20"/>
          <w:lang w:val="cs-CZ"/>
        </w:rPr>
        <w:t>,</w:t>
      </w:r>
      <w:r w:rsidR="000752C5" w:rsidRPr="008A500E">
        <w:rPr>
          <w:rFonts w:ascii="Inter" w:hAnsi="Inter" w:cs="Arial"/>
          <w:sz w:val="20"/>
          <w:szCs w:val="20"/>
          <w:lang w:val="cs-CZ"/>
        </w:rPr>
        <w:t>1</w:t>
      </w:r>
      <w:r w:rsidR="009B3DCD" w:rsidRPr="008A500E">
        <w:rPr>
          <w:rFonts w:ascii="Inter" w:hAnsi="Inter" w:cs="Arial"/>
          <w:sz w:val="20"/>
          <w:szCs w:val="20"/>
          <w:lang w:val="cs-CZ"/>
        </w:rPr>
        <w:t xml:space="preserve"> %</w:t>
      </w:r>
      <w:r w:rsidR="000752C5" w:rsidRPr="008A500E">
        <w:rPr>
          <w:rFonts w:ascii="Inter" w:hAnsi="Inter" w:cs="Arial"/>
          <w:sz w:val="20"/>
          <w:szCs w:val="20"/>
          <w:lang w:val="cs-CZ"/>
        </w:rPr>
        <w:t xml:space="preserve">; 8,571 </w:t>
      </w:r>
      <w:r w:rsidRPr="008A500E">
        <w:rPr>
          <w:rFonts w:ascii="Inter" w:hAnsi="Inter" w:cs="Arial"/>
          <w:sz w:val="20"/>
          <w:szCs w:val="20"/>
          <w:lang w:val="cs-CZ"/>
        </w:rPr>
        <w:t>milionů eur</w:t>
      </w:r>
      <w:r w:rsidR="000752C5" w:rsidRPr="008A500E">
        <w:rPr>
          <w:rFonts w:ascii="Inter" w:hAnsi="Inter" w:cs="Arial"/>
          <w:sz w:val="20"/>
          <w:szCs w:val="20"/>
          <w:lang w:val="cs-CZ"/>
        </w:rPr>
        <w:t>)</w:t>
      </w:r>
      <w:r w:rsidRPr="008A500E">
        <w:rPr>
          <w:rFonts w:ascii="Inter" w:hAnsi="Inter"/>
          <w:sz w:val="20"/>
          <w:szCs w:val="20"/>
          <w:lang w:val="cs-CZ"/>
        </w:rPr>
        <w:t>.</w:t>
      </w:r>
    </w:p>
    <w:p w14:paraId="535C76E5" w14:textId="77777777" w:rsidR="002C4E00" w:rsidRPr="005E17F7" w:rsidRDefault="002C4E00" w:rsidP="00BC5E2E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</w:p>
    <w:p w14:paraId="4720BA42" w14:textId="6C69BA2B" w:rsidR="00AB4AED" w:rsidRPr="005E17F7" w:rsidRDefault="00345D3A" w:rsidP="004C64AC">
      <w:pPr>
        <w:pStyle w:val="Nadpis4"/>
        <w:rPr>
          <w:rFonts w:ascii="Inter" w:hAnsi="Inter"/>
          <w:noProof w:val="0"/>
          <w:color w:val="auto"/>
          <w:highlight w:val="yellow"/>
          <w:lang w:val="cs-CZ"/>
        </w:rPr>
      </w:pPr>
      <w:r w:rsidRPr="00345D3A">
        <w:rPr>
          <w:rFonts w:ascii="Inter" w:hAnsi="Inter"/>
          <w:noProof w:val="0"/>
          <w:color w:val="auto"/>
          <w:lang w:val="cs-CZ"/>
        </w:rPr>
        <w:t>Poměr nákladů k výnosům se zlepšil na 47,6 %, protože provozní výsledek vzrostl o 38,4 %</w:t>
      </w:r>
    </w:p>
    <w:p w14:paraId="100F05D8" w14:textId="6B3F35F1" w:rsidR="002C4E00" w:rsidRPr="005E17F7" w:rsidRDefault="00103BDF" w:rsidP="00103BDF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5E17F7">
        <w:rPr>
          <w:rFonts w:ascii="Inter" w:hAnsi="Inter"/>
          <w:b/>
          <w:sz w:val="20"/>
          <w:szCs w:val="20"/>
          <w:lang w:val="cs-CZ"/>
        </w:rPr>
        <w:t>Všeobecné administrativní náklady</w:t>
      </w:r>
      <w:r w:rsidRPr="005E17F7">
        <w:rPr>
          <w:rFonts w:ascii="Inter" w:hAnsi="Inter"/>
          <w:bCs/>
          <w:sz w:val="20"/>
          <w:szCs w:val="20"/>
          <w:lang w:val="cs-CZ"/>
        </w:rPr>
        <w:t xml:space="preserve"> </w:t>
      </w:r>
      <w:r w:rsidRPr="005E17F7">
        <w:rPr>
          <w:rFonts w:ascii="Inter" w:hAnsi="Inter"/>
          <w:sz w:val="20"/>
          <w:szCs w:val="20"/>
          <w:lang w:val="cs-CZ"/>
        </w:rPr>
        <w:t>vzrostly na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 5,020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(+9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7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; 4,575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). </w:t>
      </w:r>
      <w:r w:rsidRPr="005E17F7">
        <w:rPr>
          <w:rFonts w:ascii="Inter" w:hAnsi="Inter"/>
          <w:sz w:val="20"/>
          <w:szCs w:val="20"/>
          <w:lang w:val="cs-CZ"/>
        </w:rPr>
        <w:t>Personální náklady vzrostly na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 2,991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(+12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1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; 2,668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>)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, a to v důsledku navýšení </w:t>
      </w:r>
      <w:r w:rsidR="00A61D6E">
        <w:rPr>
          <w:rFonts w:ascii="Inter" w:hAnsi="Inter" w:cs="Arial"/>
          <w:sz w:val="20"/>
          <w:szCs w:val="20"/>
          <w:lang w:val="cs-CZ"/>
        </w:rPr>
        <w:t>mezd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. Nárůst v ostatních administrativních nákladech na 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1,468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(+8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3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; 1,356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) </w:t>
      </w:r>
      <w:r w:rsidRPr="005E17F7">
        <w:rPr>
          <w:rFonts w:ascii="Inter" w:hAnsi="Inter"/>
          <w:sz w:val="20"/>
          <w:szCs w:val="20"/>
          <w:lang w:val="cs-CZ"/>
        </w:rPr>
        <w:t xml:space="preserve">je důsledkem především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vyšších nákladů na IT a </w:t>
      </w:r>
      <w:r w:rsidR="0091508E" w:rsidRPr="005E17F7">
        <w:rPr>
          <w:rFonts w:ascii="Inter" w:hAnsi="Inter" w:cs="Arial"/>
          <w:sz w:val="20"/>
          <w:szCs w:val="20"/>
          <w:lang w:val="cs-CZ"/>
        </w:rPr>
        <w:t>marketing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. Příspěvky </w:t>
      </w:r>
      <w:r w:rsidRPr="005E17F7">
        <w:rPr>
          <w:rFonts w:ascii="Inter" w:hAnsi="Inter"/>
          <w:sz w:val="20"/>
          <w:szCs w:val="20"/>
          <w:lang w:val="cs-CZ"/>
        </w:rPr>
        <w:t xml:space="preserve">do </w:t>
      </w:r>
      <w:r w:rsidRPr="005E17F7">
        <w:rPr>
          <w:rFonts w:ascii="Inter" w:hAnsi="Inter"/>
          <w:bCs/>
          <w:sz w:val="20"/>
          <w:szCs w:val="20"/>
          <w:lang w:val="cs-CZ"/>
        </w:rPr>
        <w:t>systémů pojištění vkladů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, které jsou </w:t>
      </w:r>
      <w:r w:rsidR="00F76414" w:rsidRPr="005E17F7">
        <w:rPr>
          <w:rFonts w:ascii="Inter" w:hAnsi="Inter" w:cs="Arial"/>
          <w:sz w:val="20"/>
          <w:szCs w:val="20"/>
          <w:lang w:val="cs-CZ"/>
        </w:rPr>
        <w:t>součástí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 všeobecných administrativních nákladů, poklesly na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 114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(143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),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nejvýrazněji v Maďarsku (ve srovnatelném období roku 2022 vedla ke zvýšení nákladů pojistná událost související se 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Sberbank </w:t>
      </w:r>
      <w:proofErr w:type="spellStart"/>
      <w:r w:rsidR="0091508E" w:rsidRPr="005E17F7">
        <w:rPr>
          <w:rFonts w:ascii="Inter" w:hAnsi="Inter" w:cs="Arial"/>
          <w:sz w:val="20"/>
          <w:szCs w:val="20"/>
          <w:lang w:val="cs-CZ"/>
        </w:rPr>
        <w:t>Europe</w:t>
      </w:r>
      <w:proofErr w:type="spellEnd"/>
      <w:r w:rsidRPr="005E17F7">
        <w:rPr>
          <w:rFonts w:ascii="Inter" w:hAnsi="Inter" w:cs="Arial"/>
          <w:sz w:val="20"/>
          <w:szCs w:val="20"/>
          <w:lang w:val="cs-CZ"/>
        </w:rPr>
        <w:t xml:space="preserve">). Odpisy dosáhly 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560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(+1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7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; 551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).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Celkově se </w:t>
      </w:r>
      <w:r w:rsidRPr="005E17F7">
        <w:rPr>
          <w:rFonts w:ascii="Inter" w:hAnsi="Inter"/>
          <w:b/>
          <w:sz w:val="20"/>
          <w:szCs w:val="20"/>
          <w:lang w:val="cs-CZ"/>
        </w:rPr>
        <w:t>provozní výsledek</w:t>
      </w:r>
      <w:r w:rsidRPr="005E17F7">
        <w:rPr>
          <w:rFonts w:ascii="Inter" w:hAnsi="Inter"/>
          <w:sz w:val="20"/>
          <w:szCs w:val="20"/>
          <w:lang w:val="cs-CZ"/>
        </w:rPr>
        <w:t xml:space="preserve"> výrazně z</w:t>
      </w:r>
      <w:r w:rsidR="004B7B40">
        <w:rPr>
          <w:rFonts w:ascii="Inter" w:hAnsi="Inter"/>
          <w:sz w:val="20"/>
          <w:szCs w:val="20"/>
          <w:lang w:val="cs-CZ"/>
        </w:rPr>
        <w:t>výš</w:t>
      </w:r>
      <w:r w:rsidRPr="005E17F7">
        <w:rPr>
          <w:rFonts w:ascii="Inter" w:hAnsi="Inter"/>
          <w:sz w:val="20"/>
          <w:szCs w:val="20"/>
          <w:lang w:val="cs-CZ"/>
        </w:rPr>
        <w:t xml:space="preserve">il, a to na 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5,532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(+38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4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; 3,996 </w:t>
      </w:r>
      <w:r w:rsidR="002C4E00" w:rsidRPr="005E17F7">
        <w:rPr>
          <w:rFonts w:ascii="Inter" w:hAnsi="Inter" w:cs="Arial"/>
          <w:sz w:val="20"/>
          <w:szCs w:val="20"/>
          <w:lang w:val="cs-CZ"/>
        </w:rPr>
        <w:t>milionů eur</w:t>
      </w:r>
      <w:r w:rsidR="0091508E" w:rsidRPr="005E17F7">
        <w:rPr>
          <w:rFonts w:ascii="Inter" w:hAnsi="Inter" w:cs="Arial"/>
          <w:sz w:val="20"/>
          <w:szCs w:val="20"/>
          <w:lang w:val="cs-CZ"/>
        </w:rPr>
        <w:t>).</w:t>
      </w:r>
      <w:r w:rsidRPr="005E17F7">
        <w:rPr>
          <w:rFonts w:ascii="Inter" w:hAnsi="Inter"/>
          <w:sz w:val="20"/>
          <w:szCs w:val="20"/>
          <w:lang w:val="cs-CZ"/>
        </w:rPr>
        <w:t xml:space="preserve"> Poměr </w:t>
      </w:r>
      <w:r w:rsidRPr="005E17F7">
        <w:rPr>
          <w:rFonts w:ascii="Inter" w:hAnsi="Inter"/>
          <w:b/>
          <w:sz w:val="20"/>
          <w:szCs w:val="20"/>
          <w:lang w:val="cs-CZ"/>
        </w:rPr>
        <w:t>nákladů k výnosům</w:t>
      </w:r>
      <w:r w:rsidRPr="005E17F7">
        <w:rPr>
          <w:rFonts w:ascii="Inter" w:hAnsi="Inter"/>
          <w:sz w:val="20"/>
          <w:szCs w:val="20"/>
          <w:lang w:val="cs-CZ"/>
        </w:rPr>
        <w:t xml:space="preserve"> se zlepšil na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47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6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 xml:space="preserve"> (53</w:t>
      </w:r>
      <w:r w:rsidR="00715A9C" w:rsidRPr="005E17F7">
        <w:rPr>
          <w:rFonts w:ascii="Inter" w:hAnsi="Inter" w:cs="Arial"/>
          <w:sz w:val="20"/>
          <w:szCs w:val="20"/>
          <w:lang w:val="cs-CZ"/>
        </w:rPr>
        <w:t>,</w:t>
      </w:r>
      <w:r w:rsidR="0091508E" w:rsidRPr="005E17F7">
        <w:rPr>
          <w:rFonts w:ascii="Inter" w:hAnsi="Inter" w:cs="Arial"/>
          <w:sz w:val="20"/>
          <w:szCs w:val="20"/>
          <w:lang w:val="cs-CZ"/>
        </w:rPr>
        <w:t>4</w:t>
      </w:r>
      <w:r w:rsidR="009B3DCD" w:rsidRPr="005E17F7">
        <w:rPr>
          <w:rFonts w:ascii="Inter" w:hAnsi="Inter" w:cs="Arial"/>
          <w:sz w:val="20"/>
          <w:szCs w:val="20"/>
          <w:lang w:val="cs-CZ"/>
        </w:rPr>
        <w:t xml:space="preserve"> %</w:t>
      </w:r>
      <w:r w:rsidR="0091508E" w:rsidRPr="005E17F7">
        <w:rPr>
          <w:rFonts w:ascii="Inter" w:hAnsi="Inter" w:cs="Arial"/>
          <w:sz w:val="20"/>
          <w:szCs w:val="20"/>
          <w:lang w:val="cs-CZ"/>
        </w:rPr>
        <w:t>)</w:t>
      </w:r>
      <w:r w:rsidR="002C4E00" w:rsidRPr="005E17F7">
        <w:rPr>
          <w:rFonts w:ascii="Inter" w:hAnsi="Inter"/>
          <w:sz w:val="20"/>
          <w:szCs w:val="20"/>
          <w:lang w:val="cs-CZ"/>
        </w:rPr>
        <w:t>.</w:t>
      </w:r>
    </w:p>
    <w:p w14:paraId="551691E4" w14:textId="77777777" w:rsidR="00AB4AED" w:rsidRPr="005E17F7" w:rsidRDefault="00AB4AED" w:rsidP="00BC5E2E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</w:p>
    <w:p w14:paraId="22140AE4" w14:textId="77777777" w:rsidR="00345D3A" w:rsidRDefault="00345D3A" w:rsidP="00E22B35">
      <w:pPr>
        <w:spacing w:line="280" w:lineRule="exact"/>
        <w:rPr>
          <w:rFonts w:ascii="Inter" w:eastAsiaTheme="majorEastAsia" w:hAnsi="Inter" w:cstheme="majorBidi"/>
          <w:b/>
          <w:bCs/>
          <w:noProof w:val="0"/>
          <w:sz w:val="24"/>
          <w:szCs w:val="24"/>
          <w:lang w:val="cs-CZ"/>
        </w:rPr>
      </w:pPr>
      <w:r w:rsidRPr="00345D3A">
        <w:rPr>
          <w:rFonts w:ascii="Inter" w:eastAsiaTheme="majorEastAsia" w:hAnsi="Inter" w:cstheme="majorBidi"/>
          <w:b/>
          <w:bCs/>
          <w:noProof w:val="0"/>
          <w:sz w:val="24"/>
          <w:szCs w:val="24"/>
          <w:lang w:val="cs-CZ"/>
        </w:rPr>
        <w:t>Míra nesplácených úvěrů mírně roste, ale zůstává na nízké úrovni</w:t>
      </w:r>
    </w:p>
    <w:p w14:paraId="4C238912" w14:textId="77777777" w:rsidR="00345D3A" w:rsidRDefault="00345D3A" w:rsidP="00E22B35">
      <w:pPr>
        <w:spacing w:line="280" w:lineRule="exact"/>
        <w:rPr>
          <w:rFonts w:ascii="Inter" w:eastAsiaTheme="majorEastAsia" w:hAnsi="Inter" w:cstheme="majorBidi"/>
          <w:b/>
          <w:bCs/>
          <w:noProof w:val="0"/>
          <w:sz w:val="24"/>
          <w:szCs w:val="24"/>
          <w:lang w:val="cs-CZ"/>
        </w:rPr>
      </w:pPr>
    </w:p>
    <w:p w14:paraId="4128755F" w14:textId="49AB7AB2" w:rsidR="002C4E00" w:rsidRPr="005E17F7" w:rsidRDefault="000916BF" w:rsidP="00E22B35">
      <w:pPr>
        <w:spacing w:line="280" w:lineRule="exact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b/>
          <w:bCs/>
          <w:noProof w:val="0"/>
          <w:lang w:val="cs-CZ"/>
        </w:rPr>
        <w:t>Ztráta ze znehodnocení finančních nástroj</w:t>
      </w:r>
      <w:r w:rsidR="00345D3A">
        <w:rPr>
          <w:rFonts w:ascii="Inter" w:hAnsi="Inter"/>
          <w:b/>
          <w:bCs/>
          <w:noProof w:val="0"/>
          <w:lang w:val="cs-CZ"/>
        </w:rPr>
        <w:t>ů (rizikové náklady)</w:t>
      </w:r>
      <w:r w:rsidRPr="005E17F7">
        <w:rPr>
          <w:rFonts w:ascii="Inter" w:hAnsi="Inter"/>
          <w:b/>
          <w:bCs/>
          <w:noProof w:val="0"/>
          <w:lang w:val="cs-CZ"/>
        </w:rPr>
        <w:t xml:space="preserve"> </w:t>
      </w:r>
      <w:r w:rsidRPr="005E17F7">
        <w:rPr>
          <w:rFonts w:ascii="Inter" w:hAnsi="Inter"/>
          <w:noProof w:val="0"/>
          <w:lang w:val="cs-CZ"/>
        </w:rPr>
        <w:t xml:space="preserve">dosáhla </w:t>
      </w:r>
      <w:r w:rsidR="00E02ED8" w:rsidRPr="005E17F7">
        <w:rPr>
          <w:rFonts w:ascii="Inter" w:hAnsi="Inter"/>
          <w:noProof w:val="0"/>
          <w:lang w:val="cs-CZ"/>
        </w:rPr>
        <w:t xml:space="preserve">-128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E02ED8" w:rsidRPr="005E17F7">
        <w:rPr>
          <w:rFonts w:ascii="Inter" w:hAnsi="Inter"/>
          <w:noProof w:val="0"/>
          <w:lang w:val="cs-CZ"/>
        </w:rPr>
        <w:t xml:space="preserve"> </w:t>
      </w:r>
      <w:r w:rsidRPr="005E17F7">
        <w:rPr>
          <w:rFonts w:ascii="Inter" w:hAnsi="Inter"/>
          <w:noProof w:val="0"/>
          <w:lang w:val="cs-CZ"/>
        </w:rPr>
        <w:t xml:space="preserve">neboli </w:t>
      </w:r>
      <w:r w:rsidR="00E02ED8" w:rsidRPr="005E17F7">
        <w:rPr>
          <w:rFonts w:ascii="Inter" w:hAnsi="Inter"/>
          <w:noProof w:val="0"/>
          <w:lang w:val="cs-CZ"/>
        </w:rPr>
        <w:t>6 ba</w:t>
      </w:r>
      <w:r w:rsidRPr="005E17F7">
        <w:rPr>
          <w:rFonts w:ascii="Inter" w:hAnsi="Inter"/>
          <w:noProof w:val="0"/>
          <w:lang w:val="cs-CZ"/>
        </w:rPr>
        <w:t xml:space="preserve">zických bodů průměrných hrubých klientských úvěrů </w:t>
      </w:r>
      <w:r w:rsidR="00E02ED8" w:rsidRPr="005E17F7">
        <w:rPr>
          <w:rFonts w:ascii="Inter" w:hAnsi="Inter"/>
          <w:noProof w:val="0"/>
          <w:lang w:val="cs-CZ"/>
        </w:rPr>
        <w:t xml:space="preserve">(-300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E02ED8" w:rsidRPr="005E17F7">
        <w:rPr>
          <w:rFonts w:ascii="Inter" w:hAnsi="Inter"/>
          <w:noProof w:val="0"/>
          <w:lang w:val="cs-CZ"/>
        </w:rPr>
        <w:t xml:space="preserve"> </w:t>
      </w:r>
      <w:r w:rsidRPr="005E17F7">
        <w:rPr>
          <w:rFonts w:ascii="Inter" w:hAnsi="Inter"/>
          <w:noProof w:val="0"/>
          <w:lang w:val="cs-CZ"/>
        </w:rPr>
        <w:t xml:space="preserve">neboli </w:t>
      </w:r>
      <w:r w:rsidR="00E02ED8" w:rsidRPr="005E17F7">
        <w:rPr>
          <w:rFonts w:ascii="Inter" w:hAnsi="Inter"/>
          <w:noProof w:val="0"/>
          <w:lang w:val="cs-CZ"/>
        </w:rPr>
        <w:t>15 ba</w:t>
      </w:r>
      <w:r w:rsidRPr="005E17F7">
        <w:rPr>
          <w:rFonts w:ascii="Inter" w:hAnsi="Inter"/>
          <w:noProof w:val="0"/>
          <w:lang w:val="cs-CZ"/>
        </w:rPr>
        <w:t>zických bodů</w:t>
      </w:r>
      <w:r w:rsidR="00E02ED8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Čistá alokace na rezervy na úvěry a zálohy a na závazky a poskytnuté záruky byla zaúčtována na všech klíčových trzích s výjimkou Chorvatska a Maďarska. Pozitivní příspěvek byl zaznamenán v souvislosti </w:t>
      </w:r>
      <w:r w:rsidR="00E22B35" w:rsidRPr="005E17F7">
        <w:rPr>
          <w:rFonts w:ascii="Inter" w:hAnsi="Inter"/>
          <w:noProof w:val="0"/>
          <w:lang w:val="cs-CZ"/>
        </w:rPr>
        <w:t xml:space="preserve">s čistým uvolněním rezerv na závazky a záruky a </w:t>
      </w:r>
      <w:r w:rsidR="00BA6D19">
        <w:rPr>
          <w:rFonts w:ascii="Inter" w:hAnsi="Inter"/>
          <w:noProof w:val="0"/>
          <w:lang w:val="cs-CZ"/>
        </w:rPr>
        <w:t>s</w:t>
      </w:r>
      <w:r w:rsidR="00E22B35" w:rsidRPr="005E17F7">
        <w:rPr>
          <w:rFonts w:ascii="Inter" w:hAnsi="Inter"/>
          <w:noProof w:val="0"/>
          <w:lang w:val="cs-CZ"/>
        </w:rPr>
        <w:t> příjm</w:t>
      </w:r>
      <w:r w:rsidR="00BA6D19">
        <w:rPr>
          <w:rFonts w:ascii="Inter" w:hAnsi="Inter"/>
          <w:noProof w:val="0"/>
          <w:lang w:val="cs-CZ"/>
        </w:rPr>
        <w:t>y</w:t>
      </w:r>
      <w:r w:rsidR="00E22B35" w:rsidRPr="005E17F7">
        <w:rPr>
          <w:rFonts w:ascii="Inter" w:hAnsi="Inter"/>
          <w:noProof w:val="0"/>
          <w:lang w:val="cs-CZ"/>
        </w:rPr>
        <w:t xml:space="preserve"> související</w:t>
      </w:r>
      <w:r w:rsidR="00BA6D19">
        <w:rPr>
          <w:rFonts w:ascii="Inter" w:hAnsi="Inter"/>
          <w:noProof w:val="0"/>
          <w:lang w:val="cs-CZ"/>
        </w:rPr>
        <w:t>mi</w:t>
      </w:r>
      <w:r w:rsidR="00E22B35" w:rsidRPr="005E17F7">
        <w:rPr>
          <w:rFonts w:ascii="Inter" w:hAnsi="Inter"/>
          <w:noProof w:val="0"/>
          <w:lang w:val="cs-CZ"/>
        </w:rPr>
        <w:t xml:space="preserve"> s vymáháním již odepsaných úvěrů </w:t>
      </w:r>
      <w:r w:rsidR="00E02ED8" w:rsidRPr="005E17F7">
        <w:rPr>
          <w:rFonts w:ascii="Inter" w:hAnsi="Inter"/>
          <w:noProof w:val="0"/>
          <w:lang w:val="cs-CZ"/>
        </w:rPr>
        <w:t>(</w:t>
      </w:r>
      <w:r w:rsidRPr="005E17F7">
        <w:rPr>
          <w:rFonts w:ascii="Inter" w:hAnsi="Inter"/>
          <w:noProof w:val="0"/>
          <w:lang w:val="cs-CZ"/>
        </w:rPr>
        <w:t>v obou případech především v Rakousku</w:t>
      </w:r>
      <w:r w:rsidR="00E02ED8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b/>
          <w:bCs/>
          <w:noProof w:val="0"/>
          <w:lang w:val="cs-CZ"/>
        </w:rPr>
        <w:t xml:space="preserve">Podíl rizikových úvěrů </w:t>
      </w:r>
      <w:r w:rsidRPr="005E17F7">
        <w:rPr>
          <w:rFonts w:ascii="Inter" w:hAnsi="Inter"/>
          <w:noProof w:val="0"/>
          <w:lang w:val="cs-CZ"/>
        </w:rPr>
        <w:t xml:space="preserve">na základě hrubých zákaznických úvěrů se mírně zhoršil na </w:t>
      </w:r>
      <w:r w:rsidR="00E02ED8" w:rsidRPr="005E17F7">
        <w:rPr>
          <w:rFonts w:ascii="Inter" w:hAnsi="Inter"/>
          <w:noProof w:val="0"/>
          <w:lang w:val="cs-CZ"/>
        </w:rPr>
        <w:t>2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E02ED8" w:rsidRPr="005E17F7">
        <w:rPr>
          <w:rFonts w:ascii="Inter" w:hAnsi="Inter"/>
          <w:noProof w:val="0"/>
          <w:lang w:val="cs-CZ"/>
        </w:rPr>
        <w:t>3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  <w:r w:rsidR="00E02ED8" w:rsidRPr="005E17F7">
        <w:rPr>
          <w:rFonts w:ascii="Inter" w:hAnsi="Inter"/>
          <w:noProof w:val="0"/>
          <w:lang w:val="cs-CZ"/>
        </w:rPr>
        <w:t xml:space="preserve"> (2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E02ED8" w:rsidRPr="005E17F7">
        <w:rPr>
          <w:rFonts w:ascii="Inter" w:hAnsi="Inter"/>
          <w:noProof w:val="0"/>
          <w:lang w:val="cs-CZ"/>
        </w:rPr>
        <w:t>0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  <w:r w:rsidR="00E02ED8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b/>
          <w:bCs/>
          <w:noProof w:val="0"/>
          <w:lang w:val="cs-CZ"/>
        </w:rPr>
        <w:t>Podíl krytí rizikových úvěrů</w:t>
      </w:r>
      <w:r w:rsidRPr="005E17F7">
        <w:rPr>
          <w:rFonts w:ascii="Inter" w:hAnsi="Inter"/>
          <w:noProof w:val="0"/>
          <w:lang w:val="cs-CZ"/>
        </w:rPr>
        <w:t xml:space="preserve"> (bez zajištění) rovněž poklesl, na</w:t>
      </w:r>
      <w:r w:rsidR="00E02ED8" w:rsidRPr="005E17F7">
        <w:rPr>
          <w:rFonts w:ascii="Inter" w:hAnsi="Inter"/>
          <w:noProof w:val="0"/>
          <w:lang w:val="cs-CZ"/>
        </w:rPr>
        <w:t xml:space="preserve"> 85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E02ED8" w:rsidRPr="005E17F7">
        <w:rPr>
          <w:rFonts w:ascii="Inter" w:hAnsi="Inter"/>
          <w:noProof w:val="0"/>
          <w:lang w:val="cs-CZ"/>
        </w:rPr>
        <w:t>1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  <w:r w:rsidR="00E02ED8" w:rsidRPr="005E17F7">
        <w:rPr>
          <w:rFonts w:ascii="Inter" w:hAnsi="Inter"/>
          <w:noProof w:val="0"/>
          <w:lang w:val="cs-CZ"/>
        </w:rPr>
        <w:t xml:space="preserve"> (94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E02ED8" w:rsidRPr="005E17F7">
        <w:rPr>
          <w:rFonts w:ascii="Inter" w:hAnsi="Inter"/>
          <w:noProof w:val="0"/>
          <w:lang w:val="cs-CZ"/>
        </w:rPr>
        <w:t>6</w:t>
      </w:r>
      <w:r w:rsidR="009B3DCD" w:rsidRPr="005E17F7">
        <w:rPr>
          <w:rFonts w:ascii="Inter" w:hAnsi="Inter"/>
          <w:noProof w:val="0"/>
          <w:lang w:val="cs-CZ"/>
        </w:rPr>
        <w:t xml:space="preserve"> %</w:t>
      </w:r>
      <w:r w:rsidR="00E02ED8" w:rsidRPr="005E17F7">
        <w:rPr>
          <w:rFonts w:ascii="Inter" w:hAnsi="Inter"/>
          <w:noProof w:val="0"/>
          <w:lang w:val="cs-CZ"/>
        </w:rPr>
        <w:t>).</w:t>
      </w:r>
      <w:r w:rsidR="002C4E00" w:rsidRPr="005E17F7">
        <w:rPr>
          <w:rFonts w:ascii="Inter" w:hAnsi="Inter"/>
          <w:noProof w:val="0"/>
          <w:lang w:val="cs-CZ"/>
        </w:rPr>
        <w:t xml:space="preserve"> </w:t>
      </w:r>
    </w:p>
    <w:p w14:paraId="08049029" w14:textId="77777777" w:rsidR="00AB4AED" w:rsidRPr="005E17F7" w:rsidRDefault="00AB4AED" w:rsidP="00BC5E2E">
      <w:pPr>
        <w:pStyle w:val="Bezmezer"/>
        <w:spacing w:line="280" w:lineRule="exact"/>
        <w:rPr>
          <w:rFonts w:ascii="Inter" w:hAnsi="Inter"/>
          <w:lang w:val="cs-CZ"/>
        </w:rPr>
      </w:pPr>
    </w:p>
    <w:p w14:paraId="583BC6EC" w14:textId="3BE3E967" w:rsidR="00AB4AED" w:rsidRPr="005E17F7" w:rsidRDefault="00345D3A" w:rsidP="004C64AC">
      <w:pPr>
        <w:pStyle w:val="Nadpis4"/>
        <w:rPr>
          <w:rFonts w:ascii="Inter" w:hAnsi="Inter"/>
          <w:noProof w:val="0"/>
          <w:color w:val="auto"/>
          <w:highlight w:val="yellow"/>
          <w:lang w:val="cs-CZ"/>
        </w:rPr>
      </w:pPr>
      <w:r w:rsidRPr="00345D3A">
        <w:rPr>
          <w:rFonts w:ascii="Inter" w:hAnsi="Inter"/>
          <w:noProof w:val="0"/>
          <w:color w:val="auto"/>
          <w:lang w:val="cs-CZ"/>
        </w:rPr>
        <w:t>Dobrý provozní výslede</w:t>
      </w:r>
      <w:r>
        <w:rPr>
          <w:rFonts w:ascii="Inter" w:hAnsi="Inter"/>
          <w:noProof w:val="0"/>
          <w:color w:val="auto"/>
          <w:lang w:val="cs-CZ"/>
        </w:rPr>
        <w:t xml:space="preserve">k, </w:t>
      </w:r>
      <w:r w:rsidRPr="00345D3A">
        <w:rPr>
          <w:rFonts w:ascii="Inter" w:hAnsi="Inter"/>
          <w:noProof w:val="0"/>
          <w:color w:val="auto"/>
          <w:lang w:val="cs-CZ"/>
        </w:rPr>
        <w:t>nízké rizikové náklady podporují hospodářský výsledek</w:t>
      </w:r>
    </w:p>
    <w:p w14:paraId="53DEA824" w14:textId="4345DA93" w:rsidR="00FE1C22" w:rsidRPr="005E17F7" w:rsidRDefault="00103BDF" w:rsidP="00FE1C22">
      <w:pPr>
        <w:spacing w:line="280" w:lineRule="exact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b/>
          <w:bCs/>
          <w:noProof w:val="0"/>
          <w:lang w:val="cs-CZ"/>
        </w:rPr>
        <w:t>Ostatní provozní výsledek</w:t>
      </w:r>
      <w:r w:rsidRPr="005E17F7">
        <w:rPr>
          <w:rFonts w:ascii="Inter" w:hAnsi="Inter"/>
          <w:noProof w:val="0"/>
          <w:lang w:val="cs-CZ"/>
        </w:rPr>
        <w:t xml:space="preserve"> dosáhl výše</w:t>
      </w:r>
      <w:r w:rsidR="007D235C" w:rsidRPr="005E17F7">
        <w:rPr>
          <w:rFonts w:ascii="Inter" w:hAnsi="Inter"/>
          <w:noProof w:val="0"/>
          <w:lang w:val="cs-CZ"/>
        </w:rPr>
        <w:t xml:space="preserve"> -468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 (-399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Poklesly výdaje na každoroční příspěvky do rezolučních fondů za celý rok (nejvýrazněji v Rakousku a v České republice), a to na </w:t>
      </w:r>
      <w:r w:rsidR="007D235C" w:rsidRPr="005E17F7">
        <w:rPr>
          <w:rFonts w:ascii="Inter" w:hAnsi="Inter"/>
          <w:noProof w:val="0"/>
          <w:lang w:val="cs-CZ"/>
        </w:rPr>
        <w:t xml:space="preserve">113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 (139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Bankovní daně, které se v současné době platí na dvou klíčových trzích, se snížily na </w:t>
      </w:r>
      <w:r w:rsidR="007D235C" w:rsidRPr="005E17F7">
        <w:rPr>
          <w:rFonts w:ascii="Inter" w:hAnsi="Inter"/>
          <w:noProof w:val="0"/>
          <w:lang w:val="cs-CZ"/>
        </w:rPr>
        <w:t xml:space="preserve">183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 (187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Z toho bylo </w:t>
      </w:r>
      <w:r w:rsidR="007D235C" w:rsidRPr="005E17F7">
        <w:rPr>
          <w:rFonts w:ascii="Inter" w:hAnsi="Inter"/>
          <w:noProof w:val="0"/>
          <w:lang w:val="cs-CZ"/>
        </w:rPr>
        <w:t xml:space="preserve">137 </w:t>
      </w:r>
      <w:r w:rsidRPr="005E17F7">
        <w:rPr>
          <w:rFonts w:ascii="Inter" w:hAnsi="Inter"/>
          <w:noProof w:val="0"/>
          <w:lang w:val="cs-CZ"/>
        </w:rPr>
        <w:t>milionů eur (</w:t>
      </w:r>
      <w:r w:rsidR="007D235C" w:rsidRPr="005E17F7">
        <w:rPr>
          <w:rFonts w:ascii="Inter" w:hAnsi="Inter"/>
          <w:noProof w:val="0"/>
          <w:lang w:val="cs-CZ"/>
        </w:rPr>
        <w:t xml:space="preserve">124 </w:t>
      </w:r>
      <w:r w:rsidR="002C4E00" w:rsidRPr="005E17F7">
        <w:rPr>
          <w:rFonts w:ascii="Inter" w:hAnsi="Inter"/>
          <w:noProof w:val="0"/>
          <w:lang w:val="cs-CZ"/>
        </w:rPr>
        <w:t>milionů eur</w:t>
      </w:r>
      <w:r w:rsidR="007D235C" w:rsidRPr="005E17F7">
        <w:rPr>
          <w:rFonts w:ascii="Inter" w:hAnsi="Inter"/>
          <w:noProof w:val="0"/>
          <w:lang w:val="cs-CZ"/>
        </w:rPr>
        <w:t xml:space="preserve">) </w:t>
      </w:r>
      <w:r w:rsidRPr="005E17F7">
        <w:rPr>
          <w:rFonts w:ascii="Inter" w:hAnsi="Inter"/>
          <w:noProof w:val="0"/>
          <w:lang w:val="cs-CZ"/>
        </w:rPr>
        <w:t>naúčtováno v</w:t>
      </w:r>
      <w:r w:rsidR="009A66A0" w:rsidRPr="005E17F7">
        <w:rPr>
          <w:rFonts w:ascii="Inter" w:hAnsi="Inter"/>
          <w:noProof w:val="0"/>
          <w:lang w:val="cs-CZ"/>
        </w:rPr>
        <w:t> </w:t>
      </w:r>
      <w:r w:rsidR="00FE1C22" w:rsidRPr="005E17F7">
        <w:rPr>
          <w:rFonts w:ascii="Inter" w:hAnsi="Inter"/>
          <w:noProof w:val="0"/>
          <w:lang w:val="cs-CZ"/>
        </w:rPr>
        <w:t xml:space="preserve">Maďarsku. V Rakousku </w:t>
      </w:r>
      <w:r w:rsidR="00E555AF">
        <w:rPr>
          <w:rFonts w:ascii="Inter" w:hAnsi="Inter"/>
          <w:noProof w:val="0"/>
          <w:lang w:val="cs-CZ"/>
        </w:rPr>
        <w:t xml:space="preserve">odvody na </w:t>
      </w:r>
      <w:r w:rsidR="00FE1C22" w:rsidRPr="005E17F7">
        <w:rPr>
          <w:rFonts w:ascii="Inter" w:hAnsi="Inter"/>
          <w:noProof w:val="0"/>
          <w:lang w:val="cs-CZ"/>
        </w:rPr>
        <w:t>bankovní daň poklesl</w:t>
      </w:r>
      <w:r w:rsidR="00E555AF">
        <w:rPr>
          <w:rFonts w:ascii="Inter" w:hAnsi="Inter"/>
          <w:noProof w:val="0"/>
          <w:lang w:val="cs-CZ"/>
        </w:rPr>
        <w:t>y</w:t>
      </w:r>
      <w:r w:rsidR="00FE1C22" w:rsidRPr="005E17F7">
        <w:rPr>
          <w:rFonts w:ascii="Inter" w:hAnsi="Inter"/>
          <w:noProof w:val="0"/>
          <w:lang w:val="cs-CZ"/>
        </w:rPr>
        <w:t xml:space="preserve"> na 46 milionů eur (EUR 63 milionů eur). Vliv ocenění na ostatní provozní výsledek byl negativní. </w:t>
      </w:r>
    </w:p>
    <w:p w14:paraId="1FE543EC" w14:textId="77777777" w:rsidR="00FE1C22" w:rsidRPr="005E17F7" w:rsidRDefault="00FE1C22" w:rsidP="00FE1C22">
      <w:pPr>
        <w:rPr>
          <w:rFonts w:ascii="Inter" w:hAnsi="Inter"/>
          <w:b/>
          <w:bCs/>
          <w:noProof w:val="0"/>
          <w:lang w:val="cs-CZ"/>
        </w:rPr>
      </w:pPr>
    </w:p>
    <w:p w14:paraId="2D908B20" w14:textId="379DBCA4" w:rsidR="002C4E00" w:rsidRPr="005E17F7" w:rsidRDefault="00FE1C22" w:rsidP="00FE1C22">
      <w:pPr>
        <w:spacing w:line="280" w:lineRule="exact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 xml:space="preserve">Daň z příjmu činila 874 milionů eur (556 milionů eur). Zvýšení </w:t>
      </w:r>
      <w:r w:rsidR="004D295F" w:rsidRPr="005E17F7">
        <w:rPr>
          <w:rFonts w:ascii="Inter" w:hAnsi="Inter"/>
          <w:noProof w:val="0"/>
          <w:lang w:val="cs-CZ"/>
        </w:rPr>
        <w:t>plateb</w:t>
      </w:r>
      <w:r w:rsidRPr="005E17F7">
        <w:rPr>
          <w:rFonts w:ascii="Inter" w:hAnsi="Inter"/>
          <w:noProof w:val="0"/>
          <w:lang w:val="cs-CZ"/>
        </w:rPr>
        <w:t xml:space="preserve"> minoritním akcionářům na 923 milionů eur (502 milionů eur) bylo důsledkem podstatně lepších výsledků spořitelen – zejména díky vyšším úrokovým </w:t>
      </w:r>
      <w:r w:rsidRPr="005E17F7">
        <w:rPr>
          <w:rFonts w:ascii="Inter" w:hAnsi="Inter"/>
          <w:noProof w:val="0"/>
          <w:lang w:val="cs-CZ"/>
        </w:rPr>
        <w:lastRenderedPageBreak/>
        <w:t xml:space="preserve">příjmům.   Díky dobrému provoznímu výsledku a nízkým nákladům na rizika vzrostl </w:t>
      </w:r>
      <w:r w:rsidRPr="005E17F7">
        <w:rPr>
          <w:rFonts w:ascii="Inter" w:hAnsi="Inter"/>
          <w:b/>
          <w:bCs/>
          <w:noProof w:val="0"/>
          <w:lang w:val="cs-CZ"/>
        </w:rPr>
        <w:t>čistý zisk náležející vlastníkům mateřské společnosti</w:t>
      </w:r>
      <w:r w:rsidRPr="005E17F7">
        <w:rPr>
          <w:rFonts w:ascii="Inter" w:hAnsi="Inter"/>
          <w:noProof w:val="0"/>
          <w:lang w:val="cs-CZ"/>
        </w:rPr>
        <w:t xml:space="preserve"> na 2,998 milionů eur (2,165 milionů eur).</w:t>
      </w:r>
    </w:p>
    <w:p w14:paraId="38945513" w14:textId="77777777" w:rsidR="002C4E00" w:rsidRPr="005E17F7" w:rsidRDefault="002C4E00" w:rsidP="00BC5E2E">
      <w:pPr>
        <w:pStyle w:val="Bezmezer"/>
        <w:spacing w:line="280" w:lineRule="exact"/>
        <w:rPr>
          <w:rFonts w:ascii="Inter" w:hAnsi="Inter"/>
          <w:lang w:val="cs-CZ"/>
        </w:rPr>
      </w:pPr>
    </w:p>
    <w:p w14:paraId="57598320" w14:textId="132FBA5B" w:rsidR="00AB4AED" w:rsidRPr="005E17F7" w:rsidRDefault="00345D3A" w:rsidP="004C64AC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345D3A">
        <w:rPr>
          <w:rFonts w:ascii="Inter" w:hAnsi="Inter"/>
          <w:noProof w:val="0"/>
          <w:color w:val="auto"/>
          <w:lang w:val="cs-CZ"/>
        </w:rPr>
        <w:t>Objem úvěrů roste v retailovém i firemním segmentu</w:t>
      </w:r>
    </w:p>
    <w:p w14:paraId="57675A84" w14:textId="73381D8C" w:rsidR="00932100" w:rsidRPr="008D478B" w:rsidRDefault="009A66A0" w:rsidP="009A66A0">
      <w:pPr>
        <w:spacing w:line="280" w:lineRule="exact"/>
        <w:rPr>
          <w:rFonts w:ascii="Inter" w:hAnsi="Inter"/>
          <w:noProof w:val="0"/>
          <w:lang w:val="cs-CZ"/>
        </w:rPr>
      </w:pPr>
      <w:r w:rsidRPr="005E17F7">
        <w:rPr>
          <w:rStyle w:val="FettimText"/>
          <w:rFonts w:ascii="Inter" w:hAnsi="Inter"/>
          <w:noProof w:val="0"/>
          <w:sz w:val="20"/>
          <w:lang w:val="cs-CZ"/>
        </w:rPr>
        <w:t xml:space="preserve">Celkový vlastní kapitál </w:t>
      </w:r>
      <w:r w:rsidRPr="005E17F7">
        <w:rPr>
          <w:rFonts w:ascii="Inter" w:hAnsi="Inter"/>
          <w:noProof w:val="0"/>
          <w:lang w:val="cs-CZ"/>
        </w:rPr>
        <w:t>bez nástrojů AT1 vzrostl na</w:t>
      </w:r>
      <w:r w:rsidR="00932100" w:rsidRPr="005E17F7">
        <w:rPr>
          <w:rFonts w:ascii="Inter" w:hAnsi="Inter"/>
          <w:noProof w:val="0"/>
          <w:lang w:val="cs-CZ"/>
        </w:rPr>
        <w:t xml:space="preserve"> 26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1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 </w:t>
      </w:r>
      <w:r w:rsidRPr="005E17F7">
        <w:rPr>
          <w:rFonts w:ascii="Inter" w:hAnsi="Inter"/>
          <w:noProof w:val="0"/>
          <w:lang w:val="cs-CZ"/>
        </w:rPr>
        <w:t>(</w:t>
      </w:r>
      <w:r w:rsidR="00932100" w:rsidRPr="005E17F7">
        <w:rPr>
          <w:rFonts w:ascii="Inter" w:hAnsi="Inter"/>
          <w:noProof w:val="0"/>
          <w:lang w:val="cs-CZ"/>
        </w:rPr>
        <w:t>23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1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Po regulatorních odpočtech a filtracích v souladu s nařízením o CRR vzrostl </w:t>
      </w:r>
      <w:r w:rsidRPr="005E17F7">
        <w:rPr>
          <w:rStyle w:val="FettimText"/>
          <w:rFonts w:ascii="Inter" w:hAnsi="Inter"/>
          <w:bCs/>
          <w:noProof w:val="0"/>
          <w:sz w:val="20"/>
          <w:lang w:val="cs-CZ"/>
        </w:rPr>
        <w:t xml:space="preserve">kmenový kapitál </w:t>
      </w:r>
      <w:proofErr w:type="spellStart"/>
      <w:r w:rsidRPr="005E17F7">
        <w:rPr>
          <w:rStyle w:val="FettimText"/>
          <w:rFonts w:ascii="Inter" w:hAnsi="Inter"/>
          <w:bCs/>
          <w:noProof w:val="0"/>
          <w:sz w:val="20"/>
          <w:lang w:val="cs-CZ"/>
        </w:rPr>
        <w:t>tier</w:t>
      </w:r>
      <w:proofErr w:type="spellEnd"/>
      <w:r w:rsidRPr="005E17F7">
        <w:rPr>
          <w:rStyle w:val="FettimText"/>
          <w:rFonts w:ascii="Inter" w:hAnsi="Inter"/>
          <w:bCs/>
          <w:noProof w:val="0"/>
          <w:sz w:val="20"/>
          <w:lang w:val="cs-CZ"/>
        </w:rPr>
        <w:t xml:space="preserve"> 1</w:t>
      </w:r>
      <w:r w:rsidRPr="005E17F7">
        <w:rPr>
          <w:rStyle w:val="FettimText"/>
          <w:rFonts w:ascii="Inter" w:hAnsi="Inter"/>
          <w:b w:val="0"/>
          <w:noProof w:val="0"/>
          <w:sz w:val="20"/>
          <w:lang w:val="cs-CZ"/>
        </w:rPr>
        <w:t xml:space="preserve"> </w:t>
      </w:r>
      <w:r w:rsidRPr="005E17F7">
        <w:rPr>
          <w:rFonts w:ascii="Inter" w:hAnsi="Inter"/>
          <w:noProof w:val="0"/>
          <w:lang w:val="cs-CZ"/>
        </w:rPr>
        <w:t xml:space="preserve">(CET1, konečný) na </w:t>
      </w:r>
      <w:r w:rsidR="00932100" w:rsidRPr="005E17F7">
        <w:rPr>
          <w:rFonts w:ascii="Inter" w:hAnsi="Inter"/>
          <w:noProof w:val="0"/>
          <w:lang w:val="cs-CZ"/>
        </w:rPr>
        <w:t>22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9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 (20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4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), </w:t>
      </w:r>
      <w:r w:rsidRPr="005E17F7">
        <w:rPr>
          <w:rFonts w:ascii="Inter" w:hAnsi="Inter"/>
          <w:noProof w:val="0"/>
          <w:lang w:val="cs-CZ"/>
        </w:rPr>
        <w:t xml:space="preserve">stejně jako celkové </w:t>
      </w:r>
      <w:r w:rsidRPr="005E17F7">
        <w:rPr>
          <w:rFonts w:ascii="Inter" w:hAnsi="Inter"/>
          <w:b/>
          <w:bCs/>
          <w:noProof w:val="0"/>
          <w:lang w:val="cs-CZ"/>
        </w:rPr>
        <w:t xml:space="preserve">vlastní prostředky </w:t>
      </w:r>
      <w:r w:rsidRPr="005E17F7">
        <w:rPr>
          <w:rFonts w:ascii="Inter" w:hAnsi="Inter"/>
          <w:noProof w:val="0"/>
          <w:lang w:val="cs-CZ"/>
        </w:rPr>
        <w:t xml:space="preserve">(konečné), které stouply na </w:t>
      </w:r>
      <w:r w:rsidR="00932100" w:rsidRPr="005E17F7">
        <w:rPr>
          <w:rFonts w:ascii="Inter" w:hAnsi="Inter"/>
          <w:noProof w:val="0"/>
          <w:lang w:val="cs-CZ"/>
        </w:rPr>
        <w:t>29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1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 (26</w:t>
      </w:r>
      <w:r w:rsidR="00715A9C" w:rsidRPr="005E17F7">
        <w:rPr>
          <w:rFonts w:ascii="Inter" w:hAnsi="Inter"/>
          <w:noProof w:val="0"/>
          <w:lang w:val="cs-CZ"/>
        </w:rPr>
        <w:t>,</w:t>
      </w:r>
      <w:r w:rsidR="00932100" w:rsidRPr="005E17F7">
        <w:rPr>
          <w:rFonts w:ascii="Inter" w:hAnsi="Inter"/>
          <w:noProof w:val="0"/>
          <w:lang w:val="cs-CZ"/>
        </w:rPr>
        <w:t xml:space="preserve">2 </w:t>
      </w:r>
      <w:r w:rsidR="002C4E00" w:rsidRPr="005E17F7">
        <w:rPr>
          <w:rFonts w:ascii="Inter" w:hAnsi="Inter"/>
          <w:noProof w:val="0"/>
          <w:lang w:val="cs-CZ"/>
        </w:rPr>
        <w:t>miliard eur</w:t>
      </w:r>
      <w:r w:rsidR="00932100" w:rsidRPr="005E17F7">
        <w:rPr>
          <w:rFonts w:ascii="Inter" w:hAnsi="Inter"/>
          <w:noProof w:val="0"/>
          <w:lang w:val="cs-CZ"/>
        </w:rPr>
        <w:t xml:space="preserve">). </w:t>
      </w:r>
      <w:r w:rsidRPr="005E17F7">
        <w:rPr>
          <w:rFonts w:ascii="Inter" w:hAnsi="Inter"/>
          <w:noProof w:val="0"/>
          <w:lang w:val="cs-CZ"/>
        </w:rPr>
        <w:t xml:space="preserve">Celkové riziko – </w:t>
      </w:r>
      <w:r w:rsidRPr="005E17F7">
        <w:rPr>
          <w:rStyle w:val="FettimText"/>
          <w:rFonts w:ascii="Inter" w:hAnsi="Inter"/>
          <w:noProof w:val="0"/>
          <w:sz w:val="20"/>
          <w:lang w:val="cs-CZ"/>
        </w:rPr>
        <w:t xml:space="preserve">rizikově vážená aktiva, </w:t>
      </w:r>
      <w:r w:rsidRPr="005E17F7">
        <w:rPr>
          <w:rFonts w:ascii="Inter" w:hAnsi="Inter"/>
          <w:noProof w:val="0"/>
          <w:lang w:val="cs-CZ"/>
        </w:rPr>
        <w:t>zahrnujíc</w:t>
      </w:r>
      <w:r w:rsidRPr="008D478B">
        <w:rPr>
          <w:rFonts w:ascii="Inter" w:hAnsi="Inter"/>
          <w:noProof w:val="0"/>
          <w:lang w:val="cs-CZ"/>
        </w:rPr>
        <w:t xml:space="preserve">í úvěrové, tržní a operační riziko (CRR, konečné) – vzrostlo na </w:t>
      </w:r>
      <w:r w:rsidR="00932100" w:rsidRPr="008D478B">
        <w:rPr>
          <w:rFonts w:ascii="Inter" w:hAnsi="Inter"/>
          <w:noProof w:val="0"/>
          <w:lang w:val="cs-CZ"/>
        </w:rPr>
        <w:t>146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 xml:space="preserve">5 </w:t>
      </w:r>
      <w:r w:rsidR="002C4E00" w:rsidRPr="008D478B">
        <w:rPr>
          <w:rFonts w:ascii="Inter" w:hAnsi="Inter"/>
          <w:noProof w:val="0"/>
          <w:lang w:val="cs-CZ"/>
        </w:rPr>
        <w:t>miliard eur</w:t>
      </w:r>
      <w:r w:rsidR="00932100" w:rsidRPr="008D478B">
        <w:rPr>
          <w:rFonts w:ascii="Inter" w:hAnsi="Inter"/>
          <w:noProof w:val="0"/>
          <w:lang w:val="cs-CZ"/>
        </w:rPr>
        <w:t xml:space="preserve"> (143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 xml:space="preserve">9 </w:t>
      </w:r>
      <w:r w:rsidR="002C4E00" w:rsidRPr="008D478B">
        <w:rPr>
          <w:rFonts w:ascii="Inter" w:hAnsi="Inter"/>
          <w:noProof w:val="0"/>
          <w:lang w:val="cs-CZ"/>
        </w:rPr>
        <w:t>miliard eur</w:t>
      </w:r>
      <w:r w:rsidR="00932100" w:rsidRPr="008D478B">
        <w:rPr>
          <w:rFonts w:ascii="Inter" w:hAnsi="Inter"/>
          <w:noProof w:val="0"/>
          <w:lang w:val="cs-CZ"/>
        </w:rPr>
        <w:t xml:space="preserve">). </w:t>
      </w:r>
      <w:r w:rsidRPr="008D478B">
        <w:rPr>
          <w:rStyle w:val="FettimText"/>
          <w:rFonts w:ascii="Inter" w:hAnsi="Inter"/>
          <w:noProof w:val="0"/>
          <w:sz w:val="20"/>
          <w:lang w:val="cs-CZ"/>
        </w:rPr>
        <w:t xml:space="preserve">Ukazatel kmenového kapitálu </w:t>
      </w:r>
      <w:proofErr w:type="spellStart"/>
      <w:r w:rsidRPr="008D478B">
        <w:rPr>
          <w:rStyle w:val="FettimText"/>
          <w:rFonts w:ascii="Inter" w:hAnsi="Inter"/>
          <w:noProof w:val="0"/>
          <w:sz w:val="20"/>
          <w:lang w:val="cs-CZ"/>
        </w:rPr>
        <w:t>tier</w:t>
      </w:r>
      <w:proofErr w:type="spellEnd"/>
      <w:r w:rsidRPr="008D478B">
        <w:rPr>
          <w:rStyle w:val="FettimText"/>
          <w:rFonts w:ascii="Inter" w:hAnsi="Inter"/>
          <w:noProof w:val="0"/>
          <w:sz w:val="20"/>
          <w:lang w:val="cs-CZ"/>
        </w:rPr>
        <w:t xml:space="preserve"> 1 </w:t>
      </w:r>
      <w:r w:rsidRPr="008D478B">
        <w:rPr>
          <w:rFonts w:ascii="Inter" w:hAnsi="Inter"/>
          <w:noProof w:val="0"/>
          <w:lang w:val="cs-CZ"/>
        </w:rPr>
        <w:t xml:space="preserve">(CET1, konečný) se zlepšil na </w:t>
      </w:r>
      <w:r w:rsidR="00932100" w:rsidRPr="008D478B">
        <w:rPr>
          <w:rFonts w:ascii="Inter" w:hAnsi="Inter"/>
          <w:noProof w:val="0"/>
          <w:lang w:val="cs-CZ"/>
        </w:rPr>
        <w:t>15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>7</w:t>
      </w:r>
      <w:r w:rsidR="009B3DCD" w:rsidRPr="008D478B">
        <w:rPr>
          <w:rFonts w:ascii="Inter" w:hAnsi="Inter"/>
          <w:noProof w:val="0"/>
          <w:lang w:val="cs-CZ"/>
        </w:rPr>
        <w:t xml:space="preserve"> %</w:t>
      </w:r>
      <w:r w:rsidR="00932100" w:rsidRPr="008D478B">
        <w:rPr>
          <w:rFonts w:ascii="Inter" w:hAnsi="Inter"/>
          <w:noProof w:val="0"/>
          <w:lang w:val="cs-CZ"/>
        </w:rPr>
        <w:t xml:space="preserve"> (14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>2</w:t>
      </w:r>
      <w:r w:rsidR="009B3DCD" w:rsidRPr="008D478B">
        <w:rPr>
          <w:rFonts w:ascii="Inter" w:hAnsi="Inter"/>
          <w:noProof w:val="0"/>
          <w:lang w:val="cs-CZ"/>
        </w:rPr>
        <w:t xml:space="preserve"> %</w:t>
      </w:r>
      <w:r w:rsidR="00932100" w:rsidRPr="008D478B">
        <w:rPr>
          <w:rFonts w:ascii="Inter" w:hAnsi="Inter"/>
          <w:noProof w:val="0"/>
          <w:lang w:val="cs-CZ"/>
        </w:rPr>
        <w:t xml:space="preserve">), </w:t>
      </w:r>
      <w:r w:rsidRPr="008D478B">
        <w:rPr>
          <w:rStyle w:val="FettimText"/>
          <w:rFonts w:ascii="Inter" w:hAnsi="Inter"/>
          <w:noProof w:val="0"/>
          <w:sz w:val="20"/>
          <w:lang w:val="cs-CZ"/>
        </w:rPr>
        <w:t>ukazatel celkového kapitálu</w:t>
      </w:r>
      <w:r w:rsidRPr="008D478B">
        <w:rPr>
          <w:rFonts w:ascii="Inter" w:hAnsi="Inter"/>
          <w:noProof w:val="0"/>
          <w:lang w:val="cs-CZ"/>
        </w:rPr>
        <w:t xml:space="preserve"> vzrostl na</w:t>
      </w:r>
      <w:r w:rsidR="00932100" w:rsidRPr="008D478B">
        <w:rPr>
          <w:rFonts w:ascii="Inter" w:hAnsi="Inter"/>
          <w:noProof w:val="0"/>
          <w:lang w:val="cs-CZ"/>
        </w:rPr>
        <w:t xml:space="preserve"> 19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>9</w:t>
      </w:r>
      <w:r w:rsidR="009B3DCD" w:rsidRPr="008D478B">
        <w:rPr>
          <w:rFonts w:ascii="Inter" w:hAnsi="Inter"/>
          <w:noProof w:val="0"/>
          <w:lang w:val="cs-CZ"/>
        </w:rPr>
        <w:t xml:space="preserve"> %</w:t>
      </w:r>
      <w:r w:rsidR="00932100" w:rsidRPr="008D478B">
        <w:rPr>
          <w:rFonts w:ascii="Inter" w:hAnsi="Inter"/>
          <w:noProof w:val="0"/>
          <w:lang w:val="cs-CZ"/>
        </w:rPr>
        <w:t xml:space="preserve"> (18</w:t>
      </w:r>
      <w:r w:rsidR="00715A9C" w:rsidRPr="008D478B">
        <w:rPr>
          <w:rFonts w:ascii="Inter" w:hAnsi="Inter"/>
          <w:noProof w:val="0"/>
          <w:lang w:val="cs-CZ"/>
        </w:rPr>
        <w:t>,</w:t>
      </w:r>
      <w:r w:rsidR="00932100" w:rsidRPr="008D478B">
        <w:rPr>
          <w:rFonts w:ascii="Inter" w:hAnsi="Inter"/>
          <w:noProof w:val="0"/>
          <w:lang w:val="cs-CZ"/>
        </w:rPr>
        <w:t>2</w:t>
      </w:r>
      <w:r w:rsidR="009B3DCD" w:rsidRPr="008D478B">
        <w:rPr>
          <w:rFonts w:ascii="Inter" w:hAnsi="Inter"/>
          <w:noProof w:val="0"/>
          <w:lang w:val="cs-CZ"/>
        </w:rPr>
        <w:t xml:space="preserve"> %</w:t>
      </w:r>
      <w:r w:rsidR="00932100" w:rsidRPr="008D478B">
        <w:rPr>
          <w:rFonts w:ascii="Inter" w:hAnsi="Inter"/>
          <w:noProof w:val="0"/>
          <w:lang w:val="cs-CZ"/>
        </w:rPr>
        <w:t>).</w:t>
      </w:r>
    </w:p>
    <w:p w14:paraId="18D0B96F" w14:textId="77777777" w:rsidR="002C4E00" w:rsidRPr="008D478B" w:rsidRDefault="002C4E00" w:rsidP="002C4E00">
      <w:pPr>
        <w:spacing w:before="80" w:line="240" w:lineRule="atLeast"/>
        <w:rPr>
          <w:rFonts w:ascii="Inter" w:hAnsi="Inter"/>
          <w:noProof w:val="0"/>
          <w:lang w:val="cs-CZ"/>
        </w:rPr>
      </w:pPr>
    </w:p>
    <w:p w14:paraId="76FEB328" w14:textId="70207CC4" w:rsidR="00AB4AED" w:rsidRPr="005E17F7" w:rsidRDefault="002C4E00" w:rsidP="00921F56">
      <w:pPr>
        <w:pStyle w:val="Bezmezer"/>
        <w:spacing w:line="280" w:lineRule="exact"/>
        <w:rPr>
          <w:rFonts w:ascii="Inter" w:hAnsi="Inter"/>
          <w:sz w:val="20"/>
          <w:szCs w:val="20"/>
          <w:lang w:val="cs-CZ"/>
        </w:rPr>
      </w:pPr>
      <w:r w:rsidRPr="008D478B">
        <w:rPr>
          <w:rFonts w:ascii="Inter" w:hAnsi="Inter" w:cs="Arial"/>
          <w:b/>
          <w:sz w:val="20"/>
          <w:szCs w:val="20"/>
          <w:lang w:val="cs-CZ"/>
        </w:rPr>
        <w:t xml:space="preserve">Aktiva celkem </w:t>
      </w:r>
      <w:r w:rsidRPr="008D478B">
        <w:rPr>
          <w:rFonts w:ascii="Inter" w:hAnsi="Inter" w:cs="Arial"/>
          <w:bCs/>
          <w:sz w:val="20"/>
          <w:szCs w:val="20"/>
          <w:lang w:val="cs-CZ"/>
        </w:rPr>
        <w:t>stoupla na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="009A66A0" w:rsidRPr="008D478B">
        <w:rPr>
          <w:rFonts w:ascii="Inter" w:hAnsi="Inter"/>
          <w:sz w:val="20"/>
          <w:szCs w:val="20"/>
          <w:lang w:val="cs-CZ"/>
        </w:rPr>
        <w:t>337,2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</w:t>
      </w:r>
      <w:r w:rsidRPr="008D478B">
        <w:rPr>
          <w:rFonts w:ascii="Inter" w:hAnsi="Inter" w:cs="Arial"/>
          <w:b/>
          <w:sz w:val="20"/>
          <w:szCs w:val="20"/>
          <w:lang w:val="cs-CZ"/>
        </w:rPr>
        <w:t xml:space="preserve"> </w:t>
      </w:r>
      <w:r w:rsidRPr="008D478B">
        <w:rPr>
          <w:rFonts w:ascii="Inter" w:hAnsi="Inter" w:cs="Arial"/>
          <w:sz w:val="20"/>
          <w:szCs w:val="20"/>
          <w:lang w:val="cs-CZ"/>
        </w:rPr>
        <w:t>(+</w:t>
      </w:r>
      <w:r w:rsidR="009A66A0" w:rsidRPr="008D478B">
        <w:rPr>
          <w:rFonts w:ascii="Inter" w:hAnsi="Inter" w:cs="Arial"/>
          <w:sz w:val="20"/>
          <w:szCs w:val="20"/>
          <w:lang w:val="cs-CZ"/>
        </w:rPr>
        <w:t>4</w:t>
      </w:r>
      <w:r w:rsidRPr="008D478B">
        <w:rPr>
          <w:rFonts w:ascii="Inter" w:hAnsi="Inter" w:cs="Arial"/>
          <w:sz w:val="20"/>
          <w:szCs w:val="20"/>
          <w:lang w:val="cs-CZ"/>
        </w:rPr>
        <w:t>,</w:t>
      </w:r>
      <w:r w:rsidR="009A66A0" w:rsidRPr="008D478B">
        <w:rPr>
          <w:rFonts w:ascii="Inter" w:hAnsi="Inter" w:cs="Arial"/>
          <w:sz w:val="20"/>
          <w:szCs w:val="20"/>
          <w:lang w:val="cs-CZ"/>
        </w:rPr>
        <w:t>1</w:t>
      </w:r>
      <w:r w:rsidRPr="008D478B">
        <w:rPr>
          <w:rFonts w:ascii="Inter" w:hAnsi="Inter" w:cs="Arial"/>
          <w:sz w:val="20"/>
          <w:szCs w:val="20"/>
          <w:lang w:val="cs-CZ"/>
        </w:rPr>
        <w:t xml:space="preserve"> %; 3</w:t>
      </w:r>
      <w:r w:rsidR="009A66A0" w:rsidRPr="008D478B">
        <w:rPr>
          <w:rFonts w:ascii="Inter" w:hAnsi="Inter" w:cs="Arial"/>
          <w:sz w:val="20"/>
          <w:szCs w:val="20"/>
          <w:lang w:val="cs-CZ"/>
        </w:rPr>
        <w:t>23</w:t>
      </w:r>
      <w:r w:rsidRPr="008D478B">
        <w:rPr>
          <w:rFonts w:ascii="Inter" w:hAnsi="Inter" w:cs="Arial"/>
          <w:sz w:val="20"/>
          <w:szCs w:val="20"/>
          <w:lang w:val="cs-CZ"/>
        </w:rPr>
        <w:t>,</w:t>
      </w:r>
      <w:r w:rsidR="009A66A0" w:rsidRPr="008D478B">
        <w:rPr>
          <w:rFonts w:ascii="Inter" w:hAnsi="Inter" w:cs="Arial"/>
          <w:sz w:val="20"/>
          <w:szCs w:val="20"/>
          <w:lang w:val="cs-CZ"/>
        </w:rPr>
        <w:t>9</w:t>
      </w:r>
      <w:r w:rsidRPr="008D478B">
        <w:rPr>
          <w:rFonts w:ascii="Inter" w:hAnsi="Inter" w:cs="Arial"/>
          <w:sz w:val="20"/>
          <w:szCs w:val="20"/>
          <w:lang w:val="cs-CZ"/>
        </w:rPr>
        <w:t xml:space="preserve"> miliardy EUR)</w:t>
      </w:r>
      <w:r w:rsidRPr="008D478B">
        <w:rPr>
          <w:rFonts w:ascii="Inter" w:hAnsi="Inter" w:cs="Arial"/>
          <w:bCs/>
          <w:sz w:val="20"/>
          <w:szCs w:val="20"/>
          <w:lang w:val="cs-CZ"/>
        </w:rPr>
        <w:t>.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Na straně aktiv se zvýšila pokladní hotovost a hotovost u centrálních bank na 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21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4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miliardy EUR (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3</w:t>
      </w:r>
      <w:r w:rsidRPr="008D478B">
        <w:rPr>
          <w:rFonts w:ascii="Inter" w:hAnsi="Inter" w:cs="Arial"/>
          <w:bCs/>
          <w:sz w:val="20"/>
          <w:szCs w:val="20"/>
          <w:lang w:val="cs-CZ"/>
        </w:rPr>
        <w:t>5,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7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EUR) a úvěry a jiné pohledávky za bankami vzrostly na 2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1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4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 (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18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4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EUR)</w:t>
      </w:r>
      <w:r w:rsidR="009A66A0" w:rsidRPr="008D478B">
        <w:rPr>
          <w:rFonts w:ascii="Inter" w:hAnsi="Inter" w:cs="Arial"/>
          <w:bCs/>
          <w:sz w:val="20"/>
          <w:szCs w:val="20"/>
          <w:lang w:val="cs-CZ"/>
        </w:rPr>
        <w:t>, zejména v Rakousku a České republice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. </w:t>
      </w:r>
      <w:r w:rsidRPr="008D478B">
        <w:rPr>
          <w:rFonts w:ascii="Inter" w:hAnsi="Inter" w:cs="Arial"/>
          <w:b/>
          <w:sz w:val="20"/>
          <w:szCs w:val="20"/>
          <w:lang w:val="cs-CZ"/>
        </w:rPr>
        <w:t>Úvěry a jiné pohledávky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Pr="008D478B">
        <w:rPr>
          <w:rFonts w:ascii="Inter" w:hAnsi="Inter" w:cs="Arial"/>
          <w:b/>
          <w:sz w:val="20"/>
          <w:szCs w:val="20"/>
          <w:lang w:val="cs-CZ"/>
        </w:rPr>
        <w:t xml:space="preserve">za klienty 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se zvýšily na </w:t>
      </w:r>
      <w:r w:rsidR="00921F56" w:rsidRPr="008D478B">
        <w:rPr>
          <w:rFonts w:ascii="Inter" w:hAnsi="Inter"/>
          <w:sz w:val="20"/>
          <w:szCs w:val="20"/>
          <w:lang w:val="cs-CZ"/>
        </w:rPr>
        <w:t>207,8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miliardy EUR </w:t>
      </w:r>
      <w:r w:rsidRPr="008D478B">
        <w:rPr>
          <w:rFonts w:ascii="Inter" w:hAnsi="Inter" w:cs="Arial"/>
          <w:sz w:val="20"/>
          <w:szCs w:val="20"/>
          <w:lang w:val="cs-CZ"/>
        </w:rPr>
        <w:t>(+</w:t>
      </w:r>
      <w:r w:rsidR="00921F56" w:rsidRPr="008D478B">
        <w:rPr>
          <w:rFonts w:ascii="Inter" w:hAnsi="Inter" w:cs="Arial"/>
          <w:sz w:val="20"/>
          <w:szCs w:val="20"/>
          <w:lang w:val="cs-CZ"/>
        </w:rPr>
        <w:t>2</w:t>
      </w:r>
      <w:r w:rsidRPr="008D478B">
        <w:rPr>
          <w:rFonts w:ascii="Inter" w:hAnsi="Inter" w:cs="Arial"/>
          <w:sz w:val="20"/>
          <w:szCs w:val="20"/>
          <w:lang w:val="cs-CZ"/>
        </w:rPr>
        <w:t>,</w:t>
      </w:r>
      <w:r w:rsidR="00921F56" w:rsidRPr="008D478B">
        <w:rPr>
          <w:rFonts w:ascii="Inter" w:hAnsi="Inter" w:cs="Arial"/>
          <w:sz w:val="20"/>
          <w:szCs w:val="20"/>
          <w:lang w:val="cs-CZ"/>
        </w:rPr>
        <w:t>8</w:t>
      </w:r>
      <w:r w:rsidRPr="008D478B">
        <w:rPr>
          <w:rFonts w:ascii="Inter" w:hAnsi="Inter" w:cs="Arial"/>
          <w:sz w:val="20"/>
          <w:szCs w:val="20"/>
          <w:lang w:val="cs-CZ"/>
        </w:rPr>
        <w:t xml:space="preserve"> %; </w:t>
      </w:r>
      <w:r w:rsidR="00921F56" w:rsidRPr="008D478B">
        <w:rPr>
          <w:rFonts w:ascii="Inter" w:hAnsi="Inter" w:cs="Arial"/>
          <w:sz w:val="20"/>
          <w:szCs w:val="20"/>
          <w:lang w:val="cs-CZ"/>
        </w:rPr>
        <w:t>202,1</w:t>
      </w:r>
      <w:r w:rsidRPr="008D478B">
        <w:rPr>
          <w:rFonts w:ascii="Inter" w:hAnsi="Inter" w:cs="Arial"/>
          <w:sz w:val="20"/>
          <w:szCs w:val="20"/>
          <w:lang w:val="cs-CZ"/>
        </w:rPr>
        <w:t xml:space="preserve"> miliardy EUR), </w:t>
      </w:r>
      <w:r w:rsidR="00921F56" w:rsidRPr="008D478B">
        <w:rPr>
          <w:rFonts w:ascii="Inter" w:hAnsi="Inter" w:cs="Arial"/>
          <w:sz w:val="20"/>
          <w:szCs w:val="20"/>
          <w:lang w:val="cs-CZ"/>
        </w:rPr>
        <w:t xml:space="preserve">přičemž rostly retailové i korporátní úvěry. 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Na pasivní straně 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poklesl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y vklady bank, a to na 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22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9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 (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28,8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EUR). </w:t>
      </w:r>
      <w:r w:rsidRPr="008D478B">
        <w:rPr>
          <w:rFonts w:ascii="Inter" w:hAnsi="Inter" w:cs="Arial"/>
          <w:b/>
          <w:sz w:val="20"/>
          <w:szCs w:val="20"/>
          <w:lang w:val="cs-CZ"/>
        </w:rPr>
        <w:t xml:space="preserve">Vklady klientů 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rostly 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 xml:space="preserve">téměř </w:t>
      </w:r>
      <w:r w:rsidRPr="008D478B">
        <w:rPr>
          <w:rFonts w:ascii="Inter" w:hAnsi="Inter" w:cs="Arial"/>
          <w:bCs/>
          <w:sz w:val="20"/>
          <w:szCs w:val="20"/>
          <w:lang w:val="cs-CZ"/>
        </w:rPr>
        <w:t>na všech klíčových trzích – nejvýrazněji v Rakousku a České republice – na 2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32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8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(</w:t>
      </w:r>
      <w:r w:rsidRPr="008D478B">
        <w:rPr>
          <w:rFonts w:ascii="Inter" w:hAnsi="Inter" w:cs="Arial"/>
          <w:sz w:val="20"/>
          <w:szCs w:val="20"/>
          <w:lang w:val="cs-CZ"/>
        </w:rPr>
        <w:t>+</w:t>
      </w:r>
      <w:r w:rsidR="00921F56" w:rsidRPr="008D478B">
        <w:rPr>
          <w:rFonts w:ascii="Inter" w:hAnsi="Inter" w:cs="Arial"/>
          <w:sz w:val="20"/>
          <w:szCs w:val="20"/>
          <w:lang w:val="cs-CZ"/>
        </w:rPr>
        <w:t>3,9</w:t>
      </w:r>
      <w:r w:rsidRPr="008D478B">
        <w:rPr>
          <w:rFonts w:ascii="Inter" w:hAnsi="Inter" w:cs="Arial"/>
          <w:sz w:val="20"/>
          <w:szCs w:val="20"/>
          <w:lang w:val="cs-CZ"/>
        </w:rPr>
        <w:t xml:space="preserve"> %, 2</w:t>
      </w:r>
      <w:r w:rsidR="00921F56" w:rsidRPr="008D478B">
        <w:rPr>
          <w:rFonts w:ascii="Inter" w:hAnsi="Inter" w:cs="Arial"/>
          <w:sz w:val="20"/>
          <w:szCs w:val="20"/>
          <w:lang w:val="cs-CZ"/>
        </w:rPr>
        <w:t>24</w:t>
      </w:r>
      <w:r w:rsidRPr="008D478B">
        <w:rPr>
          <w:rFonts w:ascii="Inter" w:hAnsi="Inter" w:cs="Arial"/>
          <w:bCs/>
          <w:sz w:val="20"/>
          <w:szCs w:val="20"/>
          <w:lang w:val="cs-CZ"/>
        </w:rPr>
        <w:t>,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0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miliard EUR). </w:t>
      </w:r>
      <w:r w:rsidRPr="008D478B">
        <w:rPr>
          <w:rFonts w:ascii="Inter" w:hAnsi="Inter" w:cs="Arial"/>
          <w:b/>
          <w:sz w:val="20"/>
          <w:szCs w:val="20"/>
          <w:lang w:val="cs-CZ"/>
        </w:rPr>
        <w:t>Poměr úvěrů ke vkladům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 xml:space="preserve">činil </w:t>
      </w:r>
      <w:r w:rsidRPr="008D478B">
        <w:rPr>
          <w:rFonts w:ascii="Inter" w:hAnsi="Inter" w:cs="Arial"/>
          <w:bCs/>
          <w:sz w:val="20"/>
          <w:szCs w:val="20"/>
          <w:lang w:val="cs-CZ"/>
        </w:rPr>
        <w:t>8</w:t>
      </w:r>
      <w:r w:rsidR="00921F56" w:rsidRPr="008D478B">
        <w:rPr>
          <w:rFonts w:ascii="Inter" w:hAnsi="Inter" w:cs="Arial"/>
          <w:bCs/>
          <w:sz w:val="20"/>
          <w:szCs w:val="20"/>
          <w:lang w:val="cs-CZ"/>
        </w:rPr>
        <w:t>9,3</w:t>
      </w:r>
      <w:r w:rsidRPr="008D478B">
        <w:rPr>
          <w:rFonts w:ascii="Inter" w:hAnsi="Inter" w:cs="Arial"/>
          <w:bCs/>
          <w:sz w:val="20"/>
          <w:szCs w:val="20"/>
          <w:lang w:val="cs-CZ"/>
        </w:rPr>
        <w:t xml:space="preserve"> % </w:t>
      </w:r>
      <w:r w:rsidR="00932100" w:rsidRPr="008D478B">
        <w:rPr>
          <w:rFonts w:ascii="Inter" w:hAnsi="Inter"/>
          <w:sz w:val="20"/>
          <w:szCs w:val="20"/>
          <w:lang w:val="cs-CZ"/>
        </w:rPr>
        <w:t>(90</w:t>
      </w:r>
      <w:r w:rsidR="00715A9C" w:rsidRPr="008D478B">
        <w:rPr>
          <w:rFonts w:ascii="Inter" w:hAnsi="Inter"/>
          <w:sz w:val="20"/>
          <w:szCs w:val="20"/>
          <w:lang w:val="cs-CZ"/>
        </w:rPr>
        <w:t>,</w:t>
      </w:r>
      <w:r w:rsidR="00932100" w:rsidRPr="008D478B">
        <w:rPr>
          <w:rFonts w:ascii="Inter" w:hAnsi="Inter"/>
          <w:sz w:val="20"/>
          <w:szCs w:val="20"/>
          <w:lang w:val="cs-CZ"/>
        </w:rPr>
        <w:t>2</w:t>
      </w:r>
      <w:r w:rsidR="009B3DCD" w:rsidRPr="005E17F7">
        <w:rPr>
          <w:rFonts w:ascii="Inter" w:hAnsi="Inter"/>
          <w:sz w:val="20"/>
          <w:szCs w:val="20"/>
          <w:lang w:val="cs-CZ"/>
        </w:rPr>
        <w:t xml:space="preserve"> %</w:t>
      </w:r>
      <w:r w:rsidR="00932100" w:rsidRPr="005E17F7">
        <w:rPr>
          <w:rFonts w:ascii="Inter" w:hAnsi="Inter"/>
          <w:sz w:val="20"/>
          <w:szCs w:val="20"/>
          <w:lang w:val="cs-CZ"/>
        </w:rPr>
        <w:t>)</w:t>
      </w:r>
    </w:p>
    <w:p w14:paraId="490FC198" w14:textId="77777777" w:rsidR="00AB4AED" w:rsidRPr="005E17F7" w:rsidRDefault="00AB4AED" w:rsidP="00BC5E2E">
      <w:pPr>
        <w:pStyle w:val="Bezmezer"/>
        <w:spacing w:line="280" w:lineRule="exact"/>
        <w:rPr>
          <w:rFonts w:ascii="Inter" w:hAnsi="Inter"/>
          <w:lang w:val="cs-CZ"/>
        </w:rPr>
      </w:pPr>
    </w:p>
    <w:p w14:paraId="3EBF3740" w14:textId="633E7D01" w:rsidR="00AB4AED" w:rsidRPr="005E17F7" w:rsidRDefault="00B75DD6" w:rsidP="004C64AC">
      <w:pPr>
        <w:pStyle w:val="Nadpis4"/>
        <w:rPr>
          <w:rFonts w:ascii="Inter" w:hAnsi="Inter"/>
          <w:noProof w:val="0"/>
          <w:color w:val="auto"/>
          <w:lang w:val="cs-CZ"/>
        </w:rPr>
      </w:pPr>
      <w:r w:rsidRPr="005E17F7">
        <w:rPr>
          <w:rFonts w:ascii="Inter" w:hAnsi="Inter"/>
          <w:noProof w:val="0"/>
          <w:color w:val="auto"/>
          <w:lang w:val="cs-CZ"/>
        </w:rPr>
        <w:t>Výhled na rok</w:t>
      </w:r>
      <w:r w:rsidR="003965F0" w:rsidRPr="005E17F7">
        <w:rPr>
          <w:rFonts w:ascii="Inter" w:hAnsi="Inter"/>
          <w:noProof w:val="0"/>
          <w:color w:val="auto"/>
          <w:lang w:val="cs-CZ"/>
        </w:rPr>
        <w:t xml:space="preserve"> 2024</w:t>
      </w:r>
    </w:p>
    <w:p w14:paraId="2531E0E8" w14:textId="33520CCC" w:rsidR="00333B0E" w:rsidRPr="005E17F7" w:rsidRDefault="00D723F5" w:rsidP="00631773">
      <w:pPr>
        <w:spacing w:line="280" w:lineRule="exact"/>
        <w:rPr>
          <w:rFonts w:ascii="Inter" w:hAnsi="Inter"/>
          <w:noProof w:val="0"/>
          <w:lang w:val="cs-CZ"/>
        </w:rPr>
      </w:pPr>
      <w:r w:rsidRPr="005E17F7">
        <w:rPr>
          <w:rFonts w:ascii="Inter" w:hAnsi="Inter"/>
          <w:noProof w:val="0"/>
          <w:lang w:val="cs-CZ"/>
        </w:rPr>
        <w:t xml:space="preserve">Ekonomové očekávají, že klíčové trhy </w:t>
      </w:r>
      <w:r w:rsidR="00333B0E" w:rsidRPr="005E17F7">
        <w:rPr>
          <w:rFonts w:ascii="Inter" w:hAnsi="Inter"/>
          <w:noProof w:val="0"/>
          <w:lang w:val="cs-CZ"/>
        </w:rPr>
        <w:t>Erste Group</w:t>
      </w:r>
      <w:r w:rsidRPr="005E17F7">
        <w:rPr>
          <w:rFonts w:ascii="Inter" w:hAnsi="Inter"/>
          <w:noProof w:val="0"/>
          <w:lang w:val="cs-CZ"/>
        </w:rPr>
        <w:t xml:space="preserve"> zaznamenají v roce 2024 </w:t>
      </w:r>
      <w:r w:rsidR="008D478B">
        <w:rPr>
          <w:rFonts w:ascii="Inter" w:hAnsi="Inter"/>
          <w:b/>
          <w:noProof w:val="0"/>
          <w:lang w:val="cs-CZ"/>
        </w:rPr>
        <w:t>vyš</w:t>
      </w:r>
      <w:r w:rsidRPr="005E17F7">
        <w:rPr>
          <w:rFonts w:ascii="Inter" w:hAnsi="Inter"/>
          <w:b/>
          <w:noProof w:val="0"/>
          <w:lang w:val="cs-CZ"/>
        </w:rPr>
        <w:t>ší růst HDP</w:t>
      </w:r>
      <w:r w:rsidR="00333B0E" w:rsidRPr="005E17F7">
        <w:rPr>
          <w:rFonts w:ascii="Inter" w:hAnsi="Inter"/>
          <w:noProof w:val="0"/>
          <w:lang w:val="cs-CZ"/>
        </w:rPr>
        <w:t>.</w:t>
      </w:r>
      <w:r w:rsidRPr="005E17F7">
        <w:rPr>
          <w:rFonts w:ascii="Inter" w:hAnsi="Inter"/>
          <w:noProof w:val="0"/>
          <w:lang w:val="cs-CZ"/>
        </w:rPr>
        <w:t xml:space="preserve"> Očekává se, že </w:t>
      </w:r>
      <w:r w:rsidRPr="005E17F7">
        <w:rPr>
          <w:rFonts w:ascii="Inter" w:hAnsi="Inter"/>
          <w:b/>
          <w:bCs/>
          <w:noProof w:val="0"/>
          <w:lang w:val="cs-CZ"/>
        </w:rPr>
        <w:t>inflační tlaky</w:t>
      </w:r>
      <w:r w:rsidRPr="005E17F7">
        <w:rPr>
          <w:rFonts w:ascii="Inter" w:hAnsi="Inter"/>
          <w:noProof w:val="0"/>
          <w:lang w:val="cs-CZ"/>
        </w:rPr>
        <w:t xml:space="preserve"> budou v roce 2024 </w:t>
      </w:r>
      <w:r w:rsidRPr="005E17F7">
        <w:rPr>
          <w:rFonts w:ascii="Inter" w:hAnsi="Inter"/>
          <w:b/>
          <w:bCs/>
          <w:noProof w:val="0"/>
          <w:lang w:val="cs-CZ"/>
        </w:rPr>
        <w:t>pokračovat v sestupném trendu</w:t>
      </w:r>
      <w:r w:rsidRPr="005E17F7">
        <w:rPr>
          <w:rFonts w:ascii="Inter" w:hAnsi="Inter"/>
          <w:noProof w:val="0"/>
          <w:lang w:val="cs-CZ"/>
        </w:rPr>
        <w:t xml:space="preserve">. </w:t>
      </w:r>
      <w:r w:rsidRPr="005E17F7">
        <w:rPr>
          <w:rFonts w:ascii="Inter" w:hAnsi="Inter"/>
          <w:b/>
          <w:bCs/>
          <w:noProof w:val="0"/>
          <w:lang w:val="cs-CZ"/>
        </w:rPr>
        <w:t>Trhy práce budou i nadále silné</w:t>
      </w:r>
      <w:r w:rsidRPr="005E17F7">
        <w:rPr>
          <w:rFonts w:ascii="Inter" w:hAnsi="Inter"/>
          <w:noProof w:val="0"/>
          <w:lang w:val="cs-CZ"/>
        </w:rPr>
        <w:t xml:space="preserve">, což by mělo podpořit hospodářské výsledky na všech trzích </w:t>
      </w:r>
      <w:r w:rsidR="00333B0E" w:rsidRPr="005E17F7">
        <w:rPr>
          <w:rFonts w:ascii="Inter" w:hAnsi="Inter"/>
          <w:noProof w:val="0"/>
          <w:lang w:val="cs-CZ"/>
        </w:rPr>
        <w:t>Erste Group</w:t>
      </w:r>
      <w:r w:rsidRPr="005E17F7">
        <w:rPr>
          <w:rFonts w:ascii="Inter" w:hAnsi="Inter"/>
          <w:noProof w:val="0"/>
          <w:lang w:val="cs-CZ"/>
        </w:rPr>
        <w:t xml:space="preserve">. Podle prognóz by mělo saldo běžného účtu zůstat ve většině zemí na udržitelné úrovni a fiskální deficity by měly pokračovat v konsolidaci. </w:t>
      </w:r>
      <w:r w:rsidRPr="005E17F7">
        <w:rPr>
          <w:rFonts w:ascii="Inter" w:hAnsi="Inter"/>
          <w:b/>
          <w:bCs/>
          <w:noProof w:val="0"/>
          <w:lang w:val="cs-CZ"/>
        </w:rPr>
        <w:t xml:space="preserve">Poměr veřejného dluhu k HDP </w:t>
      </w:r>
      <w:r w:rsidRPr="005E17F7">
        <w:rPr>
          <w:rFonts w:ascii="Inter" w:hAnsi="Inter"/>
          <w:noProof w:val="0"/>
          <w:lang w:val="cs-CZ"/>
        </w:rPr>
        <w:t xml:space="preserve">by měl být na všech trzích </w:t>
      </w:r>
      <w:r w:rsidR="00333B0E" w:rsidRPr="005E17F7">
        <w:rPr>
          <w:rFonts w:ascii="Inter" w:hAnsi="Inter"/>
          <w:noProof w:val="0"/>
          <w:lang w:val="cs-CZ"/>
        </w:rPr>
        <w:t xml:space="preserve">Erste Group </w:t>
      </w:r>
      <w:r w:rsidRPr="005E17F7">
        <w:rPr>
          <w:rFonts w:ascii="Inter" w:hAnsi="Inter"/>
          <w:b/>
          <w:bCs/>
          <w:noProof w:val="0"/>
          <w:lang w:val="cs-CZ"/>
        </w:rPr>
        <w:t xml:space="preserve">v podstatě stabilní </w:t>
      </w:r>
      <w:r w:rsidRPr="005E17F7">
        <w:rPr>
          <w:rFonts w:ascii="Inter" w:hAnsi="Inter"/>
          <w:noProof w:val="0"/>
          <w:lang w:val="cs-CZ"/>
        </w:rPr>
        <w:t>a zůstat tak výrazně pod průměrem eurozóny.</w:t>
      </w:r>
    </w:p>
    <w:p w14:paraId="404A3990" w14:textId="77777777" w:rsidR="00AB4AED" w:rsidRPr="005E17F7" w:rsidRDefault="00AB4AED" w:rsidP="00631773">
      <w:pPr>
        <w:pStyle w:val="Bezmezer"/>
        <w:spacing w:line="280" w:lineRule="exact"/>
        <w:rPr>
          <w:rFonts w:ascii="Inter" w:hAnsi="Inter"/>
          <w:lang w:val="cs-CZ"/>
        </w:rPr>
      </w:pPr>
    </w:p>
    <w:p w14:paraId="463FD103" w14:textId="69DF18DC" w:rsidR="00145945" w:rsidRPr="005E17F7" w:rsidRDefault="00D723F5" w:rsidP="00631773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  <w:r w:rsidRPr="005E17F7">
        <w:rPr>
          <w:rFonts w:ascii="Inter" w:hAnsi="Inter" w:cs="Arial"/>
          <w:sz w:val="20"/>
          <w:szCs w:val="20"/>
          <w:lang w:val="cs-CZ"/>
        </w:rPr>
        <w:t xml:space="preserve">V této situaci </w:t>
      </w:r>
      <w:r w:rsidR="00BD03F8" w:rsidRPr="005E17F7">
        <w:rPr>
          <w:rFonts w:ascii="Inter" w:hAnsi="Inter" w:cs="Arial"/>
          <w:sz w:val="20"/>
          <w:szCs w:val="20"/>
          <w:lang w:val="cs-CZ"/>
        </w:rPr>
        <w:t xml:space="preserve">Erste Group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očekává </w:t>
      </w:r>
      <w:r w:rsidRPr="005E17F7">
        <w:rPr>
          <w:rFonts w:ascii="Inter" w:hAnsi="Inter" w:cs="Arial"/>
          <w:b/>
          <w:bCs/>
          <w:sz w:val="20"/>
          <w:szCs w:val="20"/>
          <w:lang w:val="cs-CZ"/>
        </w:rPr>
        <w:t>čistý růst úvěrů ve výši zhruba</w:t>
      </w:r>
      <w:r w:rsidR="00BD03F8" w:rsidRPr="005E17F7">
        <w:rPr>
          <w:rFonts w:ascii="Inter" w:hAnsi="Inter" w:cs="Arial"/>
          <w:b/>
          <w:sz w:val="20"/>
          <w:szCs w:val="20"/>
          <w:lang w:val="cs-CZ"/>
        </w:rPr>
        <w:t xml:space="preserve"> 5</w:t>
      </w:r>
      <w:r w:rsidRPr="005E17F7">
        <w:rPr>
          <w:rFonts w:ascii="Inter" w:hAnsi="Inter" w:cs="Arial"/>
          <w:b/>
          <w:sz w:val="20"/>
          <w:szCs w:val="20"/>
          <w:lang w:val="cs-CZ"/>
        </w:rPr>
        <w:t> </w:t>
      </w:r>
      <w:r w:rsidR="00BD03F8" w:rsidRPr="005E17F7">
        <w:rPr>
          <w:rFonts w:ascii="Inter" w:hAnsi="Inter" w:cs="Arial"/>
          <w:b/>
          <w:sz w:val="20"/>
          <w:szCs w:val="20"/>
          <w:lang w:val="cs-CZ"/>
        </w:rPr>
        <w:t>%.</w:t>
      </w:r>
      <w:r w:rsidR="00BD03F8" w:rsidRPr="005E17F7">
        <w:rPr>
          <w:rFonts w:ascii="Inter" w:hAnsi="Inter" w:cs="Arial"/>
          <w:sz w:val="20"/>
          <w:szCs w:val="20"/>
          <w:lang w:val="cs-CZ"/>
        </w:rPr>
        <w:t xml:space="preserve"> 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Na základě makroekonomického výhledu by v roce 2024 </w:t>
      </w:r>
      <w:r w:rsidRPr="005E17F7">
        <w:rPr>
          <w:rFonts w:ascii="Inter" w:hAnsi="Inter" w:cs="Arial"/>
          <w:b/>
          <w:bCs/>
          <w:sz w:val="20"/>
          <w:szCs w:val="20"/>
          <w:lang w:val="cs-CZ"/>
        </w:rPr>
        <w:t xml:space="preserve">měly náklady na rizika zůstat na </w:t>
      </w:r>
      <w:r w:rsidR="00145945" w:rsidRPr="005E17F7">
        <w:rPr>
          <w:rFonts w:ascii="Inter" w:hAnsi="Inter" w:cs="Arial"/>
          <w:b/>
          <w:bCs/>
          <w:sz w:val="20"/>
          <w:szCs w:val="20"/>
          <w:lang w:val="cs-CZ"/>
        </w:rPr>
        <w:t xml:space="preserve">dosavadní nízké úrovni. </w:t>
      </w:r>
      <w:r w:rsidR="00145945" w:rsidRPr="005E17F7">
        <w:rPr>
          <w:rFonts w:ascii="Inter" w:hAnsi="Inter" w:cs="Arial"/>
          <w:sz w:val="20"/>
          <w:szCs w:val="20"/>
          <w:lang w:val="cs-CZ"/>
        </w:rPr>
        <w:t xml:space="preserve">Při současných nízkých úrovních rizikových nákladů je sice přesná prognóza obtížná, </w:t>
      </w:r>
      <w:r w:rsidR="00DD1B1D" w:rsidRPr="005E17F7">
        <w:rPr>
          <w:rFonts w:ascii="Inter" w:hAnsi="Inter" w:cs="Arial"/>
          <w:sz w:val="20"/>
          <w:szCs w:val="20"/>
          <w:lang w:val="cs-CZ"/>
        </w:rPr>
        <w:t xml:space="preserve">Erste Group </w:t>
      </w:r>
      <w:r w:rsidR="00145945" w:rsidRPr="005E17F7">
        <w:rPr>
          <w:rFonts w:ascii="Inter" w:hAnsi="Inter" w:cs="Arial"/>
          <w:sz w:val="20"/>
          <w:szCs w:val="20"/>
          <w:lang w:val="cs-CZ"/>
        </w:rPr>
        <w:t xml:space="preserve">je však přesvědčena, že v roce 2024 rizikové náklady </w:t>
      </w:r>
      <w:r w:rsidR="00F91EC8" w:rsidRPr="005E17F7">
        <w:rPr>
          <w:rFonts w:ascii="Inter" w:hAnsi="Inter" w:cs="Arial"/>
          <w:sz w:val="20"/>
          <w:szCs w:val="20"/>
          <w:lang w:val="cs-CZ"/>
        </w:rPr>
        <w:t xml:space="preserve">nevzrostou </w:t>
      </w:r>
      <w:r w:rsidR="00145945" w:rsidRPr="005E17F7">
        <w:rPr>
          <w:rFonts w:ascii="Inter" w:hAnsi="Inter" w:cs="Arial"/>
          <w:sz w:val="20"/>
          <w:szCs w:val="20"/>
          <w:lang w:val="cs-CZ"/>
        </w:rPr>
        <w:t xml:space="preserve">nad </w:t>
      </w:r>
      <w:r w:rsidR="00DD1B1D" w:rsidRPr="005E17F7">
        <w:rPr>
          <w:rFonts w:ascii="Inter" w:hAnsi="Inter" w:cs="Arial"/>
          <w:sz w:val="20"/>
          <w:szCs w:val="20"/>
          <w:lang w:val="cs-CZ"/>
        </w:rPr>
        <w:t>25 ba</w:t>
      </w:r>
      <w:r w:rsidR="00145945" w:rsidRPr="005E17F7">
        <w:rPr>
          <w:rFonts w:ascii="Inter" w:hAnsi="Inter" w:cs="Arial"/>
          <w:sz w:val="20"/>
          <w:szCs w:val="20"/>
          <w:lang w:val="cs-CZ"/>
        </w:rPr>
        <w:t>zických bodů průměrných hrubých klientských úvěrů.</w:t>
      </w:r>
    </w:p>
    <w:p w14:paraId="3A159ABE" w14:textId="77777777" w:rsidR="00145945" w:rsidRPr="005E17F7" w:rsidRDefault="00145945" w:rsidP="00631773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</w:p>
    <w:p w14:paraId="36FF026B" w14:textId="6B42596D" w:rsidR="00957973" w:rsidRPr="005E17F7" w:rsidRDefault="00145945" w:rsidP="00631773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  <w:r w:rsidRPr="005E17F7">
        <w:rPr>
          <w:rFonts w:ascii="Inter" w:hAnsi="Inter" w:cs="Arial"/>
          <w:sz w:val="20"/>
          <w:szCs w:val="20"/>
          <w:lang w:val="cs-CZ"/>
        </w:rPr>
        <w:t xml:space="preserve">Cílem </w:t>
      </w:r>
      <w:r w:rsidR="00337627" w:rsidRPr="005E17F7">
        <w:rPr>
          <w:rFonts w:ascii="Inter" w:hAnsi="Inter" w:cs="Arial"/>
          <w:sz w:val="20"/>
          <w:szCs w:val="20"/>
          <w:lang w:val="cs-CZ"/>
        </w:rPr>
        <w:t>Erste Group</w:t>
      </w:r>
      <w:r w:rsidRPr="005E17F7">
        <w:rPr>
          <w:rFonts w:ascii="Inter" w:hAnsi="Inter" w:cs="Arial"/>
          <w:sz w:val="20"/>
          <w:szCs w:val="20"/>
          <w:lang w:val="cs-CZ"/>
        </w:rPr>
        <w:t xml:space="preserve"> v roce 2024 je dosáhnout </w:t>
      </w:r>
      <w:r w:rsidRPr="005E17F7">
        <w:rPr>
          <w:rFonts w:ascii="Inter" w:hAnsi="Inter" w:cs="Arial"/>
          <w:b/>
          <w:bCs/>
          <w:sz w:val="20"/>
          <w:szCs w:val="20"/>
          <w:lang w:val="cs-CZ"/>
        </w:rPr>
        <w:t xml:space="preserve">návratnosti </w:t>
      </w:r>
      <w:r w:rsidR="005223BB" w:rsidRPr="005E17F7">
        <w:rPr>
          <w:rFonts w:ascii="Inter" w:hAnsi="Inter" w:cs="Arial"/>
          <w:b/>
          <w:bCs/>
          <w:sz w:val="20"/>
          <w:szCs w:val="20"/>
          <w:lang w:val="cs-CZ"/>
        </w:rPr>
        <w:t xml:space="preserve">hmotného kapitálu </w:t>
      </w:r>
      <w:r w:rsidR="00337627" w:rsidRPr="005E17F7">
        <w:rPr>
          <w:rFonts w:ascii="Inter" w:hAnsi="Inter" w:cs="Arial"/>
          <w:b/>
          <w:bCs/>
          <w:sz w:val="20"/>
          <w:szCs w:val="20"/>
          <w:lang w:val="cs-CZ"/>
        </w:rPr>
        <w:t>(ROTE)</w:t>
      </w:r>
      <w:r w:rsidR="00337627" w:rsidRPr="005E17F7">
        <w:rPr>
          <w:rFonts w:ascii="Inter" w:hAnsi="Inter" w:cs="Arial"/>
          <w:sz w:val="20"/>
          <w:szCs w:val="20"/>
          <w:lang w:val="cs-CZ"/>
        </w:rPr>
        <w:t xml:space="preserve"> </w:t>
      </w:r>
      <w:r w:rsidR="005223BB" w:rsidRPr="005E17F7">
        <w:rPr>
          <w:rFonts w:ascii="Inter" w:hAnsi="Inter" w:cs="Arial"/>
          <w:sz w:val="20"/>
          <w:szCs w:val="20"/>
          <w:lang w:val="cs-CZ"/>
        </w:rPr>
        <w:t xml:space="preserve">ve výši kolem </w:t>
      </w:r>
      <w:r w:rsidR="00337627" w:rsidRPr="005E17F7">
        <w:rPr>
          <w:rFonts w:ascii="Inter" w:hAnsi="Inter" w:cs="Arial"/>
          <w:sz w:val="20"/>
          <w:szCs w:val="20"/>
          <w:lang w:val="cs-CZ"/>
        </w:rPr>
        <w:t>15</w:t>
      </w:r>
      <w:r w:rsidR="005223BB" w:rsidRPr="005E17F7">
        <w:rPr>
          <w:rFonts w:ascii="Inter" w:hAnsi="Inter" w:cs="Arial"/>
          <w:sz w:val="20"/>
          <w:szCs w:val="20"/>
          <w:lang w:val="cs-CZ"/>
        </w:rPr>
        <w:t> </w:t>
      </w:r>
      <w:r w:rsidR="00337627" w:rsidRPr="005E17F7">
        <w:rPr>
          <w:rFonts w:ascii="Inter" w:hAnsi="Inter" w:cs="Arial"/>
          <w:sz w:val="20"/>
          <w:szCs w:val="20"/>
          <w:lang w:val="cs-CZ"/>
        </w:rPr>
        <w:t xml:space="preserve">%. </w:t>
      </w:r>
      <w:r w:rsidR="005223BB" w:rsidRPr="005E17F7">
        <w:rPr>
          <w:rFonts w:ascii="Inter" w:hAnsi="Inter" w:cs="Arial"/>
          <w:sz w:val="20"/>
          <w:szCs w:val="20"/>
          <w:lang w:val="cs-CZ"/>
        </w:rPr>
        <w:t>Očekává se, že ukazatel</w:t>
      </w:r>
      <w:r w:rsidR="00354E34" w:rsidRPr="005E17F7">
        <w:rPr>
          <w:rFonts w:ascii="Inter" w:hAnsi="Inter" w:cs="Arial"/>
          <w:sz w:val="20"/>
          <w:szCs w:val="20"/>
          <w:lang w:val="cs-CZ"/>
        </w:rPr>
        <w:t xml:space="preserve"> </w:t>
      </w:r>
      <w:r w:rsidR="00182143" w:rsidRPr="005E17F7">
        <w:rPr>
          <w:rFonts w:ascii="Inter" w:hAnsi="Inter" w:cs="Arial"/>
          <w:b/>
          <w:bCs/>
          <w:sz w:val="20"/>
          <w:szCs w:val="20"/>
          <w:lang w:val="cs-CZ"/>
        </w:rPr>
        <w:t>CET1</w:t>
      </w:r>
      <w:r w:rsidR="00182143" w:rsidRPr="005E17F7">
        <w:rPr>
          <w:rFonts w:ascii="Inter" w:hAnsi="Inter" w:cs="Arial"/>
          <w:sz w:val="20"/>
          <w:szCs w:val="20"/>
          <w:lang w:val="cs-CZ"/>
        </w:rPr>
        <w:t xml:space="preserve"> </w:t>
      </w:r>
      <w:r w:rsidR="005223BB" w:rsidRPr="005E17F7">
        <w:rPr>
          <w:rFonts w:ascii="Inter" w:hAnsi="Inter" w:cs="Arial"/>
          <w:sz w:val="20"/>
          <w:szCs w:val="20"/>
          <w:lang w:val="cs-CZ"/>
        </w:rPr>
        <w:t xml:space="preserve">bude i nadále stabilní, což zajistí vyšší návratnost kapitálu a/nebo flexibilitu v oblasti fúzí a akvizic, a to přesto, že </w:t>
      </w:r>
      <w:r w:rsidR="00182143" w:rsidRPr="005E17F7">
        <w:rPr>
          <w:rFonts w:ascii="Inter" w:hAnsi="Inter" w:cs="Arial"/>
          <w:sz w:val="20"/>
          <w:szCs w:val="20"/>
          <w:lang w:val="cs-CZ"/>
        </w:rPr>
        <w:t xml:space="preserve">Erste Group </w:t>
      </w:r>
      <w:r w:rsidR="00723C6C">
        <w:rPr>
          <w:rFonts w:ascii="Inter" w:hAnsi="Inter" w:cs="Arial"/>
          <w:sz w:val="20"/>
          <w:szCs w:val="20"/>
          <w:lang w:val="cs-CZ"/>
        </w:rPr>
        <w:t xml:space="preserve">plánuje </w:t>
      </w:r>
      <w:r w:rsidR="005223BB" w:rsidRPr="005E17F7">
        <w:rPr>
          <w:rFonts w:ascii="Inter" w:hAnsi="Inter" w:cs="Arial"/>
          <w:sz w:val="20"/>
          <w:szCs w:val="20"/>
          <w:lang w:val="cs-CZ"/>
        </w:rPr>
        <w:t xml:space="preserve">v roce 2024 </w:t>
      </w:r>
      <w:r w:rsidR="00080B77">
        <w:rPr>
          <w:rFonts w:ascii="Inter" w:hAnsi="Inter" w:cs="Arial"/>
          <w:sz w:val="20"/>
          <w:szCs w:val="20"/>
          <w:lang w:val="cs-CZ"/>
        </w:rPr>
        <w:t xml:space="preserve">vynaložit 500 milionů eur na </w:t>
      </w:r>
      <w:r w:rsidR="005223BB" w:rsidRPr="005E17F7">
        <w:rPr>
          <w:rFonts w:ascii="Inter" w:hAnsi="Inter" w:cs="Arial"/>
          <w:b/>
          <w:bCs/>
          <w:sz w:val="20"/>
          <w:szCs w:val="20"/>
          <w:lang w:val="cs-CZ"/>
        </w:rPr>
        <w:t>zpětný odkup akcií</w:t>
      </w:r>
      <w:r w:rsidR="00182143" w:rsidRPr="005E17F7">
        <w:rPr>
          <w:rFonts w:ascii="Inter" w:hAnsi="Inter" w:cs="Arial"/>
          <w:sz w:val="20"/>
          <w:szCs w:val="20"/>
          <w:lang w:val="cs-CZ"/>
        </w:rPr>
        <w:t>.</w:t>
      </w:r>
    </w:p>
    <w:p w14:paraId="0AE791DA" w14:textId="77777777" w:rsidR="00B20578" w:rsidRPr="005E17F7" w:rsidRDefault="00B20578" w:rsidP="00631773">
      <w:pPr>
        <w:pStyle w:val="Bezmezer"/>
        <w:spacing w:line="280" w:lineRule="exact"/>
        <w:rPr>
          <w:rFonts w:ascii="Inter" w:hAnsi="Inter" w:cs="Arial"/>
          <w:sz w:val="20"/>
          <w:szCs w:val="20"/>
          <w:lang w:val="cs-CZ"/>
        </w:rPr>
      </w:pPr>
    </w:p>
    <w:p w14:paraId="6B84D661" w14:textId="77777777" w:rsidR="00B20578" w:rsidRPr="00B75DD6" w:rsidRDefault="00B20578" w:rsidP="00631773">
      <w:pPr>
        <w:pStyle w:val="Bezmezer"/>
        <w:spacing w:line="280" w:lineRule="exact"/>
        <w:rPr>
          <w:rFonts w:ascii="Inter" w:hAnsi="Inter"/>
          <w:lang w:val="cs-CZ"/>
        </w:rPr>
      </w:pPr>
    </w:p>
    <w:p w14:paraId="40774592" w14:textId="77777777" w:rsidR="00CC18B8" w:rsidRPr="00B75DD6" w:rsidRDefault="00711D5D" w:rsidP="009844F9">
      <w:pPr>
        <w:rPr>
          <w:rFonts w:ascii="Inter" w:hAnsi="Inter"/>
          <w:noProof w:val="0"/>
          <w:lang w:val="cs-CZ"/>
        </w:rPr>
      </w:pPr>
      <w:r w:rsidRPr="00B75DD6">
        <w:rPr>
          <w:rFonts w:ascii="Inter" w:hAnsi="Inter"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492082" wp14:editId="6770F942">
                <wp:simplePos x="0" y="0"/>
                <wp:positionH relativeFrom="column">
                  <wp:posOffset>-10795</wp:posOffset>
                </wp:positionH>
                <wp:positionV relativeFrom="paragraph">
                  <wp:posOffset>41275</wp:posOffset>
                </wp:positionV>
                <wp:extent cx="5744845" cy="1554480"/>
                <wp:effectExtent l="0" t="0" r="27305" b="28575"/>
                <wp:wrapTopAndBottom/>
                <wp:docPr id="7" name="Rechteck: abgerundete Ecken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55448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noFill/>
                        <a:ln w="19050">
                          <a:solidFill>
                            <a:srgbClr val="2870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9EF20" w14:textId="77777777" w:rsidR="00704795" w:rsidRPr="00830527" w:rsidRDefault="00704795" w:rsidP="00704795">
                            <w:pPr>
                              <w:ind w:left="-426"/>
                              <w:jc w:val="center"/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lang w:val="cs-CZ"/>
                              </w:rPr>
                            </w:pPr>
                            <w:r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Dotazy médií</w:t>
                            </w:r>
                            <w:r w:rsidRPr="00830527">
                              <w:rPr>
                                <w:rFonts w:ascii="Inter" w:eastAsia="Arial" w:hAnsi="Inter"/>
                                <w:b/>
                                <w:bCs/>
                                <w:color w:val="2870ED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:</w:t>
                            </w:r>
                          </w:p>
                          <w:p w14:paraId="18C5624B" w14:textId="2E1763DC" w:rsidR="00711D5D" w:rsidRPr="00711D5D" w:rsidRDefault="00704795" w:rsidP="00704795">
                            <w:pPr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Erste Group | 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Tiskové oddělení</w:t>
                            </w:r>
                            <w:r w:rsidR="00711D5D"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>, Am Belvedere 1, 1100 Wien</w:t>
                            </w:r>
                          </w:p>
                          <w:p w14:paraId="6758A851" w14:textId="506A02D9" w:rsidR="00711D5D" w:rsidRDefault="00711D5D" w:rsidP="00711D5D">
                            <w:pPr>
                              <w:ind w:left="-426"/>
                              <w:jc w:val="center"/>
                              <w:rPr>
                                <w:rStyle w:val="Hypertextovodkaz"/>
                                <w:rFonts w:ascii="Inter" w:hAnsi="Inter"/>
                                <w:color w:val="2870ED"/>
                                <w:lang w:val="en-US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en-US"/>
                              </w:rPr>
                              <w:t xml:space="preserve">Christian Hromatka, 050100 - 13711, E-Mail: </w:t>
                            </w:r>
                            <w:hyperlink r:id="rId11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  <w:lang w:val="en-US"/>
                                </w:rPr>
                                <w:t>christian.hromatka@erstegroup.com</w:t>
                              </w:r>
                            </w:hyperlink>
                          </w:p>
                          <w:p w14:paraId="610F4F43" w14:textId="64F02A56" w:rsidR="00E638DA" w:rsidRPr="00E638DA" w:rsidRDefault="00E638DA" w:rsidP="00E638DA">
                            <w:pPr>
                              <w:ind w:left="-426"/>
                              <w:jc w:val="center"/>
                              <w:rPr>
                                <w:rStyle w:val="Hypertextovodkaz"/>
                                <w:rFonts w:ascii="Inter" w:hAnsi="Inter"/>
                                <w:color w:val="2870ED"/>
                              </w:rPr>
                            </w:pPr>
                            <w:r w:rsidRPr="00E638DA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>Peter Kl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opf, </w:t>
                            </w:r>
                            <w:r w:rsidRPr="00E638DA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 050100 - 1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>1676</w:t>
                            </w:r>
                            <w:r w:rsidRPr="00E638DA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, E-Mail: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</w:rPr>
                                <w:t>peter.klopf@erstegroup.com</w:t>
                              </w:r>
                            </w:hyperlink>
                          </w:p>
                          <w:p w14:paraId="4F3E19CB" w14:textId="3679E93D" w:rsidR="00711D5D" w:rsidRPr="00711D5D" w:rsidRDefault="00711D5D" w:rsidP="00E638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11D5D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  <w:t xml:space="preserve">Martin Sonn-Wende, 050100 - 11680, E-Mail: </w:t>
                            </w:r>
                            <w:hyperlink r:id="rId13" w:history="1">
                              <w:r w:rsidRPr="00711D5D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</w:rPr>
                                <w:t>martin.sonn-wende@erstegroup.com</w:t>
                              </w:r>
                            </w:hyperlink>
                          </w:p>
                          <w:p w14:paraId="1B506153" w14:textId="77777777" w:rsidR="007263E4" w:rsidRPr="00777A92" w:rsidRDefault="007263E4" w:rsidP="00711D5D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</w:rPr>
                            </w:pPr>
                          </w:p>
                          <w:p w14:paraId="0C43FAFB" w14:textId="77777777" w:rsidR="00704795" w:rsidRPr="00830527" w:rsidRDefault="00704795" w:rsidP="00704795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Style w:val="Hypertextovodkaz"/>
                                <w:rFonts w:ascii="Inter" w:hAnsi="Inter"/>
                                <w:color w:val="2870ED"/>
                                <w:lang w:val="cs-CZ"/>
                              </w:rPr>
                            </w:pP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Text </w:t>
                            </w:r>
                            <w:r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>je k dispozici také na</w:t>
                            </w:r>
                            <w:r w:rsidRPr="00830527"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shd w:val="clear" w:color="auto" w:fill="auto"/>
                                <w:lang w:val="cs-CZ"/>
                              </w:rPr>
                              <w:t xml:space="preserve">: </w:t>
                            </w:r>
                            <w:hyperlink r:id="rId14">
                              <w:r w:rsidRPr="00830527">
                                <w:rPr>
                                  <w:rStyle w:val="Hypertextovodkaz"/>
                                  <w:rFonts w:ascii="Inter" w:hAnsi="Inter"/>
                                  <w:color w:val="2870ED"/>
                                  <w:lang w:val="cs-CZ"/>
                                </w:rPr>
                                <w:t>https://www.erstegroup.com/en/news-media</w:t>
                              </w:r>
                            </w:hyperlink>
                          </w:p>
                          <w:p w14:paraId="5A6DACEA" w14:textId="27003984" w:rsidR="00711D5D" w:rsidRPr="00711D5D" w:rsidRDefault="00704795" w:rsidP="00704795">
                            <w:pPr>
                              <w:autoSpaceDE w:val="0"/>
                              <w:autoSpaceDN w:val="0"/>
                              <w:adjustRightInd w:val="0"/>
                              <w:ind w:left="-426"/>
                              <w:jc w:val="center"/>
                              <w:rPr>
                                <w:rFonts w:ascii="Inter" w:eastAsia="Arial" w:hAnsi="Inter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Style w:val="Hypertextovodkaz"/>
                                <w:rFonts w:ascii="Inter" w:hAnsi="Inter"/>
                                <w:color w:val="000000" w:themeColor="text1"/>
                                <w:u w:val="none"/>
                                <w:lang w:val="cs-CZ"/>
                              </w:rPr>
                              <w:t>Pokud si nepřejete dále dostávat informace pro média,</w:t>
                            </w:r>
                            <w:r w:rsidRPr="00830527">
                              <w:rPr>
                                <w:rStyle w:val="Hypertextovodkaz"/>
                                <w:rFonts w:ascii="Inter" w:hAnsi="Inter"/>
                                <w:color w:val="000000" w:themeColor="text1"/>
                                <w:u w:val="none"/>
                                <w:lang w:val="cs-CZ"/>
                              </w:rPr>
                              <w:t xml:space="preserve"> </w:t>
                            </w:r>
                            <w:hyperlink r:id="rId15" w:history="1">
                              <w:r w:rsidRPr="00A70F5C">
                                <w:rPr>
                                  <w:rStyle w:val="Hypertextovodkaz"/>
                                  <w:rFonts w:ascii="Inter" w:hAnsi="Inter"/>
                                  <w:lang w:val="cs-CZ"/>
                                </w:rPr>
                                <w:t>napište nám prosím e-mail na adresu presse@erstebank.at</w:t>
                              </w:r>
                            </w:hyperlink>
                            <w:r w:rsidR="00711D5D" w:rsidRPr="00113355">
                              <w:rPr>
                                <w:rStyle w:val="Hypertextovodkaz"/>
                                <w:rFonts w:ascii="Inter" w:hAnsi="Inter"/>
                                <w:color w:val="2870ED"/>
                                <w:u w:val="non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92082" id="Rechteck: abgerundete Ecken 605" o:spid="_x0000_s1026" style="position:absolute;margin-left:-.85pt;margin-top:3.25pt;width:452.35pt;height:12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" filled="f" strokecolor="#2870ed" strokeweight="1.5pt">
                <v:stroke joinstyle="miter"/>
                <v:textbox style="mso-fit-shape-to-text:t" inset="5mm,,5mm">
                  <w:txbxContent>
                    <w:p w14:paraId="2EB9EF20" w14:textId="77777777" w:rsidR="00704795" w:rsidRPr="00830527" w:rsidRDefault="00704795" w:rsidP="00704795">
                      <w:pPr>
                        <w:ind w:left="-426"/>
                        <w:jc w:val="center"/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lang w:val="cs-CZ"/>
                        </w:rPr>
                      </w:pPr>
                      <w:r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Dotazy médií</w:t>
                      </w:r>
                      <w:r w:rsidRPr="00830527">
                        <w:rPr>
                          <w:rFonts w:ascii="Inter" w:eastAsia="Arial" w:hAnsi="Inter"/>
                          <w:b/>
                          <w:bCs/>
                          <w:color w:val="2870ED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:</w:t>
                      </w:r>
                    </w:p>
                    <w:p w14:paraId="18C5624B" w14:textId="2E1763DC" w:rsidR="00711D5D" w:rsidRPr="00711D5D" w:rsidRDefault="00704795" w:rsidP="00704795">
                      <w:pPr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Erste Group | 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Tiskové oddělení</w:t>
                      </w:r>
                      <w:r w:rsidR="00711D5D"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>, Am Belvedere 1, 1100 Wien</w:t>
                      </w:r>
                    </w:p>
                    <w:p w14:paraId="6758A851" w14:textId="506A02D9" w:rsidR="00711D5D" w:rsidRDefault="00711D5D" w:rsidP="00711D5D">
                      <w:pPr>
                        <w:ind w:left="-426"/>
                        <w:jc w:val="center"/>
                        <w:rPr>
                          <w:rStyle w:val="Hyperlink"/>
                          <w:rFonts w:ascii="Inter" w:hAnsi="Inter"/>
                          <w:color w:val="2870ED"/>
                          <w:lang w:val="en-US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en-US"/>
                        </w:rPr>
                        <w:t xml:space="preserve">Christian Hromatka, 050100 - 13711, E-Mail: </w:t>
                      </w:r>
                      <w:hyperlink r:id="rId16" w:history="1">
                        <w:r w:rsidRPr="00711D5D">
                          <w:rPr>
                            <w:rStyle w:val="Hyperlink"/>
                            <w:rFonts w:ascii="Inter" w:hAnsi="Inter"/>
                            <w:color w:val="2870ED"/>
                            <w:lang w:val="en-US"/>
                          </w:rPr>
                          <w:t>christian.hromatka@erstegroup.com</w:t>
                        </w:r>
                      </w:hyperlink>
                    </w:p>
                    <w:p w14:paraId="610F4F43" w14:textId="64F02A56" w:rsidR="00E638DA" w:rsidRPr="00E638DA" w:rsidRDefault="00E638DA" w:rsidP="00E638DA">
                      <w:pPr>
                        <w:ind w:left="-426"/>
                        <w:jc w:val="center"/>
                        <w:rPr>
                          <w:rStyle w:val="Hyperlink"/>
                          <w:rFonts w:ascii="Inter" w:hAnsi="Inter"/>
                          <w:color w:val="2870ED"/>
                        </w:rPr>
                      </w:pPr>
                      <w:r w:rsidRPr="00E638DA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>Peter Kl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opf, </w:t>
                      </w:r>
                      <w:r w:rsidRPr="00E638DA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 050100 - 1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>1676</w:t>
                      </w:r>
                      <w:r w:rsidRPr="00E638DA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, E-Mail: </w:t>
                      </w:r>
                      <w:hyperlink r:id="rId17" w:history="1">
                        <w:r>
                          <w:rPr>
                            <w:rStyle w:val="Hyperlink"/>
                            <w:rFonts w:ascii="Inter" w:hAnsi="Inter"/>
                            <w:color w:val="2870ED"/>
                          </w:rPr>
                          <w:t>peter.klopf@erstegroup.com</w:t>
                        </w:r>
                      </w:hyperlink>
                    </w:p>
                    <w:p w14:paraId="4F3E19CB" w14:textId="3679E93D" w:rsidR="00711D5D" w:rsidRPr="00711D5D" w:rsidRDefault="00711D5D" w:rsidP="00E638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</w:rPr>
                      </w:pPr>
                      <w:r w:rsidRPr="00711D5D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  <w:t xml:space="preserve">Martin Sonn-Wende, 050100 - 11680, E-Mail: </w:t>
                      </w:r>
                      <w:hyperlink r:id="rId18" w:history="1">
                        <w:r w:rsidRPr="00711D5D">
                          <w:rPr>
                            <w:rStyle w:val="Hyperlink"/>
                            <w:rFonts w:ascii="Inter" w:hAnsi="Inter"/>
                            <w:color w:val="2870ED"/>
                          </w:rPr>
                          <w:t>martin.sonn-wende@erstegroup.com</w:t>
                        </w:r>
                      </w:hyperlink>
                    </w:p>
                    <w:p w14:paraId="1B506153" w14:textId="77777777" w:rsidR="007263E4" w:rsidRPr="00777A92" w:rsidRDefault="007263E4" w:rsidP="00711D5D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</w:rPr>
                      </w:pPr>
                    </w:p>
                    <w:p w14:paraId="0C43FAFB" w14:textId="77777777" w:rsidR="00704795" w:rsidRPr="00830527" w:rsidRDefault="00704795" w:rsidP="00704795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Style w:val="Hyperlink"/>
                          <w:rFonts w:ascii="Inter" w:hAnsi="Inter"/>
                          <w:color w:val="2870ED"/>
                          <w:lang w:val="cs-CZ"/>
                        </w:rPr>
                      </w:pP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Text </w:t>
                      </w:r>
                      <w:r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>je k dispozici také na</w:t>
                      </w:r>
                      <w:r w:rsidRPr="00830527"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shd w:val="clear" w:color="auto" w:fill="auto"/>
                          <w:lang w:val="cs-CZ"/>
                        </w:rPr>
                        <w:t xml:space="preserve">: </w:t>
                      </w:r>
                      <w:hyperlink r:id="rId19">
                        <w:r w:rsidRPr="00830527">
                          <w:rPr>
                            <w:rStyle w:val="Hyperlink"/>
                            <w:rFonts w:ascii="Inter" w:hAnsi="Inter"/>
                            <w:color w:val="2870ED"/>
                            <w:lang w:val="cs-CZ"/>
                          </w:rPr>
                          <w:t>https://www.erstegroup.com/en/news-media</w:t>
                        </w:r>
                      </w:hyperlink>
                    </w:p>
                    <w:p w14:paraId="5A6DACEA" w14:textId="27003984" w:rsidR="00711D5D" w:rsidRPr="00711D5D" w:rsidRDefault="00704795" w:rsidP="00704795">
                      <w:pPr>
                        <w:autoSpaceDE w:val="0"/>
                        <w:autoSpaceDN w:val="0"/>
                        <w:adjustRightInd w:val="0"/>
                        <w:ind w:left="-426"/>
                        <w:jc w:val="center"/>
                        <w:rPr>
                          <w:rFonts w:ascii="Inter" w:eastAsia="Arial" w:hAnsi="Inter"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Style w:val="Hyperlink"/>
                          <w:rFonts w:ascii="Inter" w:hAnsi="Inter"/>
                          <w:color w:val="000000" w:themeColor="text1"/>
                          <w:u w:val="none"/>
                          <w:lang w:val="cs-CZ"/>
                        </w:rPr>
                        <w:t>Pokud si nepřejete dále dostávat informace pro média,</w:t>
                      </w:r>
                      <w:r w:rsidRPr="00830527">
                        <w:rPr>
                          <w:rStyle w:val="Hyperlink"/>
                          <w:rFonts w:ascii="Inter" w:hAnsi="Inter"/>
                          <w:color w:val="000000" w:themeColor="text1"/>
                          <w:u w:val="none"/>
                          <w:lang w:val="cs-CZ"/>
                        </w:rPr>
                        <w:t xml:space="preserve"> </w:t>
                      </w:r>
                      <w:hyperlink r:id="rId20" w:history="1">
                        <w:r w:rsidRPr="00A70F5C">
                          <w:rPr>
                            <w:rStyle w:val="Hyperlink"/>
                            <w:rFonts w:ascii="Inter" w:hAnsi="Inter"/>
                            <w:lang w:val="cs-CZ"/>
                          </w:rPr>
                          <w:t>napište nám prosím e-mail na adresu presse@erstebank.at</w:t>
                        </w:r>
                      </w:hyperlink>
                      <w:r w:rsidR="00711D5D" w:rsidRPr="00113355">
                        <w:rPr>
                          <w:rStyle w:val="Hyperlink"/>
                          <w:rFonts w:ascii="Inter" w:hAnsi="Inter"/>
                          <w:color w:val="2870ED"/>
                          <w:u w:val="none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CC18B8" w:rsidRPr="00B75DD6" w:rsidSect="00C94C4C">
      <w:headerReference w:type="default" r:id="rId21"/>
      <w:headerReference w:type="first" r:id="rId22"/>
      <w:footerReference w:type="first" r:id="rId23"/>
      <w:pgSz w:w="11900" w:h="16840"/>
      <w:pgMar w:top="2268" w:right="1417" w:bottom="1276" w:left="1417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51F4" w14:textId="77777777" w:rsidR="00C94C4C" w:rsidRDefault="00C94C4C" w:rsidP="009844F9">
      <w:r>
        <w:separator/>
      </w:r>
    </w:p>
  </w:endnote>
  <w:endnote w:type="continuationSeparator" w:id="0">
    <w:p w14:paraId="30689EE8" w14:textId="77777777" w:rsidR="00C94C4C" w:rsidRDefault="00C94C4C" w:rsidP="009844F9">
      <w:r>
        <w:continuationSeparator/>
      </w:r>
    </w:p>
  </w:endnote>
  <w:endnote w:type="continuationNotice" w:id="1">
    <w:p w14:paraId="2D0391CA" w14:textId="77777777" w:rsidR="00C94C4C" w:rsidRDefault="00C94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0F7" w14:textId="77777777" w:rsidR="0069608C" w:rsidRDefault="00553F90" w:rsidP="0069608C">
    <w:pPr>
      <w:ind w:left="-426"/>
      <w:jc w:val="center"/>
      <w:rPr>
        <w:rFonts w:eastAsia="Arial"/>
        <w:b/>
        <w:bCs/>
        <w:sz w:val="14"/>
        <w:szCs w:val="14"/>
      </w:rPr>
    </w:pPr>
    <w:r w:rsidRPr="00553F90">
      <w:rPr>
        <w:rFonts w:eastAsia="Arial"/>
        <w:sz w:val="14"/>
        <w:szCs w:val="14"/>
        <w:shd w:val="clear" w:color="auto" w:fill="aut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FE259A" wp14:editId="2FF54CCE">
              <wp:simplePos x="0" y="0"/>
              <wp:positionH relativeFrom="column">
                <wp:posOffset>-890905</wp:posOffset>
              </wp:positionH>
              <wp:positionV relativeFrom="paragraph">
                <wp:posOffset>362162</wp:posOffset>
              </wp:positionV>
              <wp:extent cx="7543800" cy="270933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70933"/>
                      </a:xfrm>
                      <a:prstGeom prst="rect">
                        <a:avLst/>
                      </a:prstGeom>
                      <a:solidFill>
                        <a:srgbClr val="0077B3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0143E" id="Rechteck 4" o:spid="_x0000_s1026" style="position:absolute;margin-left:-70.15pt;margin-top:28.5pt;width:594pt;height:2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" fillcolor="#0077b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238A" w14:textId="77777777" w:rsidR="00C94C4C" w:rsidRDefault="00C94C4C" w:rsidP="009844F9">
      <w:r>
        <w:separator/>
      </w:r>
    </w:p>
  </w:footnote>
  <w:footnote w:type="continuationSeparator" w:id="0">
    <w:p w14:paraId="45ADEB7E" w14:textId="77777777" w:rsidR="00C94C4C" w:rsidRDefault="00C94C4C" w:rsidP="009844F9">
      <w:r>
        <w:continuationSeparator/>
      </w:r>
    </w:p>
  </w:footnote>
  <w:footnote w:type="continuationNotice" w:id="1">
    <w:p w14:paraId="1B37D932" w14:textId="77777777" w:rsidR="00C94C4C" w:rsidRDefault="00C94C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AF63" w14:textId="77777777" w:rsidR="00897B52" w:rsidRPr="00E57665" w:rsidRDefault="002B44FF" w:rsidP="0005724A">
    <w:pPr>
      <w:pStyle w:val="Zhlav"/>
    </w:pPr>
    <w:r w:rsidRPr="0066165B">
      <w:rPr>
        <w:highlight w:val="blue"/>
      </w:rPr>
      <w:drawing>
        <wp:anchor distT="0" distB="0" distL="114300" distR="114300" simplePos="0" relativeHeight="251658243" behindDoc="0" locked="0" layoutInCell="1" allowOverlap="1" wp14:anchorId="625F58BB" wp14:editId="7EDBDDD7">
          <wp:simplePos x="0" y="0"/>
          <wp:positionH relativeFrom="column">
            <wp:posOffset>-747</wp:posOffset>
          </wp:positionH>
          <wp:positionV relativeFrom="paragraph">
            <wp:posOffset>123190</wp:posOffset>
          </wp:positionV>
          <wp:extent cx="987136" cy="469323"/>
          <wp:effectExtent l="0" t="0" r="3810" b="63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36" cy="46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65B">
      <w:rPr>
        <w:highlight w:val="blu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3DA6E20" wp14:editId="7DBFA68D">
              <wp:simplePos x="0" y="0"/>
              <wp:positionH relativeFrom="page">
                <wp:posOffset>427355</wp:posOffset>
              </wp:positionH>
              <wp:positionV relativeFrom="page">
                <wp:posOffset>260985</wp:posOffset>
              </wp:positionV>
              <wp:extent cx="6767830" cy="755650"/>
              <wp:effectExtent l="0" t="0" r="1270" b="6350"/>
              <wp:wrapNone/>
              <wp:docPr id="589" name="Rechteck: abgerundete Ecken 5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755650"/>
                      </a:xfrm>
                      <a:prstGeom prst="roundRect">
                        <a:avLst>
                          <a:gd name="adj" fmla="val 9377"/>
                        </a:avLst>
                      </a:prstGeom>
                      <a:solidFill>
                        <a:srgbClr val="2870ED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F51731" w14:textId="6999A7B6" w:rsidR="001D07BC" w:rsidRPr="00F064B6" w:rsidRDefault="00A17F4B" w:rsidP="00962EBC">
                          <w:pPr>
                            <w:pStyle w:val="Info"/>
                            <w:spacing w:before="120" w:line="276" w:lineRule="auto"/>
                            <w:jc w:val="right"/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</w:pPr>
                          <w:r>
                            <w:rPr>
                              <w:rFonts w:ascii="Inter" w:hAnsi="Inter"/>
                              <w:b/>
                              <w:bCs/>
                              <w:color w:val="FFFFFF" w:themeColor="background1"/>
                              <w:sz w:val="28"/>
                              <w:szCs w:val="52"/>
                            </w:rPr>
                            <w:t>Press release</w:t>
                          </w:r>
                          <w:r w:rsidR="001D07BC" w:rsidRPr="00F064B6">
                            <w:rPr>
                              <w:rFonts w:ascii="Inter" w:hAnsi="Inter"/>
                              <w:color w:val="FFFFFF" w:themeColor="background1"/>
                            </w:rPr>
                            <w:br/>
                          </w:r>
                          <w:r w:rsidR="00A85FA9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 xml:space="preserve">Vienna </w:t>
                          </w:r>
                          <w:r w:rsidR="00FB6F87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>–</w:t>
                          </w:r>
                          <w:r w:rsidR="00A85FA9" w:rsidRPr="00F064B6"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nter" w:hAnsi="Inter"/>
                              <w:color w:val="FFFFFF" w:themeColor="background1"/>
                              <w:sz w:val="18"/>
                              <w:szCs w:val="32"/>
                            </w:rPr>
                            <w:t>29 February 2024</w:t>
                          </w:r>
                        </w:p>
                        <w:p w14:paraId="5A878B84" w14:textId="77777777" w:rsidR="002B44FF" w:rsidRPr="00962EBC" w:rsidRDefault="002B44FF" w:rsidP="001D07B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A6E20" id="Rechteck: abgerundete Ecken 589" o:spid="_x0000_s1027" style="position:absolute;margin-left:33.65pt;margin-top:20.55pt;width:532.9pt;height:59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" fillcolor="#2870ed" stroked="f" strokeweight=".25pt">
              <v:stroke joinstyle="miter"/>
              <v:textbox>
                <w:txbxContent>
                  <w:p w14:paraId="49F51731" w14:textId="6999A7B6" w:rsidR="001D07BC" w:rsidRPr="00F064B6" w:rsidRDefault="00A17F4B" w:rsidP="00962EBC">
                    <w:pPr>
                      <w:pStyle w:val="Info"/>
                      <w:spacing w:before="120" w:line="276" w:lineRule="auto"/>
                      <w:jc w:val="right"/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</w:pPr>
                    <w:r>
                      <w:rPr>
                        <w:rFonts w:ascii="Inter" w:hAnsi="Inter"/>
                        <w:b/>
                        <w:bCs/>
                        <w:color w:val="FFFFFF" w:themeColor="background1"/>
                        <w:sz w:val="28"/>
                        <w:szCs w:val="52"/>
                      </w:rPr>
                      <w:t>Press release</w:t>
                    </w:r>
                    <w:r w:rsidR="001D07BC" w:rsidRPr="00F064B6">
                      <w:rPr>
                        <w:rFonts w:ascii="Inter" w:hAnsi="Inter"/>
                        <w:color w:val="FFFFFF" w:themeColor="background1"/>
                      </w:rPr>
                      <w:br/>
                    </w:r>
                    <w:r w:rsidR="00A85FA9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 xml:space="preserve">Vienna </w:t>
                    </w:r>
                    <w:r w:rsidR="00FB6F87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>–</w:t>
                    </w:r>
                    <w:r w:rsidR="00A85FA9" w:rsidRPr="00F064B6"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 xml:space="preserve"> </w:t>
                    </w:r>
                    <w:r>
                      <w:rPr>
                        <w:rFonts w:ascii="Inter" w:hAnsi="Inter"/>
                        <w:color w:val="FFFFFF" w:themeColor="background1"/>
                        <w:sz w:val="18"/>
                        <w:szCs w:val="32"/>
                      </w:rPr>
                      <w:t>29 February 2024</w:t>
                    </w:r>
                  </w:p>
                  <w:p w14:paraId="5A878B84" w14:textId="77777777" w:rsidR="002B44FF" w:rsidRPr="00962EBC" w:rsidRDefault="002B44FF" w:rsidP="001D07B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F7DC" w14:textId="77777777" w:rsidR="009844F9" w:rsidRDefault="00E67431">
    <w:pPr>
      <w:pStyle w:val="Zhlav"/>
    </w:pPr>
    <w:r w:rsidRPr="00E67431">
      <w:drawing>
        <wp:anchor distT="0" distB="0" distL="114300" distR="114300" simplePos="0" relativeHeight="251658241" behindDoc="1" locked="0" layoutInCell="1" allowOverlap="1" wp14:anchorId="1B995AAD" wp14:editId="6538723E">
          <wp:simplePos x="0" y="0"/>
          <wp:positionH relativeFrom="column">
            <wp:posOffset>3363595</wp:posOffset>
          </wp:positionH>
          <wp:positionV relativeFrom="paragraph">
            <wp:posOffset>146897</wp:posOffset>
          </wp:positionV>
          <wp:extent cx="2904490" cy="520700"/>
          <wp:effectExtent l="0" t="0" r="3810" b="0"/>
          <wp:wrapTight wrapText="bothSides">
            <wp:wrapPolygon edited="0">
              <wp:start x="0" y="0"/>
              <wp:lineTo x="0" y="21073"/>
              <wp:lineTo x="21534" y="21073"/>
              <wp:lineTo x="21534" y="0"/>
              <wp:lineTo x="0" y="0"/>
            </wp:wrapPolygon>
          </wp:wrapTight>
          <wp:docPr id="22" name="Grafik 22" descr="P:\01980394\OE0394\OE_ORD\PRESSE\E. ADMINISTRATION\Logos\Erste Bank\a_NEUE LOGOs ab Okt 2017\EBSPK_office_ex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1980394\OE0394\OE_ORD\PRESSE\E. ADMINISTRATION\Logos\Erste Bank\a_NEUE LOGOs ab Okt 2017\EBSPK_office_external-mater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431">
      <mc:AlternateContent>
        <mc:Choice Requires="wps">
          <w:drawing>
            <wp:anchor distT="0" distB="0" distL="114300" distR="114300" simplePos="0" relativeHeight="251658240" behindDoc="1" locked="0" layoutInCell="1" allowOverlap="1" wp14:anchorId="418394BB" wp14:editId="6FEDAC76">
              <wp:simplePos x="0" y="0"/>
              <wp:positionH relativeFrom="page">
                <wp:posOffset>19262</wp:posOffset>
              </wp:positionH>
              <wp:positionV relativeFrom="page">
                <wp:posOffset>3387</wp:posOffset>
              </wp:positionV>
              <wp:extent cx="7560310" cy="1218565"/>
              <wp:effectExtent l="0" t="0" r="0" b="63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218565"/>
                      </a:xfrm>
                      <a:prstGeom prst="rect">
                        <a:avLst/>
                      </a:prstGeom>
                      <a:solidFill>
                        <a:srgbClr val="BCE4FA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A77E0D" w14:textId="77777777" w:rsidR="00E67431" w:rsidRDefault="00E67431" w:rsidP="00E67431">
                          <w:pPr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497C"/>
                              <w:sz w:val="28"/>
                              <w:szCs w:val="28"/>
                            </w:rPr>
                          </w:pPr>
                        </w:p>
                        <w:p w14:paraId="359BAD3D" w14:textId="77777777" w:rsidR="00E67431" w:rsidRDefault="00E67431" w:rsidP="00E67431">
                          <w:pPr>
                            <w:rPr>
                              <w:rFonts w:ascii="Open Sans" w:eastAsia="Arial" w:hAnsi="Open Sans" w:cs="Open Sans"/>
                              <w:b/>
                              <w:bCs/>
                              <w:color w:val="00497C"/>
                              <w:sz w:val="28"/>
                              <w:szCs w:val="28"/>
                            </w:rPr>
                          </w:pPr>
                        </w:p>
                        <w:p w14:paraId="3051C205" w14:textId="77777777" w:rsidR="00E67431" w:rsidRDefault="00E67431" w:rsidP="003C10CD">
                          <w:pPr>
                            <w:pStyle w:val="Nadpis3"/>
                            <w:spacing w:after="40"/>
                            <w:ind w:left="567" w:right="556"/>
                            <w:rPr>
                              <w:shd w:val="clear" w:color="auto" w:fill="auto"/>
                            </w:rPr>
                          </w:pPr>
                          <w:r w:rsidRPr="00E67431">
                            <w:rPr>
                              <w:shd w:val="clear" w:color="auto" w:fill="auto"/>
                            </w:rPr>
                            <w:t>Presseaussendung</w:t>
                          </w:r>
                        </w:p>
                        <w:p w14:paraId="4B8D10E2" w14:textId="7B3AEE17" w:rsidR="003C10CD" w:rsidRPr="003C10CD" w:rsidRDefault="003C10CD" w:rsidP="00711920">
                          <w:pPr>
                            <w:pStyle w:val="Datum"/>
                          </w:pPr>
                          <w:r w:rsidRPr="003C10CD">
                            <w:fldChar w:fldCharType="begin"/>
                          </w:r>
                          <w:r w:rsidRPr="003C10CD">
                            <w:instrText xml:space="preserve"> TIME \@ "d. MMMM yyyy" </w:instrText>
                          </w:r>
                          <w:r w:rsidRPr="003C10CD">
                            <w:fldChar w:fldCharType="separate"/>
                          </w:r>
                          <w:r w:rsidR="003A7CB3">
                            <w:t>28. Februar 2024</w:t>
                          </w:r>
                          <w:r w:rsidRPr="003C10C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394BB" id="Rechteck 2" o:spid="_x0000_s1028" style="position:absolute;margin-left:1.5pt;margin-top:.25pt;width:595.3pt;height:9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" fillcolor="#bce4fa" stroked="f">
              <v:textbox>
                <w:txbxContent>
                  <w:p w14:paraId="75A77E0D" w14:textId="77777777" w:rsidR="00E67431" w:rsidRDefault="00E67431" w:rsidP="00E67431">
                    <w:pPr>
                      <w:rPr>
                        <w:rFonts w:ascii="Open Sans" w:eastAsia="Arial" w:hAnsi="Open Sans" w:cs="Open Sans"/>
                        <w:b/>
                        <w:bCs/>
                        <w:color w:val="00497C"/>
                        <w:sz w:val="28"/>
                        <w:szCs w:val="28"/>
                      </w:rPr>
                    </w:pPr>
                  </w:p>
                  <w:p w14:paraId="359BAD3D" w14:textId="77777777" w:rsidR="00E67431" w:rsidRDefault="00E67431" w:rsidP="00E67431">
                    <w:pPr>
                      <w:rPr>
                        <w:rFonts w:ascii="Open Sans" w:eastAsia="Arial" w:hAnsi="Open Sans" w:cs="Open Sans"/>
                        <w:b/>
                        <w:bCs/>
                        <w:color w:val="00497C"/>
                        <w:sz w:val="28"/>
                        <w:szCs w:val="28"/>
                      </w:rPr>
                    </w:pPr>
                  </w:p>
                  <w:p w14:paraId="3051C205" w14:textId="77777777" w:rsidR="00E67431" w:rsidRDefault="00E67431" w:rsidP="003C10CD">
                    <w:pPr>
                      <w:pStyle w:val="Nadpis3"/>
                      <w:spacing w:after="40"/>
                      <w:ind w:left="567" w:right="556"/>
                      <w:rPr>
                        <w:shd w:val="clear" w:color="auto" w:fill="auto"/>
                      </w:rPr>
                    </w:pPr>
                    <w:r w:rsidRPr="00E67431">
                      <w:rPr>
                        <w:shd w:val="clear" w:color="auto" w:fill="auto"/>
                      </w:rPr>
                      <w:t>Presseaussendung</w:t>
                    </w:r>
                  </w:p>
                  <w:p w14:paraId="4B8D10E2" w14:textId="7B3AEE17" w:rsidR="003C10CD" w:rsidRPr="003C10CD" w:rsidRDefault="003C10CD" w:rsidP="00711920">
                    <w:pPr>
                      <w:pStyle w:val="Datum"/>
                    </w:pPr>
                    <w:r w:rsidRPr="003C10CD">
                      <w:fldChar w:fldCharType="begin"/>
                    </w:r>
                    <w:r w:rsidRPr="003C10CD">
                      <w:instrText xml:space="preserve"> TIME \@ "d. MMMM yyyy" </w:instrText>
                    </w:r>
                    <w:r w:rsidRPr="003C10CD">
                      <w:fldChar w:fldCharType="separate"/>
                    </w:r>
                    <w:r w:rsidR="003A7CB3">
                      <w:t>28. Februar 2024</w:t>
                    </w:r>
                    <w:r w:rsidRPr="003C10CD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665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4D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0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04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32D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A2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EC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EC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6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61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1B67"/>
    <w:multiLevelType w:val="hybridMultilevel"/>
    <w:tmpl w:val="6CC6400A"/>
    <w:lvl w:ilvl="0" w:tplc="85884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6232"/>
    <w:multiLevelType w:val="multilevel"/>
    <w:tmpl w:val="DFD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3643A"/>
    <w:multiLevelType w:val="hybridMultilevel"/>
    <w:tmpl w:val="F7AAC920"/>
    <w:lvl w:ilvl="0" w:tplc="84F2C754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E34BE"/>
    <w:multiLevelType w:val="hybridMultilevel"/>
    <w:tmpl w:val="B1C45F4E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D3B6693"/>
    <w:multiLevelType w:val="hybridMultilevel"/>
    <w:tmpl w:val="139499B8"/>
    <w:lvl w:ilvl="0" w:tplc="19205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B587E"/>
    <w:multiLevelType w:val="multilevel"/>
    <w:tmpl w:val="57B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C7D64"/>
    <w:multiLevelType w:val="multilevel"/>
    <w:tmpl w:val="538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635967">
    <w:abstractNumId w:val="10"/>
  </w:num>
  <w:num w:numId="2" w16cid:durableId="2026133924">
    <w:abstractNumId w:val="13"/>
  </w:num>
  <w:num w:numId="3" w16cid:durableId="1443381950">
    <w:abstractNumId w:val="0"/>
  </w:num>
  <w:num w:numId="4" w16cid:durableId="842822466">
    <w:abstractNumId w:val="1"/>
  </w:num>
  <w:num w:numId="5" w16cid:durableId="196046859">
    <w:abstractNumId w:val="2"/>
  </w:num>
  <w:num w:numId="6" w16cid:durableId="1819616518">
    <w:abstractNumId w:val="3"/>
  </w:num>
  <w:num w:numId="7" w16cid:durableId="551425419">
    <w:abstractNumId w:val="8"/>
  </w:num>
  <w:num w:numId="8" w16cid:durableId="1734161549">
    <w:abstractNumId w:val="4"/>
  </w:num>
  <w:num w:numId="9" w16cid:durableId="631250176">
    <w:abstractNumId w:val="5"/>
  </w:num>
  <w:num w:numId="10" w16cid:durableId="625894845">
    <w:abstractNumId w:val="6"/>
  </w:num>
  <w:num w:numId="11" w16cid:durableId="227805373">
    <w:abstractNumId w:val="7"/>
  </w:num>
  <w:num w:numId="12" w16cid:durableId="1896040453">
    <w:abstractNumId w:val="9"/>
  </w:num>
  <w:num w:numId="13" w16cid:durableId="1922786467">
    <w:abstractNumId w:val="12"/>
  </w:num>
  <w:num w:numId="14" w16cid:durableId="1683706452">
    <w:abstractNumId w:val="14"/>
  </w:num>
  <w:num w:numId="15" w16cid:durableId="1560936682">
    <w:abstractNumId w:val="12"/>
    <w:lvlOverride w:ilvl="0">
      <w:startOverride w:val="1"/>
    </w:lvlOverride>
  </w:num>
  <w:num w:numId="16" w16cid:durableId="486632996">
    <w:abstractNumId w:val="12"/>
    <w:lvlOverride w:ilvl="0">
      <w:startOverride w:val="1"/>
    </w:lvlOverride>
  </w:num>
  <w:num w:numId="17" w16cid:durableId="354891903">
    <w:abstractNumId w:val="12"/>
    <w:lvlOverride w:ilvl="0">
      <w:startOverride w:val="1"/>
    </w:lvlOverride>
  </w:num>
  <w:num w:numId="18" w16cid:durableId="1651862091">
    <w:abstractNumId w:val="16"/>
  </w:num>
  <w:num w:numId="19" w16cid:durableId="1552613913">
    <w:abstractNumId w:val="11"/>
  </w:num>
  <w:num w:numId="20" w16cid:durableId="511141961">
    <w:abstractNumId w:val="15"/>
  </w:num>
  <w:num w:numId="21" w16cid:durableId="1949241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41"/>
    <w:rsid w:val="000042BA"/>
    <w:rsid w:val="00043CBC"/>
    <w:rsid w:val="0005724A"/>
    <w:rsid w:val="00064CD1"/>
    <w:rsid w:val="00065B5C"/>
    <w:rsid w:val="00067770"/>
    <w:rsid w:val="000752C5"/>
    <w:rsid w:val="00080652"/>
    <w:rsid w:val="0008090D"/>
    <w:rsid w:val="00080B77"/>
    <w:rsid w:val="000916BF"/>
    <w:rsid w:val="000B62F5"/>
    <w:rsid w:val="000D5CA1"/>
    <w:rsid w:val="000D5E73"/>
    <w:rsid w:val="000F23A3"/>
    <w:rsid w:val="000F3E1F"/>
    <w:rsid w:val="00103BDF"/>
    <w:rsid w:val="00113355"/>
    <w:rsid w:val="00117FB4"/>
    <w:rsid w:val="00131718"/>
    <w:rsid w:val="00145945"/>
    <w:rsid w:val="00167E7A"/>
    <w:rsid w:val="00182143"/>
    <w:rsid w:val="0018775A"/>
    <w:rsid w:val="00191778"/>
    <w:rsid w:val="0019748B"/>
    <w:rsid w:val="001B6F9F"/>
    <w:rsid w:val="001C3A22"/>
    <w:rsid w:val="001C5B42"/>
    <w:rsid w:val="001D07BC"/>
    <w:rsid w:val="001D730C"/>
    <w:rsid w:val="001E125E"/>
    <w:rsid w:val="001E5EB6"/>
    <w:rsid w:val="00224C8A"/>
    <w:rsid w:val="0023181C"/>
    <w:rsid w:val="00234204"/>
    <w:rsid w:val="002539DD"/>
    <w:rsid w:val="00260790"/>
    <w:rsid w:val="0026085F"/>
    <w:rsid w:val="002661DB"/>
    <w:rsid w:val="00272FDA"/>
    <w:rsid w:val="002841DB"/>
    <w:rsid w:val="002A0D59"/>
    <w:rsid w:val="002A220D"/>
    <w:rsid w:val="002B1607"/>
    <w:rsid w:val="002B44FF"/>
    <w:rsid w:val="002B7D0C"/>
    <w:rsid w:val="002C3344"/>
    <w:rsid w:val="002C4E00"/>
    <w:rsid w:val="002D5960"/>
    <w:rsid w:val="002D5D4F"/>
    <w:rsid w:val="002F1CBD"/>
    <w:rsid w:val="002F3D38"/>
    <w:rsid w:val="002F71C4"/>
    <w:rsid w:val="00302879"/>
    <w:rsid w:val="0030651B"/>
    <w:rsid w:val="0033134E"/>
    <w:rsid w:val="0033172B"/>
    <w:rsid w:val="00333B0E"/>
    <w:rsid w:val="00337627"/>
    <w:rsid w:val="00345D3A"/>
    <w:rsid w:val="003476AD"/>
    <w:rsid w:val="00354E34"/>
    <w:rsid w:val="00380EDD"/>
    <w:rsid w:val="003965F0"/>
    <w:rsid w:val="003A7CB3"/>
    <w:rsid w:val="003B3C0A"/>
    <w:rsid w:val="003C10CD"/>
    <w:rsid w:val="003E7F90"/>
    <w:rsid w:val="004073BB"/>
    <w:rsid w:val="0040795A"/>
    <w:rsid w:val="00422422"/>
    <w:rsid w:val="004309FB"/>
    <w:rsid w:val="00431C8D"/>
    <w:rsid w:val="00454508"/>
    <w:rsid w:val="00455E1D"/>
    <w:rsid w:val="00465185"/>
    <w:rsid w:val="004B218E"/>
    <w:rsid w:val="004B7B40"/>
    <w:rsid w:val="004C64AC"/>
    <w:rsid w:val="004D295F"/>
    <w:rsid w:val="004D4CBC"/>
    <w:rsid w:val="004F1AB5"/>
    <w:rsid w:val="00506C14"/>
    <w:rsid w:val="00512320"/>
    <w:rsid w:val="005223BB"/>
    <w:rsid w:val="005503D9"/>
    <w:rsid w:val="00550881"/>
    <w:rsid w:val="005509D1"/>
    <w:rsid w:val="005530C3"/>
    <w:rsid w:val="00553F90"/>
    <w:rsid w:val="00560A0A"/>
    <w:rsid w:val="0056412E"/>
    <w:rsid w:val="00584B98"/>
    <w:rsid w:val="00597A2D"/>
    <w:rsid w:val="005A4A85"/>
    <w:rsid w:val="005B0F45"/>
    <w:rsid w:val="005C34A1"/>
    <w:rsid w:val="005C72AB"/>
    <w:rsid w:val="005D155B"/>
    <w:rsid w:val="005D2D7A"/>
    <w:rsid w:val="005E17F7"/>
    <w:rsid w:val="005E1A12"/>
    <w:rsid w:val="00607AA1"/>
    <w:rsid w:val="00614FA1"/>
    <w:rsid w:val="00624526"/>
    <w:rsid w:val="00631773"/>
    <w:rsid w:val="00636BC3"/>
    <w:rsid w:val="00644CC0"/>
    <w:rsid w:val="0064757E"/>
    <w:rsid w:val="0065235A"/>
    <w:rsid w:val="0066165B"/>
    <w:rsid w:val="00664280"/>
    <w:rsid w:val="0068068B"/>
    <w:rsid w:val="00685F63"/>
    <w:rsid w:val="0069608C"/>
    <w:rsid w:val="006C0452"/>
    <w:rsid w:val="006C3941"/>
    <w:rsid w:val="006D656A"/>
    <w:rsid w:val="006E5BEE"/>
    <w:rsid w:val="006F6520"/>
    <w:rsid w:val="00702B23"/>
    <w:rsid w:val="00704795"/>
    <w:rsid w:val="00711920"/>
    <w:rsid w:val="00711D5D"/>
    <w:rsid w:val="00715A9C"/>
    <w:rsid w:val="00723C6C"/>
    <w:rsid w:val="007263E4"/>
    <w:rsid w:val="00727E41"/>
    <w:rsid w:val="00745D18"/>
    <w:rsid w:val="00756C34"/>
    <w:rsid w:val="007571EA"/>
    <w:rsid w:val="00757CC0"/>
    <w:rsid w:val="007711B0"/>
    <w:rsid w:val="00774E0D"/>
    <w:rsid w:val="00777A92"/>
    <w:rsid w:val="00781C80"/>
    <w:rsid w:val="00783CAC"/>
    <w:rsid w:val="00785CBB"/>
    <w:rsid w:val="00792506"/>
    <w:rsid w:val="007A12A6"/>
    <w:rsid w:val="007B3D66"/>
    <w:rsid w:val="007D235C"/>
    <w:rsid w:val="007E7419"/>
    <w:rsid w:val="007F2832"/>
    <w:rsid w:val="007F4351"/>
    <w:rsid w:val="008568D5"/>
    <w:rsid w:val="00897B52"/>
    <w:rsid w:val="008A2B11"/>
    <w:rsid w:val="008A4E98"/>
    <w:rsid w:val="008A500E"/>
    <w:rsid w:val="008A539B"/>
    <w:rsid w:val="008C32A6"/>
    <w:rsid w:val="008C4185"/>
    <w:rsid w:val="008D1C2E"/>
    <w:rsid w:val="008D478B"/>
    <w:rsid w:val="008F4334"/>
    <w:rsid w:val="00912742"/>
    <w:rsid w:val="0091508E"/>
    <w:rsid w:val="00921F56"/>
    <w:rsid w:val="00922478"/>
    <w:rsid w:val="009238C5"/>
    <w:rsid w:val="009247A0"/>
    <w:rsid w:val="00932100"/>
    <w:rsid w:val="00937587"/>
    <w:rsid w:val="00951C91"/>
    <w:rsid w:val="00957973"/>
    <w:rsid w:val="00962EBC"/>
    <w:rsid w:val="009844F9"/>
    <w:rsid w:val="00990ECF"/>
    <w:rsid w:val="009A66A0"/>
    <w:rsid w:val="009B3DCD"/>
    <w:rsid w:val="009C487A"/>
    <w:rsid w:val="009C7387"/>
    <w:rsid w:val="009C7D32"/>
    <w:rsid w:val="009E0111"/>
    <w:rsid w:val="009E1AC9"/>
    <w:rsid w:val="00A00816"/>
    <w:rsid w:val="00A059B2"/>
    <w:rsid w:val="00A17F4B"/>
    <w:rsid w:val="00A23F87"/>
    <w:rsid w:val="00A24B0B"/>
    <w:rsid w:val="00A25DAA"/>
    <w:rsid w:val="00A315E1"/>
    <w:rsid w:val="00A3785C"/>
    <w:rsid w:val="00A6002A"/>
    <w:rsid w:val="00A61D6E"/>
    <w:rsid w:val="00A85FA9"/>
    <w:rsid w:val="00AA6F18"/>
    <w:rsid w:val="00AB1CB9"/>
    <w:rsid w:val="00AB4AED"/>
    <w:rsid w:val="00AC3985"/>
    <w:rsid w:val="00AD6212"/>
    <w:rsid w:val="00AF1580"/>
    <w:rsid w:val="00B113B9"/>
    <w:rsid w:val="00B16D68"/>
    <w:rsid w:val="00B20578"/>
    <w:rsid w:val="00B30715"/>
    <w:rsid w:val="00B453E2"/>
    <w:rsid w:val="00B75DD6"/>
    <w:rsid w:val="00BA2B75"/>
    <w:rsid w:val="00BA609C"/>
    <w:rsid w:val="00BA6D19"/>
    <w:rsid w:val="00BC5E2E"/>
    <w:rsid w:val="00BD03F8"/>
    <w:rsid w:val="00BE2D01"/>
    <w:rsid w:val="00C505B4"/>
    <w:rsid w:val="00C71EFA"/>
    <w:rsid w:val="00C76836"/>
    <w:rsid w:val="00C87E69"/>
    <w:rsid w:val="00C94C4C"/>
    <w:rsid w:val="00CB09EE"/>
    <w:rsid w:val="00CC18B8"/>
    <w:rsid w:val="00CC3F85"/>
    <w:rsid w:val="00CF58BD"/>
    <w:rsid w:val="00CF67B6"/>
    <w:rsid w:val="00CF7AA4"/>
    <w:rsid w:val="00D026E4"/>
    <w:rsid w:val="00D3103F"/>
    <w:rsid w:val="00D345F5"/>
    <w:rsid w:val="00D5643A"/>
    <w:rsid w:val="00D71087"/>
    <w:rsid w:val="00D723F5"/>
    <w:rsid w:val="00D77402"/>
    <w:rsid w:val="00D82695"/>
    <w:rsid w:val="00D86268"/>
    <w:rsid w:val="00D923B4"/>
    <w:rsid w:val="00D975B2"/>
    <w:rsid w:val="00DC6F1B"/>
    <w:rsid w:val="00DD1B1D"/>
    <w:rsid w:val="00E02ED8"/>
    <w:rsid w:val="00E07378"/>
    <w:rsid w:val="00E22B35"/>
    <w:rsid w:val="00E271CE"/>
    <w:rsid w:val="00E31BFD"/>
    <w:rsid w:val="00E5507D"/>
    <w:rsid w:val="00E555AF"/>
    <w:rsid w:val="00E57665"/>
    <w:rsid w:val="00E638DA"/>
    <w:rsid w:val="00E67431"/>
    <w:rsid w:val="00E837D9"/>
    <w:rsid w:val="00E92468"/>
    <w:rsid w:val="00EB5FE2"/>
    <w:rsid w:val="00ED59B1"/>
    <w:rsid w:val="00F047C7"/>
    <w:rsid w:val="00F064B6"/>
    <w:rsid w:val="00F56C8E"/>
    <w:rsid w:val="00F60205"/>
    <w:rsid w:val="00F65DD2"/>
    <w:rsid w:val="00F734F9"/>
    <w:rsid w:val="00F7399E"/>
    <w:rsid w:val="00F76414"/>
    <w:rsid w:val="00F91EC8"/>
    <w:rsid w:val="00FB3B2E"/>
    <w:rsid w:val="00FB6256"/>
    <w:rsid w:val="00FB6F12"/>
    <w:rsid w:val="00FB6F87"/>
    <w:rsid w:val="00FC1F9B"/>
    <w:rsid w:val="00FE1C22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7473A"/>
  <w15:chartTrackingRefBased/>
  <w15:docId w15:val="{6F56BEEC-E43C-4A08-8ACF-7C419919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844F9"/>
    <w:pPr>
      <w:spacing w:line="288" w:lineRule="auto"/>
    </w:pPr>
    <w:rPr>
      <w:rFonts w:ascii="Arial" w:hAnsi="Arial" w:cs="Arial"/>
      <w:noProof/>
      <w:sz w:val="20"/>
      <w:szCs w:val="20"/>
      <w:shd w:val="clear" w:color="auto" w:fill="FFFFFF"/>
      <w:lang w:val="de-AT" w:eastAsia="de-DE"/>
    </w:rPr>
  </w:style>
  <w:style w:type="paragraph" w:styleId="Nadpis1">
    <w:name w:val="heading 1"/>
    <w:basedOn w:val="Nzev"/>
    <w:next w:val="Normln"/>
    <w:link w:val="Nadpis1Char"/>
    <w:uiPriority w:val="9"/>
    <w:qFormat/>
    <w:rsid w:val="002B7D0C"/>
    <w:pPr>
      <w:outlineLvl w:val="0"/>
    </w:pPr>
    <w:rPr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7D0C"/>
    <w:pPr>
      <w:keepNext/>
      <w:keepLines/>
      <w:spacing w:before="40" w:after="120"/>
      <w:outlineLvl w:val="1"/>
    </w:pPr>
    <w:rPr>
      <w:rFonts w:eastAsiaTheme="majorEastAsia" w:cstheme="majorBidi"/>
      <w:b/>
      <w:bCs/>
      <w:color w:val="00497B"/>
      <w:sz w:val="40"/>
      <w:szCs w:val="4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B7D0C"/>
    <w:pPr>
      <w:outlineLvl w:val="2"/>
    </w:pPr>
    <w:rPr>
      <w:sz w:val="32"/>
      <w:szCs w:val="3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B7D0C"/>
    <w:pPr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qFormat/>
    <w:rsid w:val="00553F90"/>
    <w:rPr>
      <w:rFonts w:eastAsia="Arial"/>
      <w:color w:val="00497C"/>
      <w:sz w:val="14"/>
      <w:szCs w:val="14"/>
      <w:u w:val="single"/>
      <w:shd w:val="clear" w:color="auto" w:fill="auto"/>
    </w:rPr>
  </w:style>
  <w:style w:type="paragraph" w:styleId="Zhlav">
    <w:name w:val="header"/>
    <w:basedOn w:val="Normln"/>
    <w:link w:val="ZhlavChar"/>
    <w:uiPriority w:val="99"/>
    <w:unhideWhenUsed/>
    <w:rsid w:val="0089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B52"/>
    <w:rPr>
      <w:noProof/>
      <w:lang w:val="de-AT"/>
    </w:rPr>
  </w:style>
  <w:style w:type="paragraph" w:styleId="Zpat">
    <w:name w:val="footer"/>
    <w:basedOn w:val="Normln"/>
    <w:link w:val="ZpatChar"/>
    <w:uiPriority w:val="99"/>
    <w:unhideWhenUsed/>
    <w:rsid w:val="00897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B52"/>
    <w:rPr>
      <w:noProof/>
      <w:lang w:val="de-AT"/>
    </w:rPr>
  </w:style>
  <w:style w:type="paragraph" w:styleId="Nzev">
    <w:name w:val="Title"/>
    <w:basedOn w:val="Normln"/>
    <w:next w:val="Normln"/>
    <w:link w:val="NzevChar"/>
    <w:uiPriority w:val="10"/>
    <w:qFormat/>
    <w:rsid w:val="00224C8A"/>
    <w:pPr>
      <w:tabs>
        <w:tab w:val="left" w:pos="4067"/>
      </w:tabs>
    </w:pPr>
    <w:rPr>
      <w:b/>
      <w:bCs/>
      <w:color w:val="00497B"/>
      <w:sz w:val="50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224C8A"/>
    <w:rPr>
      <w:rFonts w:ascii="Arial" w:hAnsi="Arial" w:cs="Arial"/>
      <w:b/>
      <w:bCs/>
      <w:noProof/>
      <w:color w:val="00497B"/>
      <w:sz w:val="50"/>
      <w:szCs w:val="50"/>
      <w:lang w:val="de-AT"/>
    </w:rPr>
  </w:style>
  <w:style w:type="character" w:customStyle="1" w:styleId="Nadpis2Char">
    <w:name w:val="Nadpis 2 Char"/>
    <w:basedOn w:val="Standardnpsmoodstavce"/>
    <w:link w:val="Nadpis2"/>
    <w:uiPriority w:val="9"/>
    <w:rsid w:val="002B7D0C"/>
    <w:rPr>
      <w:rFonts w:ascii="Arial" w:eastAsiaTheme="majorEastAsia" w:hAnsi="Arial" w:cstheme="majorBidi"/>
      <w:b/>
      <w:bCs/>
      <w:noProof/>
      <w:color w:val="00497B"/>
      <w:sz w:val="40"/>
      <w:szCs w:val="40"/>
      <w:lang w:val="de-AT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2B7D0C"/>
    <w:rPr>
      <w:rFonts w:ascii="Arial" w:hAnsi="Arial" w:cs="Arial"/>
      <w:b/>
      <w:bCs/>
      <w:noProof/>
      <w:color w:val="00497B"/>
      <w:sz w:val="56"/>
      <w:szCs w:val="56"/>
      <w:lang w:val="de-AT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2B7D0C"/>
    <w:rPr>
      <w:rFonts w:ascii="Arial" w:eastAsiaTheme="majorEastAsia" w:hAnsi="Arial" w:cstheme="majorBidi"/>
      <w:b/>
      <w:bCs/>
      <w:noProof/>
      <w:color w:val="00497B"/>
      <w:sz w:val="32"/>
      <w:szCs w:val="32"/>
      <w:lang w:val="de-AT" w:eastAsia="de-DE"/>
    </w:rPr>
  </w:style>
  <w:style w:type="paragraph" w:customStyle="1" w:styleId="berschrift3mitHintergrund">
    <w:name w:val="Überschrift 3 mit Hintergrund"/>
    <w:basedOn w:val="Nadpis3"/>
    <w:qFormat/>
    <w:rsid w:val="00E57665"/>
    <w:pPr>
      <w:shd w:val="clear" w:color="auto" w:fill="A3C0D7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E576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7665"/>
    <w:rPr>
      <w:rFonts w:ascii="Arial" w:hAnsi="Arial" w:cs="Arial"/>
      <w:i/>
      <w:iCs/>
      <w:noProof/>
      <w:color w:val="4472C4" w:themeColor="accent1"/>
      <w:sz w:val="20"/>
      <w:szCs w:val="20"/>
      <w:lang w:val="de-AT" w:eastAsia="de-DE"/>
    </w:rPr>
  </w:style>
  <w:style w:type="paragraph" w:styleId="Odstavecseseznamem">
    <w:name w:val="List Paragraph"/>
    <w:basedOn w:val="Normln"/>
    <w:uiPriority w:val="34"/>
    <w:qFormat/>
    <w:rsid w:val="00AC3985"/>
    <w:pPr>
      <w:numPr>
        <w:numId w:val="13"/>
      </w:numPr>
      <w:ind w:right="986"/>
      <w:contextualSpacing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2B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2B7D0C"/>
    <w:rPr>
      <w:rFonts w:ascii="Arial" w:eastAsiaTheme="majorEastAsia" w:hAnsi="Arial" w:cstheme="majorBidi"/>
      <w:b/>
      <w:bCs/>
      <w:noProof/>
      <w:color w:val="00497B"/>
      <w:lang w:val="de-AT" w:eastAsia="de-DE"/>
    </w:rPr>
  </w:style>
  <w:style w:type="character" w:styleId="Nevyeenzmnka">
    <w:name w:val="Unresolved Mention"/>
    <w:basedOn w:val="Standardnpsmoodstavce"/>
    <w:uiPriority w:val="99"/>
    <w:rsid w:val="005A4A85"/>
    <w:rPr>
      <w:color w:val="605E5C"/>
      <w:shd w:val="clear" w:color="auto" w:fill="E1DFDD"/>
    </w:rPr>
  </w:style>
  <w:style w:type="paragraph" w:customStyle="1" w:styleId="Aufzhlung">
    <w:name w:val="Aufzählung"/>
    <w:basedOn w:val="Normln"/>
    <w:uiPriority w:val="1"/>
    <w:qFormat/>
    <w:rsid w:val="00E67431"/>
    <w:pPr>
      <w:spacing w:line="320" w:lineRule="atLeast"/>
      <w:jc w:val="both"/>
    </w:pPr>
    <w:rPr>
      <w:rFonts w:ascii="Helvetica" w:eastAsia="Helvetica" w:hAnsi="Helvetica" w:cs="Helvetica"/>
      <w:noProof w:val="0"/>
      <w:sz w:val="24"/>
      <w:szCs w:val="24"/>
      <w:shd w:val="clear" w:color="auto" w:fill="auto"/>
      <w:lang w:eastAsia="de-AT" w:bidi="de-AT"/>
      <w14:ligatures w14:val="standardContextu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431"/>
    <w:pPr>
      <w:spacing w:line="240" w:lineRule="auto"/>
    </w:pPr>
    <w:rPr>
      <w:rFonts w:eastAsia="Calibri" w:cs="Times New Roman"/>
      <w:noProof w:val="0"/>
      <w:shd w:val="clear" w:color="auto" w:fil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431"/>
    <w:rPr>
      <w:rFonts w:ascii="Arial" w:eastAsia="Calibri" w:hAnsi="Arial" w:cs="Times New Roman"/>
      <w:sz w:val="20"/>
      <w:szCs w:val="20"/>
      <w:lang w:val="de-AT"/>
    </w:rPr>
  </w:style>
  <w:style w:type="character" w:styleId="Siln">
    <w:name w:val="Strong"/>
    <w:basedOn w:val="Standardnpsmoodstavce"/>
    <w:uiPriority w:val="22"/>
    <w:qFormat/>
    <w:rsid w:val="0069608C"/>
    <w:rPr>
      <w:b/>
      <w:bCs/>
    </w:rPr>
  </w:style>
  <w:style w:type="character" w:styleId="Sledovanodkaz">
    <w:name w:val="FollowedHyperlink"/>
    <w:basedOn w:val="Hypertextovodkaz"/>
    <w:uiPriority w:val="99"/>
    <w:unhideWhenUsed/>
    <w:rsid w:val="00553F90"/>
    <w:rPr>
      <w:rFonts w:eastAsia="Arial"/>
      <w:color w:val="00497C"/>
      <w:sz w:val="14"/>
      <w:szCs w:val="14"/>
      <w:u w:val="single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553F90"/>
    <w:rPr>
      <w:sz w:val="16"/>
      <w:szCs w:val="16"/>
    </w:rPr>
  </w:style>
  <w:style w:type="paragraph" w:styleId="Datum">
    <w:name w:val="Date"/>
    <w:basedOn w:val="Normln"/>
    <w:next w:val="Normln"/>
    <w:link w:val="DatumChar"/>
    <w:autoRedefine/>
    <w:uiPriority w:val="99"/>
    <w:unhideWhenUsed/>
    <w:rsid w:val="00711920"/>
    <w:pPr>
      <w:ind w:left="567"/>
    </w:pPr>
    <w:rPr>
      <w:color w:val="00497B"/>
      <w:shd w:val="clear" w:color="auto" w:fill="auto"/>
    </w:rPr>
  </w:style>
  <w:style w:type="character" w:customStyle="1" w:styleId="DatumChar">
    <w:name w:val="Datum Char"/>
    <w:basedOn w:val="Standardnpsmoodstavce"/>
    <w:link w:val="Datum"/>
    <w:uiPriority w:val="99"/>
    <w:rsid w:val="00711920"/>
    <w:rPr>
      <w:rFonts w:ascii="Arial" w:hAnsi="Arial" w:cs="Arial"/>
      <w:noProof/>
      <w:color w:val="00497B"/>
      <w:sz w:val="20"/>
      <w:szCs w:val="20"/>
      <w:lang w:val="de-AT" w:eastAsia="de-DE"/>
    </w:rPr>
  </w:style>
  <w:style w:type="paragraph" w:customStyle="1" w:styleId="Zitat1">
    <w:name w:val="Zitat1"/>
    <w:basedOn w:val="Normln"/>
    <w:qFormat/>
    <w:rsid w:val="00745D18"/>
    <w:pPr>
      <w:spacing w:line="312" w:lineRule="auto"/>
      <w:ind w:left="459" w:right="312"/>
    </w:pPr>
    <w:rPr>
      <w:i/>
      <w:iCs/>
      <w:color w:val="00497C"/>
      <w:shd w:val="clear" w:color="auto" w:fill="auto"/>
    </w:rPr>
  </w:style>
  <w:style w:type="paragraph" w:customStyle="1" w:styleId="QuoteIn-Text">
    <w:name w:val="Quote In-Text"/>
    <w:basedOn w:val="Normln"/>
    <w:next w:val="Normln"/>
    <w:link w:val="QuoteIn-TextZchn"/>
    <w:qFormat/>
    <w:rsid w:val="00AC3985"/>
    <w:rPr>
      <w:i/>
      <w:iCs/>
      <w:color w:val="000000" w:themeColor="text1"/>
      <w:shd w:val="clear" w:color="auto" w:fill="auto"/>
    </w:rPr>
  </w:style>
  <w:style w:type="character" w:customStyle="1" w:styleId="QuoteIn-TextZchn">
    <w:name w:val="Quote In-Text Zchn"/>
    <w:basedOn w:val="Standardnpsmoodstavce"/>
    <w:link w:val="QuoteIn-Text"/>
    <w:rsid w:val="00AC3985"/>
    <w:rPr>
      <w:rFonts w:ascii="Arial" w:hAnsi="Arial" w:cs="Arial"/>
      <w:i/>
      <w:iCs/>
      <w:noProof/>
      <w:color w:val="000000" w:themeColor="text1"/>
      <w:sz w:val="20"/>
      <w:szCs w:val="20"/>
      <w:lang w:val="de-AT" w:eastAsia="de-DE"/>
    </w:rPr>
  </w:style>
  <w:style w:type="paragraph" w:customStyle="1" w:styleId="Default">
    <w:name w:val="Default"/>
    <w:rsid w:val="005503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xterner-Hyperlink">
    <w:name w:val="Externer-Hyperlink"/>
    <w:basedOn w:val="Normln"/>
    <w:qFormat/>
    <w:rsid w:val="005C34A1"/>
    <w:rPr>
      <w:b/>
      <w:bCs/>
      <w:color w:val="00497C"/>
      <w:u w:val="single"/>
    </w:rPr>
  </w:style>
  <w:style w:type="paragraph" w:customStyle="1" w:styleId="Credits">
    <w:name w:val="Credits"/>
    <w:basedOn w:val="Normln"/>
    <w:qFormat/>
    <w:rsid w:val="005C34A1"/>
    <w:rPr>
      <w:sz w:val="16"/>
      <w:szCs w:val="16"/>
    </w:rPr>
  </w:style>
  <w:style w:type="paragraph" w:customStyle="1" w:styleId="berschrift-Kopfzeile">
    <w:name w:val="Überschrift-Kopfzeile"/>
    <w:basedOn w:val="Nadpis3"/>
    <w:qFormat/>
    <w:rsid w:val="00584B98"/>
    <w:pPr>
      <w:spacing w:after="40"/>
      <w:ind w:left="567" w:right="556"/>
    </w:pPr>
    <w:rPr>
      <w:shd w:val="clear" w:color="auto" w:fill="auto"/>
    </w:rPr>
  </w:style>
  <w:style w:type="paragraph" w:customStyle="1" w:styleId="ListenabsatzFliesstext">
    <w:name w:val="Listenabsatz Fliesstext"/>
    <w:basedOn w:val="Odstavecseseznamem"/>
    <w:qFormat/>
    <w:rsid w:val="00AC3985"/>
    <w:rPr>
      <w:sz w:val="20"/>
      <w:szCs w:val="20"/>
    </w:rPr>
  </w:style>
  <w:style w:type="paragraph" w:styleId="Bezmezer">
    <w:name w:val="No Spacing"/>
    <w:uiPriority w:val="1"/>
    <w:qFormat/>
    <w:rsid w:val="00A23F87"/>
    <w:rPr>
      <w:rFonts w:ascii="Arial" w:eastAsia="Calibri" w:hAnsi="Arial" w:cs="Times New Roman"/>
      <w:sz w:val="22"/>
      <w:szCs w:val="22"/>
      <w:lang w:val="de-AT"/>
    </w:rPr>
  </w:style>
  <w:style w:type="paragraph" w:customStyle="1" w:styleId="Info">
    <w:name w:val="Info"/>
    <w:basedOn w:val="Normln"/>
    <w:uiPriority w:val="11"/>
    <w:qFormat/>
    <w:rsid w:val="001D07BC"/>
    <w:pPr>
      <w:spacing w:line="169" w:lineRule="exact"/>
    </w:pPr>
    <w:rPr>
      <w:rFonts w:asciiTheme="minorHAnsi" w:hAnsiTheme="minorHAnsi" w:cstheme="minorBidi"/>
      <w:noProof w:val="0"/>
      <w:color w:val="000000" w:themeColor="text1"/>
      <w:sz w:val="13"/>
      <w:szCs w:val="22"/>
      <w:shd w:val="clear" w:color="auto" w:fill="auto"/>
      <w:lang w:val="en-GB" w:eastAsia="en-US"/>
    </w:rPr>
  </w:style>
  <w:style w:type="character" w:customStyle="1" w:styleId="FettimText">
    <w:name w:val="Fett im Text"/>
    <w:basedOn w:val="Standardnpsmoodstavce"/>
    <w:rsid w:val="002C4E00"/>
    <w:rPr>
      <w:rFonts w:ascii="Arial" w:hAnsi="Arial" w:cs="Arial" w:hint="default"/>
      <w:b/>
      <w:bCs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sonn-wende@erstegroup.com" TargetMode="External"/><Relationship Id="rId18" Type="http://schemas.openxmlformats.org/officeDocument/2006/relationships/hyperlink" Target="mailto:martin.sonn-wende@erstegroup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eter.klopf@erstegroup.com" TargetMode="External"/><Relationship Id="rId17" Type="http://schemas.openxmlformats.org/officeDocument/2006/relationships/hyperlink" Target="mailto:peter.klopf@erstegroup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ian.hromatka@erstegroup.com" TargetMode="External"/><Relationship Id="rId20" Type="http://schemas.openxmlformats.org/officeDocument/2006/relationships/hyperlink" Target="mailto:napi&#353;te%20n&#225;m%20pros&#237;m%20e-mail%20na%20adresu%20presse@erstebank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an.hromatka@erstegroup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api&#353;te%20n&#225;m%20pros&#237;m%20e-mail%20na%20adresu%20presse@erstebank.a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rstegroup.com/en/news-med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stegroup.com/en/news-media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6243a\Erste%20Group\AT%20Digital%20Content%20Newsroom%20-%20General\Guidelines&amp;Templates\CD%20neu%202022\TEMPLATE_Holding_Press%20Release-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  <TaxCatchAll xmlns="c2323869-9312-41a6-b73b-7b8186d7ec70" xsi:nil="true"/>
    <lcf76f155ced4ddcb4097134ff3c332f xmlns="4fbe574a-ea71-4a7a-8b6c-7f8379c27a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EF6D673F6C444A56AD1A69ED879D5" ma:contentTypeVersion="23" ma:contentTypeDescription="Ein neues Dokument erstellen." ma:contentTypeScope="" ma:versionID="35894dd38c55255bd57107435c8cdef8">
  <xsd:schema xmlns:xsd="http://www.w3.org/2001/XMLSchema" xmlns:xs="http://www.w3.org/2001/XMLSchema" xmlns:p="http://schemas.microsoft.com/office/2006/metadata/properties" xmlns:ns1="http://schemas.microsoft.com/sharepoint/v3" xmlns:ns2="4fbe574a-ea71-4a7a-8b6c-7f8379c27a3b" xmlns:ns3="c2323869-9312-41a6-b73b-7b8186d7ec70" xmlns:ns4="http://schemas.microsoft.com/sharepoint/v4" targetNamespace="http://schemas.microsoft.com/office/2006/metadata/properties" ma:root="true" ma:fieldsID="0bd3c10d612ab0f1b2a3384a4a0de1fe" ns1:_="" ns2:_="" ns3:_="" ns4:_="">
    <xsd:import namespace="http://schemas.microsoft.com/sharepoint/v3"/>
    <xsd:import namespace="4fbe574a-ea71-4a7a-8b6c-7f8379c27a3b"/>
    <xsd:import namespace="c2323869-9312-41a6-b73b-7b8186d7ec7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574a-ea71-4a7a-8b6c-7f8379c2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23869-9312-41a6-b73b-7b8186d7e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8366b5-4854-423f-9ece-b76b9890fd11}" ma:internalName="TaxCatchAll" ma:showField="CatchAllData" ma:web="c2323869-9312-41a6-b73b-7b8186d7e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F4E33-DEAC-4DAA-9AD4-412F9ADAD9C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c2323869-9312-41a6-b73b-7b8186d7ec70"/>
    <ds:schemaRef ds:uri="4fbe574a-ea71-4a7a-8b6c-7f8379c27a3b"/>
  </ds:schemaRefs>
</ds:datastoreItem>
</file>

<file path=customXml/itemProps2.xml><?xml version="1.0" encoding="utf-8"?>
<ds:datastoreItem xmlns:ds="http://schemas.openxmlformats.org/officeDocument/2006/customXml" ds:itemID="{5F9D40CE-D8B3-4853-B3A1-9605B81F8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be574a-ea71-4a7a-8b6c-7f8379c27a3b"/>
    <ds:schemaRef ds:uri="c2323869-9312-41a6-b73b-7b8186d7ec7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7B6C5-9615-D344-958A-8002CE0ED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C5707-1DCB-4AAC-9DE9-802E974CD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TEMPLATE_Holding_Press Release-EN.dotx</Template>
  <TotalTime>1</TotalTime>
  <Pages>4</Pages>
  <Words>1271</Words>
  <Characters>7502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Aschinger Marvin</dc:creator>
  <cp:keywords/>
  <dc:description/>
  <cp:lastModifiedBy>Bouc František</cp:lastModifiedBy>
  <cp:revision>2</cp:revision>
  <dcterms:created xsi:type="dcterms:W3CDTF">2024-02-28T14:26:00Z</dcterms:created>
  <dcterms:modified xsi:type="dcterms:W3CDTF">2024-02-28T14:26:00Z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0x010100409EF6D673F6C444A56AD1A69ED879D5</vt:lpwstr>
  </property>
  <property fmtid="{D5CDD505-2E9C-101B-9397-08002B2CF9AE}" pid="3" name="MSIP_Label_38939b85-7e40-4a1d-91e1-0e84c3b219d7_Enabled">
    <vt:lpwstr>true</vt:lpwstr>
  </property>
  <property fmtid="{D5CDD505-2E9C-101B-9397-08002B2CF9AE}" pid="4" name="MSIP_Label_38939b85-7e40-4a1d-91e1-0e84c3b219d7_SetDate">
    <vt:lpwstr>2021-11-25T09:42:50Z</vt:lpwstr>
  </property>
  <property fmtid="{D5CDD505-2E9C-101B-9397-08002B2CF9AE}" pid="5" name="MSIP_Label_38939b85-7e40-4a1d-91e1-0e84c3b219d7_Method">
    <vt:lpwstr>Standard</vt:lpwstr>
  </property>
  <property fmtid="{D5CDD505-2E9C-101B-9397-08002B2CF9AE}" pid="6" name="MSIP_Label_38939b85-7e40-4a1d-91e1-0e84c3b219d7_Name">
    <vt:lpwstr>38939b85-7e40-4a1d-91e1-0e84c3b219d7</vt:lpwstr>
  </property>
  <property fmtid="{D5CDD505-2E9C-101B-9397-08002B2CF9AE}" pid="7" name="MSIP_Label_38939b85-7e40-4a1d-91e1-0e84c3b219d7_SiteId">
    <vt:lpwstr>3ad0376a-54d3-49a6-9e20-52de0a92fc89</vt:lpwstr>
  </property>
  <property fmtid="{D5CDD505-2E9C-101B-9397-08002B2CF9AE}" pid="8" name="MSIP_Label_38939b85-7e40-4a1d-91e1-0e84c3b219d7_ActionId">
    <vt:lpwstr>4ea7e129-8015-4c13-8b39-d95537ec838d</vt:lpwstr>
  </property>
  <property fmtid="{D5CDD505-2E9C-101B-9397-08002B2CF9AE}" pid="9" name="MSIP_Label_38939b85-7e40-4a1d-91e1-0e84c3b219d7_ContentBits">
    <vt:lpwstr>0</vt:lpwstr>
  </property>
  <property fmtid="{D5CDD505-2E9C-101B-9397-08002B2CF9AE}" pid="10" name="MediaServiceImageTags">
    <vt:lpwstr/>
  </property>
</Properties>
</file>