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27458" w14:textId="1566C97A" w:rsidR="00A23F87" w:rsidRPr="00D35C6D" w:rsidRDefault="00450026" w:rsidP="00A23F87">
      <w:pPr>
        <w:pStyle w:val="Nadpis2"/>
        <w:rPr>
          <w:rStyle w:val="Siln"/>
          <w:rFonts w:ascii="Inter" w:hAnsi="Inter"/>
          <w:b/>
          <w:bCs/>
          <w:color w:val="auto"/>
          <w:lang w:val="en-US"/>
        </w:rPr>
      </w:pPr>
      <w:r>
        <w:rPr>
          <w:rFonts w:ascii="Inter" w:hAnsi="Inter"/>
          <w:color w:val="auto"/>
          <w:lang w:val="en-US"/>
        </w:rPr>
        <w:t>Skupina Erste zaznamenala v první polovině roku 2024 dobrý provozní výsledek</w:t>
      </w:r>
    </w:p>
    <w:p w14:paraId="2ABD6D54" w14:textId="234BF82E" w:rsidR="009227F6" w:rsidRDefault="00450026" w:rsidP="009227F6">
      <w:pPr>
        <w:pStyle w:val="Odstavecseseznamem"/>
        <w:shd w:val="clear" w:color="auto" w:fill="FFFFFF"/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Ukazatel NPL se drží na nízké hodnotě (2,4%)</w:t>
      </w:r>
    </w:p>
    <w:p w14:paraId="6EC5F405" w14:textId="212BC773" w:rsidR="00C7269C" w:rsidRPr="004D135C" w:rsidRDefault="00C7269C" w:rsidP="009227F6">
      <w:pPr>
        <w:pStyle w:val="Odstavecseseznamem"/>
        <w:shd w:val="clear" w:color="auto" w:fill="FFFFFF"/>
        <w:rPr>
          <w:rFonts w:ascii="Inter" w:hAnsi="Inter"/>
          <w:lang w:val="en-US"/>
        </w:rPr>
      </w:pPr>
      <w:r w:rsidRPr="00C7269C">
        <w:rPr>
          <w:rFonts w:ascii="Inter" w:hAnsi="Inter"/>
          <w:lang w:val="en-US"/>
        </w:rPr>
        <w:t>Silná kapitálová základna: Ukazatel CET1 na úrovni 15,5 %</w:t>
      </w:r>
    </w:p>
    <w:p w14:paraId="4017EDB5" w14:textId="0D6083FD" w:rsidR="009227F6" w:rsidRPr="004D135C" w:rsidRDefault="00450026" w:rsidP="009227F6">
      <w:pPr>
        <w:pStyle w:val="Odstavecseseznamem"/>
        <w:shd w:val="clear" w:color="auto" w:fill="FFFFFF"/>
        <w:ind w:right="277"/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Silný nárůst udržitelných úvěrů pro korporátní klienty</w:t>
      </w:r>
    </w:p>
    <w:p w14:paraId="71070973" w14:textId="4AB429F8" w:rsidR="009227F6" w:rsidRPr="00451611" w:rsidRDefault="00450026" w:rsidP="009227F6">
      <w:pPr>
        <w:pStyle w:val="Odstavecseseznamem"/>
        <w:shd w:val="clear" w:color="auto" w:fill="FFFFFF"/>
        <w:ind w:right="561"/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Počet investičních spořicích plánů meziročně vzrostl o čtvrtinu</w:t>
      </w:r>
    </w:p>
    <w:p w14:paraId="360272AB" w14:textId="3452374B" w:rsidR="009227F6" w:rsidRPr="00D31119" w:rsidRDefault="00450026" w:rsidP="009227F6">
      <w:pPr>
        <w:pStyle w:val="Odstavecseseznamem"/>
        <w:shd w:val="clear" w:color="auto" w:fill="FFFFFF"/>
        <w:rPr>
          <w:rFonts w:ascii="Inter" w:hAnsi="Inter"/>
          <w:lang w:val="en-US"/>
        </w:rPr>
      </w:pPr>
      <w:r>
        <w:rPr>
          <w:rFonts w:ascii="Inter" w:hAnsi="Inter"/>
          <w:lang w:val="en-US"/>
        </w:rPr>
        <w:t>Navržená dividenda za rok 2024 činí 3 eura</w:t>
      </w:r>
      <w:r w:rsidR="00C7269C">
        <w:rPr>
          <w:rFonts w:ascii="Inter" w:hAnsi="Inter"/>
          <w:lang w:val="en-US"/>
        </w:rPr>
        <w:t xml:space="preserve"> na akcii</w:t>
      </w:r>
    </w:p>
    <w:p w14:paraId="0F2B1BCD" w14:textId="77777777" w:rsidR="00D35C6D" w:rsidRDefault="00D35C6D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1D5984F3" w14:textId="4CAA78ED" w:rsidR="00450026" w:rsidRPr="00450026" w:rsidRDefault="00450026" w:rsidP="00450026">
      <w:pPr>
        <w:spacing w:line="280" w:lineRule="exact"/>
        <w:rPr>
          <w:rFonts w:ascii="Inter" w:hAnsi="Inter"/>
          <w:b/>
          <w:lang w:val="en-US"/>
        </w:rPr>
      </w:pPr>
      <w:r w:rsidRPr="00450026">
        <w:rPr>
          <w:rFonts w:ascii="Inter" w:hAnsi="Inter"/>
          <w:b/>
          <w:lang w:val="en-US"/>
        </w:rPr>
        <w:t xml:space="preserve">Erste Group Bank AG dosáhla v prvních šesti měsících roku 2024 provozního výsledku ve výši 2,97 miliardy eur, což je o 10,6 % více než ve stejném období předchozího roku. Tento výsledek odráží pozitivní vývoj hlavních </w:t>
      </w:r>
      <w:r>
        <w:rPr>
          <w:rFonts w:ascii="Inter" w:hAnsi="Inter"/>
          <w:b/>
          <w:lang w:val="en-US"/>
        </w:rPr>
        <w:t xml:space="preserve">zdrojů </w:t>
      </w:r>
      <w:r w:rsidRPr="00450026">
        <w:rPr>
          <w:rFonts w:ascii="Inter" w:hAnsi="Inter"/>
          <w:b/>
          <w:lang w:val="en-US"/>
        </w:rPr>
        <w:t xml:space="preserve">výnosů a také výrazně silnější nárůst provozních výnosů (+7,0 %) </w:t>
      </w:r>
      <w:r>
        <w:rPr>
          <w:rFonts w:ascii="Inter" w:hAnsi="Inter"/>
          <w:b/>
          <w:lang w:val="en-US"/>
        </w:rPr>
        <w:t>v porovnání s</w:t>
      </w:r>
      <w:r w:rsidRPr="00450026">
        <w:rPr>
          <w:rFonts w:ascii="Inter" w:hAnsi="Inter"/>
          <w:b/>
          <w:lang w:val="en-US"/>
        </w:rPr>
        <w:t xml:space="preserve"> provozní</w:t>
      </w:r>
      <w:r>
        <w:rPr>
          <w:rFonts w:ascii="Inter" w:hAnsi="Inter"/>
          <w:b/>
          <w:lang w:val="en-US"/>
        </w:rPr>
        <w:t>mi</w:t>
      </w:r>
      <w:r w:rsidRPr="00450026">
        <w:rPr>
          <w:rFonts w:ascii="Inter" w:hAnsi="Inter"/>
          <w:b/>
          <w:lang w:val="en-US"/>
        </w:rPr>
        <w:t xml:space="preserve"> náklad</w:t>
      </w:r>
      <w:r>
        <w:rPr>
          <w:rFonts w:ascii="Inter" w:hAnsi="Inter"/>
          <w:b/>
          <w:lang w:val="en-US"/>
        </w:rPr>
        <w:t>y</w:t>
      </w:r>
      <w:r w:rsidRPr="00450026">
        <w:rPr>
          <w:rFonts w:ascii="Inter" w:hAnsi="Inter"/>
          <w:b/>
          <w:lang w:val="en-US"/>
        </w:rPr>
        <w:t xml:space="preserve"> (+3,1 %). Poměr nákladů k výnosům se odpovídajícím způsobem zlepšil ze 47,9 % na 46,1 %. Ukazatel kmenového kapitálu tier 1 (CET1) činil 15,5 % (prosinec 2023: 15,7 %). V první polovině roku 2024 vzrostl jak objem úvěrů (+1,7 %), tak klientských vkladů (+3,2 %). Objem udržitelných úvěrů poskytnutých v rámci nových obchodů firemní klientel</w:t>
      </w:r>
      <w:r w:rsidR="00B51312">
        <w:rPr>
          <w:rFonts w:ascii="Inter" w:hAnsi="Inter"/>
          <w:b/>
          <w:lang w:val="en-US"/>
        </w:rPr>
        <w:t>e</w:t>
      </w:r>
      <w:r w:rsidRPr="00450026">
        <w:rPr>
          <w:rFonts w:ascii="Inter" w:hAnsi="Inter"/>
          <w:b/>
          <w:lang w:val="en-US"/>
        </w:rPr>
        <w:t xml:space="preserve"> </w:t>
      </w:r>
      <w:r w:rsidR="00B51312">
        <w:rPr>
          <w:rFonts w:ascii="Inter" w:hAnsi="Inter"/>
          <w:b/>
          <w:lang w:val="en-US"/>
        </w:rPr>
        <w:t>rapidně</w:t>
      </w:r>
      <w:r w:rsidRPr="00450026">
        <w:rPr>
          <w:rFonts w:ascii="Inter" w:hAnsi="Inter"/>
          <w:b/>
          <w:lang w:val="en-US"/>
        </w:rPr>
        <w:t xml:space="preserve"> vzrostl (+78 % meziročně) na 1,8 mld. eur. V porovnání s červnem 2023 se počet </w:t>
      </w:r>
      <w:r w:rsidR="00B51312">
        <w:rPr>
          <w:rFonts w:ascii="Inter" w:hAnsi="Inter"/>
          <w:b/>
          <w:lang w:val="en-US"/>
        </w:rPr>
        <w:t xml:space="preserve">investičních </w:t>
      </w:r>
      <w:r w:rsidRPr="00450026">
        <w:rPr>
          <w:rFonts w:ascii="Inter" w:hAnsi="Inter"/>
          <w:b/>
          <w:lang w:val="en-US"/>
        </w:rPr>
        <w:t>spořicích plánů zvýšil o 23 % na 1,3 milionu. Čistý zisk za první pololetí 2024 dosáhl 1,63 miliardy eur (1. pololetí 2023: 1,49 miliardy eur).</w:t>
      </w:r>
      <w:r w:rsidR="00C7269C">
        <w:rPr>
          <w:rFonts w:ascii="Inter" w:hAnsi="Inter"/>
          <w:b/>
          <w:lang w:val="en-US"/>
        </w:rPr>
        <w:t xml:space="preserve"> </w:t>
      </w:r>
      <w:r w:rsidR="00C7269C" w:rsidRPr="00C7269C">
        <w:rPr>
          <w:rFonts w:ascii="Inter" w:hAnsi="Inter"/>
          <w:b/>
          <w:lang w:val="en-US"/>
        </w:rPr>
        <w:t>Představenstvo Erste Group bude pokračovat v zavedené dividendové politice a navrhuje dividendu ve výši 3,00 eur na akcii za účetní rok 2024.</w:t>
      </w:r>
    </w:p>
    <w:p w14:paraId="0E4E2876" w14:textId="77777777" w:rsidR="00450026" w:rsidRDefault="00450026" w:rsidP="00450026">
      <w:pPr>
        <w:spacing w:line="280" w:lineRule="exact"/>
        <w:rPr>
          <w:rFonts w:ascii="Inter" w:hAnsi="Inter"/>
          <w:b/>
          <w:lang w:val="en-US"/>
        </w:rPr>
      </w:pPr>
    </w:p>
    <w:p w14:paraId="0BEAF1AA" w14:textId="272165CB" w:rsidR="00C7269C" w:rsidRPr="00450026" w:rsidRDefault="00C7269C" w:rsidP="00450026">
      <w:pPr>
        <w:spacing w:line="280" w:lineRule="exact"/>
        <w:rPr>
          <w:rFonts w:ascii="Inter" w:hAnsi="Inter"/>
          <w:b/>
          <w:lang w:val="en-US"/>
        </w:rPr>
      </w:pPr>
      <w:r w:rsidRPr="00C7269C">
        <w:rPr>
          <w:rFonts w:ascii="Inter" w:hAnsi="Inter"/>
          <w:bCs/>
          <w:lang w:val="en-US"/>
        </w:rPr>
        <w:t>„</w:t>
      </w:r>
      <w:r w:rsidRPr="00C7269C">
        <w:rPr>
          <w:rFonts w:ascii="Inter" w:hAnsi="Inter"/>
          <w:bCs/>
          <w:i/>
          <w:iCs/>
          <w:lang w:val="en-US"/>
        </w:rPr>
        <w:t>Výsledky za první pololetí roku 2024 potvrzují úspěšnou cestu, kterou se naše bankovní skupina v Rakousku a střední a východní Evropě ubírá. Financování energetické transformace a digitální transformace v Evropě vyžaduje silné banky, které ve spolupráci s politickým a podnikatelským sektorem tento vývoj aktivně podporují. V budoucnu chceme v tomto směru hrát ještě silnější roli. Naše vynikající výsledky k tomu poskytují dobrý základ,</w:t>
      </w:r>
      <w:r w:rsidRPr="00C7269C">
        <w:rPr>
          <w:rFonts w:ascii="Inter" w:hAnsi="Inter"/>
          <w:bCs/>
          <w:lang w:val="en-US"/>
        </w:rPr>
        <w:t xml:space="preserve">“ říká </w:t>
      </w:r>
      <w:r w:rsidRPr="00C7269C">
        <w:rPr>
          <w:rFonts w:ascii="Inter" w:hAnsi="Inter"/>
          <w:b/>
          <w:lang w:val="en-US"/>
        </w:rPr>
        <w:t>Peter Bosek, generální ředitel Erste Group.</w:t>
      </w:r>
    </w:p>
    <w:p w14:paraId="0DECCFD5" w14:textId="77777777" w:rsidR="00236915" w:rsidRDefault="00236915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1FD4A1D5" w14:textId="3297A0B4" w:rsidR="00C7269C" w:rsidRDefault="00C7269C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  <w:r w:rsidRPr="00C7269C">
        <w:rPr>
          <w:rFonts w:ascii="Inter" w:hAnsi="Inter"/>
          <w:sz w:val="20"/>
          <w:szCs w:val="20"/>
          <w:lang w:val="en-US"/>
        </w:rPr>
        <w:t>„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Výsledky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,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kterých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jsme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dosáhli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v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prvních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šesti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měsících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roku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,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odrážejí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růst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našich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hlavních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faktorů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příjmů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,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stejně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jako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naši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solidní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práci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v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oblasti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řízení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rizik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a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nákladů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.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Spolu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se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stabilním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ekonomickým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prostředím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v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našem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regionu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nám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tyto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výsledky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umožňují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zvýšit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náš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výhled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na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celý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rok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a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navrhnout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dividendu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za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běžný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finanční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rok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ve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výši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i/>
          <w:iCs/>
          <w:sz w:val="20"/>
          <w:szCs w:val="20"/>
          <w:lang w:val="en-US"/>
        </w:rPr>
        <w:t>tří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 w:rsidRPr="00C7269C">
        <w:rPr>
          <w:rFonts w:ascii="Inter" w:hAnsi="Inter"/>
          <w:i/>
          <w:iCs/>
          <w:sz w:val="20"/>
          <w:szCs w:val="20"/>
          <w:lang w:val="en-US"/>
        </w:rPr>
        <w:t>eur</w:t>
      </w:r>
      <w:proofErr w:type="spellEnd"/>
      <w:r w:rsidRPr="00C7269C">
        <w:rPr>
          <w:rFonts w:ascii="Inter" w:hAnsi="Inter"/>
          <w:i/>
          <w:iCs/>
          <w:sz w:val="20"/>
          <w:szCs w:val="20"/>
          <w:lang w:val="en-US"/>
        </w:rPr>
        <w:t>,</w:t>
      </w:r>
      <w:r w:rsidRPr="00C7269C">
        <w:rPr>
          <w:rFonts w:ascii="Inter" w:hAnsi="Inter"/>
          <w:sz w:val="20"/>
          <w:szCs w:val="20"/>
          <w:lang w:val="en-US"/>
        </w:rPr>
        <w:t>“</w:t>
      </w:r>
      <w:proofErr w:type="gramEnd"/>
      <w:r w:rsidRPr="00C7269C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sz w:val="20"/>
          <w:szCs w:val="20"/>
          <w:lang w:val="en-US"/>
        </w:rPr>
        <w:t>říká</w:t>
      </w:r>
      <w:proofErr w:type="spellEnd"/>
      <w:r w:rsidRPr="00C7269C">
        <w:rPr>
          <w:rFonts w:ascii="Inter" w:hAnsi="Inter"/>
          <w:sz w:val="20"/>
          <w:szCs w:val="20"/>
          <w:lang w:val="en-US"/>
        </w:rPr>
        <w:t xml:space="preserve"> </w:t>
      </w:r>
      <w:r w:rsidRPr="00C7269C">
        <w:rPr>
          <w:rFonts w:ascii="Inter" w:hAnsi="Inter"/>
          <w:b/>
          <w:bCs/>
          <w:sz w:val="20"/>
          <w:szCs w:val="20"/>
          <w:lang w:val="en-US"/>
        </w:rPr>
        <w:t xml:space="preserve">Stefan Dörfler, </w:t>
      </w:r>
      <w:proofErr w:type="spellStart"/>
      <w:r w:rsidRPr="00C7269C">
        <w:rPr>
          <w:rFonts w:ascii="Inter" w:hAnsi="Inter"/>
          <w:b/>
          <w:bCs/>
          <w:sz w:val="20"/>
          <w:szCs w:val="20"/>
          <w:lang w:val="en-US"/>
        </w:rPr>
        <w:t>finanční</w:t>
      </w:r>
      <w:proofErr w:type="spellEnd"/>
      <w:r w:rsidRPr="00C7269C">
        <w:rPr>
          <w:rFonts w:ascii="Inter" w:hAnsi="Inter"/>
          <w:b/>
          <w:b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b/>
          <w:bCs/>
          <w:sz w:val="20"/>
          <w:szCs w:val="20"/>
          <w:lang w:val="en-US"/>
        </w:rPr>
        <w:t>ředitel</w:t>
      </w:r>
      <w:proofErr w:type="spellEnd"/>
      <w:r w:rsidRPr="00C7269C">
        <w:rPr>
          <w:rFonts w:ascii="Inter" w:hAnsi="Inter"/>
          <w:b/>
          <w:bCs/>
          <w:sz w:val="20"/>
          <w:szCs w:val="20"/>
          <w:lang w:val="en-US"/>
        </w:rPr>
        <w:t xml:space="preserve"> </w:t>
      </w:r>
      <w:proofErr w:type="spellStart"/>
      <w:r w:rsidRPr="00C7269C">
        <w:rPr>
          <w:rFonts w:ascii="Inter" w:hAnsi="Inter"/>
          <w:b/>
          <w:bCs/>
          <w:sz w:val="20"/>
          <w:szCs w:val="20"/>
          <w:lang w:val="en-US"/>
        </w:rPr>
        <w:t>Erste</w:t>
      </w:r>
      <w:proofErr w:type="spellEnd"/>
      <w:r w:rsidRPr="00C7269C">
        <w:rPr>
          <w:rFonts w:ascii="Inter" w:hAnsi="Inter"/>
          <w:b/>
          <w:bCs/>
          <w:sz w:val="20"/>
          <w:szCs w:val="20"/>
          <w:lang w:val="en-US"/>
        </w:rPr>
        <w:t xml:space="preserve"> Group</w:t>
      </w:r>
      <w:r w:rsidRPr="00C7269C">
        <w:rPr>
          <w:rFonts w:ascii="Inter" w:hAnsi="Inter"/>
          <w:sz w:val="20"/>
          <w:szCs w:val="20"/>
          <w:lang w:val="en-US"/>
        </w:rPr>
        <w:t>.</w:t>
      </w:r>
    </w:p>
    <w:p w14:paraId="352CF69A" w14:textId="77777777" w:rsidR="00CB72AF" w:rsidRDefault="00CB72AF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5880B77F" w14:textId="77777777" w:rsidR="007C232C" w:rsidRDefault="007C232C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6C428DA5" w14:textId="77777777" w:rsidR="00C7269C" w:rsidRDefault="00C7269C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1F02F8DC" w14:textId="4925293E" w:rsidR="007C232C" w:rsidRDefault="007C232C" w:rsidP="00A23F87">
      <w:pPr>
        <w:pStyle w:val="Bezmezer"/>
        <w:spacing w:line="280" w:lineRule="exact"/>
        <w:rPr>
          <w:rFonts w:ascii="Inter" w:hAnsi="Inter"/>
          <w:i/>
          <w:iCs/>
          <w:sz w:val="16"/>
          <w:szCs w:val="16"/>
          <w:lang w:val="en-US"/>
        </w:rPr>
      </w:pP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Finanční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výsledky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za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leden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až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červen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2024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jsou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porovnány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s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výsledky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za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leden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až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červen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2023 a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rozvaha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k 30.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červnu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2024 s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rozvahou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k 31. </w:t>
      </w:r>
      <w:proofErr w:type="spellStart"/>
      <w:r w:rsidRPr="007C232C">
        <w:rPr>
          <w:rFonts w:ascii="Inter" w:hAnsi="Inter"/>
          <w:i/>
          <w:iCs/>
          <w:sz w:val="16"/>
          <w:szCs w:val="16"/>
          <w:lang w:val="en-US"/>
        </w:rPr>
        <w:t>prosinci</w:t>
      </w:r>
      <w:proofErr w:type="spellEnd"/>
      <w:r w:rsidRPr="007C232C">
        <w:rPr>
          <w:rFonts w:ascii="Inter" w:hAnsi="Inter"/>
          <w:i/>
          <w:iCs/>
          <w:sz w:val="16"/>
          <w:szCs w:val="16"/>
          <w:lang w:val="en-US"/>
        </w:rPr>
        <w:t xml:space="preserve"> 2023.</w:t>
      </w:r>
    </w:p>
    <w:p w14:paraId="3802F5E0" w14:textId="77777777" w:rsidR="007C232C" w:rsidRDefault="007C232C" w:rsidP="00A23F87">
      <w:pPr>
        <w:pStyle w:val="Bezmezer"/>
        <w:spacing w:line="280" w:lineRule="exact"/>
        <w:rPr>
          <w:rFonts w:ascii="Inter" w:hAnsi="Inter"/>
          <w:i/>
          <w:iCs/>
          <w:sz w:val="16"/>
          <w:szCs w:val="16"/>
          <w:lang w:val="en-US"/>
        </w:rPr>
      </w:pPr>
    </w:p>
    <w:p w14:paraId="544EFCE9" w14:textId="172607CB" w:rsidR="007C232C" w:rsidRPr="007C232C" w:rsidRDefault="007C232C" w:rsidP="00A23F87">
      <w:pPr>
        <w:pStyle w:val="Bezmezer"/>
        <w:spacing w:line="280" w:lineRule="exact"/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</w:pP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Růst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zisku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díky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většímu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objemu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úvěrů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a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příznivým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tržním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úrokovým</w:t>
      </w:r>
      <w:proofErr w:type="spellEnd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 xml:space="preserve"> </w:t>
      </w:r>
      <w:proofErr w:type="spellStart"/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sazbám</w:t>
      </w:r>
      <w:proofErr w:type="spellEnd"/>
    </w:p>
    <w:p w14:paraId="65EA13EF" w14:textId="77777777" w:rsidR="00B51312" w:rsidRPr="00B51312" w:rsidRDefault="00B51312" w:rsidP="00B51312">
      <w:pPr>
        <w:spacing w:line="280" w:lineRule="exact"/>
        <w:rPr>
          <w:rFonts w:ascii="Inter" w:hAnsi="Inter"/>
          <w:lang w:val="en-US"/>
        </w:rPr>
      </w:pPr>
      <w:bookmarkStart w:id="0" w:name="_Hlk165301285"/>
      <w:r w:rsidRPr="00B51312">
        <w:rPr>
          <w:rFonts w:ascii="Inter" w:hAnsi="Inter"/>
          <w:b/>
          <w:bCs/>
          <w:lang w:val="en-US"/>
        </w:rPr>
        <w:t>Čisté úrokové výnosy</w:t>
      </w:r>
      <w:r w:rsidRPr="00B51312">
        <w:rPr>
          <w:rFonts w:ascii="Inter" w:hAnsi="Inter"/>
          <w:lang w:val="en-US"/>
        </w:rPr>
        <w:t xml:space="preserve"> vzrostly na 3 687 milionů EUR (+3,5 %; 3 561 milionů EUR) na všech hlavních trzích kromě Rakouska, a to díky vyšším tržním úrokovým sazbám v eurozóně a většímu objemu úvěrů. </w:t>
      </w:r>
      <w:r w:rsidRPr="00B51312">
        <w:rPr>
          <w:rFonts w:ascii="Inter" w:hAnsi="Inter"/>
          <w:b/>
          <w:bCs/>
          <w:lang w:val="en-US"/>
        </w:rPr>
        <w:t>Čisté výnosy z poplatků a provizí</w:t>
      </w:r>
      <w:r w:rsidRPr="00B51312">
        <w:rPr>
          <w:rFonts w:ascii="Inter" w:hAnsi="Inter"/>
          <w:lang w:val="en-US"/>
        </w:rPr>
        <w:t xml:space="preserve"> vzrostly na 1 423 mil. eur (+11,6 %; 1 </w:t>
      </w:r>
      <w:r w:rsidRPr="00B51312">
        <w:rPr>
          <w:rFonts w:ascii="Inter" w:hAnsi="Inter"/>
          <w:lang w:val="en-US"/>
        </w:rPr>
        <w:lastRenderedPageBreak/>
        <w:t xml:space="preserve">275 mil. eur). Růst byl zaznamenán na všech hlavních trzích, zejména v oblasti správy aktiv a platebních služeb. </w:t>
      </w:r>
      <w:r w:rsidRPr="00B51312">
        <w:rPr>
          <w:rFonts w:ascii="Inter" w:hAnsi="Inter"/>
          <w:b/>
          <w:bCs/>
          <w:lang w:val="en-US"/>
        </w:rPr>
        <w:t>Čistý výsledek z obchodování</w:t>
      </w:r>
      <w:r w:rsidRPr="00B51312">
        <w:rPr>
          <w:rFonts w:ascii="Inter" w:hAnsi="Inter"/>
          <w:lang w:val="en-US"/>
        </w:rPr>
        <w:t xml:space="preserve"> se snížil na 137 mil. eur (270 mil. eur); položka </w:t>
      </w:r>
      <w:r w:rsidRPr="00B51312">
        <w:rPr>
          <w:rFonts w:ascii="Inter" w:hAnsi="Inter"/>
          <w:b/>
          <w:bCs/>
          <w:lang w:val="en-US"/>
        </w:rPr>
        <w:t>zisky/ztráty z finančních nástrojů oceňovaných reálnou hodnotou proti účtům nákladů a výnosů</w:t>
      </w:r>
      <w:r w:rsidRPr="00B51312">
        <w:rPr>
          <w:rFonts w:ascii="Inter" w:hAnsi="Inter"/>
          <w:lang w:val="en-US"/>
        </w:rPr>
        <w:t xml:space="preserve"> vzrostla na 111 mil. eur (-64 mil. eur). Vývoj těchto dvou položek byl způsoben především vlivy ocenění. </w:t>
      </w:r>
      <w:r w:rsidRPr="00B51312">
        <w:rPr>
          <w:rFonts w:ascii="Inter" w:hAnsi="Inter"/>
          <w:b/>
          <w:bCs/>
          <w:lang w:val="en-US"/>
        </w:rPr>
        <w:t>Provozní výnosy</w:t>
      </w:r>
      <w:r w:rsidRPr="00B51312">
        <w:rPr>
          <w:rFonts w:ascii="Inter" w:hAnsi="Inter"/>
          <w:lang w:val="en-US"/>
        </w:rPr>
        <w:t xml:space="preserve"> se zvýšily na 5 522 milionů EUR (+7,0 %; 5 161 milionů EUR). </w:t>
      </w:r>
    </w:p>
    <w:p w14:paraId="600B988E" w14:textId="77777777" w:rsidR="00B51312" w:rsidRPr="00B51312" w:rsidRDefault="00B51312" w:rsidP="00B51312">
      <w:pPr>
        <w:spacing w:line="280" w:lineRule="exact"/>
        <w:rPr>
          <w:rFonts w:ascii="Inter" w:hAnsi="Inter"/>
          <w:lang w:val="en-US"/>
        </w:rPr>
      </w:pPr>
    </w:p>
    <w:p w14:paraId="7756B2DA" w14:textId="2F59A3CC" w:rsidR="00B51312" w:rsidRDefault="007C232C" w:rsidP="00E015C9">
      <w:pPr>
        <w:spacing w:line="280" w:lineRule="exact"/>
        <w:rPr>
          <w:rFonts w:ascii="Inter" w:hAnsi="Inter"/>
          <w:lang w:val="en-US"/>
        </w:rPr>
      </w:pPr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Provozní výsledek vzrostl o 10,6 % na 2,97 miliardy eur</w:t>
      </w:r>
      <w:r w:rsidR="00C248D9" w:rsidRPr="00C248D9">
        <w:rPr>
          <w:rFonts w:ascii="Inter" w:hAnsi="Inter"/>
          <w:lang w:val="en-US"/>
        </w:rPr>
        <w:br/>
      </w:r>
      <w:r w:rsidR="00B51312" w:rsidRPr="00B51312">
        <w:rPr>
          <w:rFonts w:ascii="Inter" w:hAnsi="Inter"/>
          <w:b/>
          <w:bCs/>
          <w:lang w:val="en-US"/>
        </w:rPr>
        <w:t>Náklady na v</w:t>
      </w:r>
      <w:r w:rsidR="00B51312" w:rsidRPr="00B51312">
        <w:rPr>
          <w:rFonts w:ascii="Inter" w:hAnsi="Inter"/>
          <w:b/>
          <w:bCs/>
          <w:lang w:val="en-US"/>
        </w:rPr>
        <w:t>šeobecn</w:t>
      </w:r>
      <w:r w:rsidR="00B51312" w:rsidRPr="00B51312">
        <w:rPr>
          <w:rFonts w:ascii="Inter" w:hAnsi="Inter"/>
          <w:b/>
          <w:bCs/>
          <w:lang w:val="en-US"/>
        </w:rPr>
        <w:t>ou</w:t>
      </w:r>
      <w:r w:rsidR="00B51312" w:rsidRPr="00B51312">
        <w:rPr>
          <w:rFonts w:ascii="Inter" w:hAnsi="Inter"/>
          <w:b/>
          <w:bCs/>
          <w:lang w:val="en-US"/>
        </w:rPr>
        <w:t xml:space="preserve"> sprá</w:t>
      </w:r>
      <w:r w:rsidR="00B51312" w:rsidRPr="00B51312">
        <w:rPr>
          <w:rFonts w:ascii="Inter" w:hAnsi="Inter"/>
          <w:b/>
          <w:bCs/>
          <w:lang w:val="en-US"/>
        </w:rPr>
        <w:t>vu</w:t>
      </w:r>
      <w:r w:rsidR="00B51312" w:rsidRPr="00B51312">
        <w:rPr>
          <w:rFonts w:ascii="Inter" w:hAnsi="Inter"/>
          <w:lang w:val="en-US"/>
        </w:rPr>
        <w:t xml:space="preserve"> vzrostly na 2 548 milionů EUR (+3,1 %; 2 472 milionů EUR). </w:t>
      </w:r>
      <w:r w:rsidR="00137CB5">
        <w:rPr>
          <w:rFonts w:ascii="Inter" w:hAnsi="Inter"/>
          <w:lang w:val="en-US"/>
        </w:rPr>
        <w:t>Personální</w:t>
      </w:r>
      <w:r w:rsidR="00B51312" w:rsidRPr="00B51312">
        <w:rPr>
          <w:rFonts w:ascii="Inter" w:hAnsi="Inter"/>
          <w:lang w:val="en-US"/>
        </w:rPr>
        <w:t xml:space="preserve"> náklady vzrostly na 1 534 milionů EUR (+5,1 %; 1 459 milionů EUR) v důsledku zvýšení platů. Ostatní administrativní náklady vzrostly na 745 milionů EUR (+0,9 %; 738 milionů EUR). Zatímco příspěvky do systémů pojištění vkladů zahrnuté v ostatních správních nákladech - většinou již zaúčtované předem na celý rok 2024 - klesly na 69 mil. eur (114 mil. eur), náklady na IT vzrostly na 301 mil. eur (265 mil. eur). EUR (-1,9 %; 275 mil. EUR) a odpisy činily 270 mil. Celkově se </w:t>
      </w:r>
      <w:r w:rsidR="00B51312" w:rsidRPr="00137CB5">
        <w:rPr>
          <w:rFonts w:ascii="Inter" w:hAnsi="Inter"/>
          <w:b/>
          <w:bCs/>
          <w:lang w:val="en-US"/>
        </w:rPr>
        <w:t>provozní výsledek</w:t>
      </w:r>
      <w:r w:rsidR="00B51312" w:rsidRPr="00B51312">
        <w:rPr>
          <w:rFonts w:ascii="Inter" w:hAnsi="Inter"/>
          <w:lang w:val="en-US"/>
        </w:rPr>
        <w:t xml:space="preserve"> výrazně zvýšil na 2 974 milionů EUR (+10,6 %; 2 689 milionů EUR), </w:t>
      </w:r>
      <w:r w:rsidR="00B51312" w:rsidRPr="00137CB5">
        <w:rPr>
          <w:rFonts w:ascii="Inter" w:hAnsi="Inter"/>
          <w:b/>
          <w:bCs/>
          <w:lang w:val="en-US"/>
        </w:rPr>
        <w:t>poměr nákladů k výnosům</w:t>
      </w:r>
      <w:r w:rsidR="00B51312" w:rsidRPr="00B51312">
        <w:rPr>
          <w:rFonts w:ascii="Inter" w:hAnsi="Inter"/>
          <w:lang w:val="en-US"/>
        </w:rPr>
        <w:t xml:space="preserve"> se zlepšil na 46,1 % (47,9 %).</w:t>
      </w:r>
    </w:p>
    <w:p w14:paraId="0550677D" w14:textId="77777777" w:rsidR="00137CB5" w:rsidRPr="00C248D9" w:rsidRDefault="00137CB5" w:rsidP="00E015C9">
      <w:pPr>
        <w:spacing w:line="280" w:lineRule="exact"/>
        <w:rPr>
          <w:rFonts w:ascii="Inter" w:hAnsi="Inter"/>
          <w:lang w:val="en-US"/>
        </w:rPr>
      </w:pPr>
    </w:p>
    <w:p w14:paraId="51661FFD" w14:textId="39E09BDA" w:rsidR="007C232C" w:rsidRPr="007C232C" w:rsidRDefault="007C232C" w:rsidP="00E015C9">
      <w:pPr>
        <w:spacing w:line="280" w:lineRule="exact"/>
        <w:rPr>
          <w:rFonts w:ascii="Inter" w:hAnsi="Inter"/>
          <w:b/>
          <w:bCs/>
          <w:sz w:val="24"/>
          <w:szCs w:val="24"/>
          <w:u w:val="single"/>
          <w:lang w:val="en-US"/>
        </w:rPr>
      </w:pPr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Ukazatel krytí nesplácených úvěrů zůstává na nízké hodnotě 2,4 %</w:t>
      </w:r>
    </w:p>
    <w:p w14:paraId="710E3645" w14:textId="7EC11C43" w:rsidR="00B234F4" w:rsidRPr="00C248D9" w:rsidRDefault="00B234F4" w:rsidP="00E015C9">
      <w:pPr>
        <w:spacing w:line="280" w:lineRule="exact"/>
        <w:rPr>
          <w:rFonts w:ascii="Inter" w:hAnsi="Inter"/>
          <w:lang w:val="en-US"/>
        </w:rPr>
      </w:pPr>
      <w:r w:rsidRPr="00B234F4">
        <w:rPr>
          <w:rFonts w:ascii="Inter" w:hAnsi="Inter"/>
          <w:lang w:val="en-US"/>
        </w:rPr>
        <w:t xml:space="preserve">Výsledek </w:t>
      </w:r>
      <w:r w:rsidRPr="00B234F4">
        <w:rPr>
          <w:rFonts w:ascii="Inter" w:hAnsi="Inter"/>
          <w:b/>
          <w:bCs/>
          <w:lang w:val="en-US"/>
        </w:rPr>
        <w:t>znehodnocení finančních nástrojů</w:t>
      </w:r>
      <w:r w:rsidRPr="00B234F4">
        <w:rPr>
          <w:rFonts w:ascii="Inter" w:hAnsi="Inter"/>
          <w:lang w:val="en-US"/>
        </w:rPr>
        <w:t xml:space="preserve"> činil -126 milionů EUR, tj. 12 bazických bodů průměrných hrubých úvěrů klientům (29 milionů EUR, tj. 3 bazické body). Alokace do opravných položek k úvěrům a zálohám byla zaúčtována především v Rakousku a Rumunsku. Kladné příspěvky pocházely z vymáhání již odepsaných úvěrů, především v Rakousku. Poměr nesplácených úvěrů k hrubým klientským úvěrům se mírně zvýšil na 2,4 % (2,3 %). Ukazatel </w:t>
      </w:r>
      <w:r w:rsidRPr="004174C5">
        <w:rPr>
          <w:rFonts w:ascii="Inter" w:hAnsi="Inter"/>
          <w:b/>
          <w:bCs/>
          <w:lang w:val="en-US"/>
        </w:rPr>
        <w:t>krytí nesplácených úvěrů</w:t>
      </w:r>
      <w:r w:rsidRPr="00B234F4">
        <w:rPr>
          <w:rFonts w:ascii="Inter" w:hAnsi="Inter"/>
          <w:lang w:val="en-US"/>
        </w:rPr>
        <w:t xml:space="preserve"> (bez započtení zajištění) se snížil na 80,6 % (85,1 %).</w:t>
      </w:r>
    </w:p>
    <w:p w14:paraId="7E4D8256" w14:textId="77777777" w:rsidR="00C248D9" w:rsidRPr="00C248D9" w:rsidRDefault="00C248D9" w:rsidP="00E015C9">
      <w:pPr>
        <w:spacing w:line="280" w:lineRule="exact"/>
        <w:rPr>
          <w:rFonts w:ascii="Inter" w:hAnsi="Inter"/>
          <w:lang w:val="en-US"/>
        </w:rPr>
      </w:pPr>
    </w:p>
    <w:p w14:paraId="498FE352" w14:textId="74067BCD" w:rsidR="007C232C" w:rsidRPr="007C232C" w:rsidRDefault="007C232C" w:rsidP="00E015C9">
      <w:pPr>
        <w:spacing w:line="280" w:lineRule="exact"/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</w:pPr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t>Zlepšený výsledek hospodaření odráží silný provozní výsledek</w:t>
      </w:r>
    </w:p>
    <w:p w14:paraId="60C071DC" w14:textId="0EEFDC6C" w:rsidR="004174C5" w:rsidRPr="00C248D9" w:rsidRDefault="004174C5" w:rsidP="00E015C9">
      <w:pPr>
        <w:spacing w:line="280" w:lineRule="exact"/>
        <w:rPr>
          <w:rFonts w:ascii="Inter" w:hAnsi="Inter"/>
          <w:lang w:val="en-US"/>
        </w:rPr>
      </w:pPr>
      <w:r w:rsidRPr="004174C5">
        <w:rPr>
          <w:rFonts w:ascii="Inter" w:hAnsi="Inter"/>
          <w:b/>
          <w:bCs/>
          <w:lang w:val="en-US"/>
        </w:rPr>
        <w:t>Ostatní provozní výsledek</w:t>
      </w:r>
      <w:r w:rsidRPr="004174C5">
        <w:rPr>
          <w:rFonts w:ascii="Inter" w:hAnsi="Inter"/>
          <w:lang w:val="en-US"/>
        </w:rPr>
        <w:t xml:space="preserve"> činil -254 milionů EUR (-283 milionů EUR). </w:t>
      </w:r>
      <w:r>
        <w:rPr>
          <w:rFonts w:ascii="Inter" w:hAnsi="Inter"/>
          <w:lang w:val="en-US"/>
        </w:rPr>
        <w:t xml:space="preserve">Zahrnuje v sobě částku 90 milionů </w:t>
      </w:r>
      <w:r w:rsidRPr="004174C5">
        <w:rPr>
          <w:rFonts w:ascii="Inter" w:hAnsi="Inter"/>
          <w:lang w:val="en-US"/>
        </w:rPr>
        <w:t xml:space="preserve">EUR na rezervu týkající se mezibankovního osvobození podle čl. 6 odst. 1 pododst. 28 (2. věta) rakouského zákona o DPH. Toto osvobození může být Evropským soudním dvorem </w:t>
      </w:r>
      <w:r w:rsidR="007C232C">
        <w:rPr>
          <w:rFonts w:ascii="Inter" w:hAnsi="Inter"/>
          <w:lang w:val="en-US"/>
        </w:rPr>
        <w:t xml:space="preserve">nebo Evropskou komisí </w:t>
      </w:r>
      <w:r w:rsidRPr="004174C5">
        <w:rPr>
          <w:rFonts w:ascii="Inter" w:hAnsi="Inter"/>
          <w:lang w:val="en-US"/>
        </w:rPr>
        <w:t xml:space="preserve">klasifikováno jako podpora, která není slučitelná s právem EU, a proto by mohlo být nutné ji vrátit. Výdaje na roční příspěvky do fondů pro řešení krizí zahrnuté v této položce již za celý rok 2024 výrazně poklesly na 28 milionů EUR (114 milionů EUR), protože v roce 2024 se v eurozóně nebudou vybírat žádné pravidelné roční příspěvky. Bankovní odvody se v současné době platí na čtyřech hlavních trzích. </w:t>
      </w:r>
      <w:r>
        <w:rPr>
          <w:rFonts w:ascii="Inter" w:hAnsi="Inter"/>
          <w:lang w:val="en-US"/>
        </w:rPr>
        <w:t>Jeji</w:t>
      </w:r>
      <w:r w:rsidR="00787158">
        <w:rPr>
          <w:rFonts w:ascii="Inter" w:hAnsi="Inter"/>
          <w:lang w:val="en-US"/>
        </w:rPr>
        <w:t>c</w:t>
      </w:r>
      <w:r>
        <w:rPr>
          <w:rFonts w:ascii="Inter" w:hAnsi="Inter"/>
          <w:lang w:val="en-US"/>
        </w:rPr>
        <w:t>h</w:t>
      </w:r>
      <w:r w:rsidR="00787158">
        <w:rPr>
          <w:rFonts w:ascii="Inter" w:hAnsi="Inter"/>
          <w:lang w:val="en-US"/>
        </w:rPr>
        <w:t xml:space="preserve"> ce</w:t>
      </w:r>
      <w:r>
        <w:rPr>
          <w:rFonts w:ascii="Inter" w:hAnsi="Inter"/>
          <w:lang w:val="en-US"/>
        </w:rPr>
        <w:t xml:space="preserve">lková suma </w:t>
      </w:r>
      <w:r w:rsidRPr="004174C5">
        <w:rPr>
          <w:rFonts w:ascii="Inter" w:hAnsi="Inter"/>
          <w:lang w:val="en-US"/>
        </w:rPr>
        <w:t>EUR (121 mil. EUR) se promít</w:t>
      </w:r>
      <w:r>
        <w:rPr>
          <w:rFonts w:ascii="Inter" w:hAnsi="Inter"/>
          <w:lang w:val="en-US"/>
        </w:rPr>
        <w:t>á</w:t>
      </w:r>
      <w:r w:rsidRPr="004174C5">
        <w:rPr>
          <w:rFonts w:ascii="Inter" w:hAnsi="Inter"/>
          <w:lang w:val="en-US"/>
        </w:rPr>
        <w:t xml:space="preserve"> do ostatního provozního výsledku: </w:t>
      </w:r>
      <w:r w:rsidR="00FF4090">
        <w:rPr>
          <w:rFonts w:ascii="Inter" w:hAnsi="Inter"/>
          <w:lang w:val="en-US"/>
        </w:rPr>
        <w:t xml:space="preserve">V Maďarsku dosáhly tyto odvody </w:t>
      </w:r>
      <w:r w:rsidRPr="004174C5">
        <w:rPr>
          <w:rFonts w:ascii="Inter" w:hAnsi="Inter"/>
          <w:lang w:val="en-US"/>
        </w:rPr>
        <w:t xml:space="preserve"> 96 mil</w:t>
      </w:r>
      <w:r w:rsidR="00FF4090">
        <w:rPr>
          <w:rFonts w:ascii="Inter" w:hAnsi="Inter"/>
          <w:lang w:val="en-US"/>
        </w:rPr>
        <w:t xml:space="preserve">ionů EUR (20 mil. EUR). </w:t>
      </w:r>
      <w:r w:rsidRPr="004174C5">
        <w:rPr>
          <w:rFonts w:ascii="Inter" w:hAnsi="Inter"/>
          <w:lang w:val="en-US"/>
        </w:rPr>
        <w:t xml:space="preserve">V Rakousku činila bankovní daň 20 milionů EUR (20 milionů EUR), v Rumunsku 18 milionů EUR (nově zavedena v roce 2024). Bankovní daň na Slovensku ve výši 46 mil. </w:t>
      </w:r>
      <w:r w:rsidR="00FF4090">
        <w:rPr>
          <w:rFonts w:ascii="Inter" w:hAnsi="Inter"/>
          <w:lang w:val="en-US"/>
        </w:rPr>
        <w:t>EUR</w:t>
      </w:r>
      <w:r w:rsidRPr="004174C5">
        <w:rPr>
          <w:rFonts w:ascii="Inter" w:hAnsi="Inter"/>
          <w:lang w:val="en-US"/>
        </w:rPr>
        <w:t xml:space="preserve"> je zaúčtována v položce daně z příjmů.</w:t>
      </w:r>
    </w:p>
    <w:p w14:paraId="2D62AC48" w14:textId="77777777" w:rsidR="00C248D9" w:rsidRPr="00C248D9" w:rsidRDefault="00C248D9" w:rsidP="00E015C9">
      <w:pPr>
        <w:spacing w:line="280" w:lineRule="exact"/>
        <w:rPr>
          <w:rFonts w:ascii="Inter" w:hAnsi="Inter"/>
          <w:lang w:val="en-US"/>
        </w:rPr>
      </w:pPr>
    </w:p>
    <w:p w14:paraId="5034C809" w14:textId="14014082" w:rsidR="003573F9" w:rsidRPr="00C248D9" w:rsidRDefault="003573F9" w:rsidP="00E015C9">
      <w:pPr>
        <w:spacing w:line="280" w:lineRule="exact"/>
        <w:rPr>
          <w:rFonts w:ascii="Inter" w:hAnsi="Inter"/>
          <w:lang w:val="en-US"/>
        </w:rPr>
      </w:pPr>
      <w:r w:rsidRPr="003573F9">
        <w:rPr>
          <w:rFonts w:ascii="Inter" w:hAnsi="Inter"/>
          <w:b/>
          <w:bCs/>
          <w:lang w:val="en-US"/>
        </w:rPr>
        <w:t>Daně z příjmů</w:t>
      </w:r>
      <w:r w:rsidRPr="003573F9">
        <w:rPr>
          <w:rFonts w:ascii="Inter" w:hAnsi="Inter"/>
          <w:lang w:val="en-US"/>
        </w:rPr>
        <w:t xml:space="preserve"> činily 531 milionů EUR (439 milionů EUR). Pokles menšinových poplatků na 431 milionů EUR (508 milionů EUR) byl způsoben nižšími příspěvky od spořitelen. </w:t>
      </w:r>
      <w:r w:rsidRPr="003573F9">
        <w:rPr>
          <w:rFonts w:ascii="Inter" w:hAnsi="Inter"/>
          <w:b/>
          <w:bCs/>
          <w:lang w:val="en-US"/>
        </w:rPr>
        <w:t>Čistý výsledek hospodaření připadající na vlastníky mateřské společnosti</w:t>
      </w:r>
      <w:r w:rsidRPr="003573F9">
        <w:rPr>
          <w:rFonts w:ascii="Inter" w:hAnsi="Inter"/>
          <w:lang w:val="en-US"/>
        </w:rPr>
        <w:t xml:space="preserve"> </w:t>
      </w:r>
      <w:r w:rsidR="007C232C" w:rsidRPr="007C232C">
        <w:rPr>
          <w:rFonts w:ascii="Inter" w:hAnsi="Inter"/>
          <w:b/>
          <w:bCs/>
          <w:lang w:val="en-US"/>
        </w:rPr>
        <w:t>(“čistý zisk”)</w:t>
      </w:r>
      <w:r w:rsidR="007C232C">
        <w:rPr>
          <w:rFonts w:ascii="Inter" w:hAnsi="Inter"/>
          <w:lang w:val="en-US"/>
        </w:rPr>
        <w:t xml:space="preserve"> </w:t>
      </w:r>
      <w:r w:rsidRPr="003573F9">
        <w:rPr>
          <w:rFonts w:ascii="Inter" w:hAnsi="Inter"/>
          <w:lang w:val="en-US"/>
        </w:rPr>
        <w:t>vzrostl na 1 629 milionů EUR (1 490 milionů EUR) díky silnému provoznímu výsledku a lepšímu ostatnímu provoznímu výsledku.</w:t>
      </w:r>
    </w:p>
    <w:p w14:paraId="44258EAC" w14:textId="77777777" w:rsidR="00C248D9" w:rsidRDefault="00C248D9" w:rsidP="00E015C9">
      <w:pPr>
        <w:spacing w:line="280" w:lineRule="exact"/>
        <w:rPr>
          <w:rFonts w:ascii="Inter" w:hAnsi="Inter"/>
          <w:highlight w:val="yellow"/>
          <w:lang w:val="en-US"/>
        </w:rPr>
      </w:pPr>
    </w:p>
    <w:p w14:paraId="34DB60B8" w14:textId="77777777" w:rsidR="007C232C" w:rsidRDefault="007C232C" w:rsidP="00E015C9">
      <w:pPr>
        <w:spacing w:line="280" w:lineRule="exact"/>
        <w:rPr>
          <w:rFonts w:ascii="Inter" w:hAnsi="Inter"/>
          <w:highlight w:val="yellow"/>
          <w:lang w:val="en-US"/>
        </w:rPr>
      </w:pPr>
    </w:p>
    <w:p w14:paraId="0FE57CC6" w14:textId="77777777" w:rsidR="007C232C" w:rsidRDefault="007C232C" w:rsidP="00E015C9">
      <w:pPr>
        <w:spacing w:line="280" w:lineRule="exact"/>
        <w:rPr>
          <w:rFonts w:ascii="Inter" w:hAnsi="Inter"/>
          <w:highlight w:val="yellow"/>
          <w:lang w:val="en-US"/>
        </w:rPr>
      </w:pPr>
    </w:p>
    <w:p w14:paraId="7FF9D033" w14:textId="1D3BAA18" w:rsidR="007C232C" w:rsidRPr="007C232C" w:rsidRDefault="007C232C" w:rsidP="00E015C9">
      <w:pPr>
        <w:spacing w:line="280" w:lineRule="exact"/>
        <w:rPr>
          <w:rFonts w:ascii="Inter" w:hAnsi="Inter"/>
          <w:b/>
          <w:bCs/>
          <w:color w:val="4472C4" w:themeColor="accent1"/>
          <w:sz w:val="24"/>
          <w:szCs w:val="24"/>
          <w:highlight w:val="yellow"/>
          <w:u w:val="single"/>
          <w:lang w:val="en-US"/>
        </w:rPr>
      </w:pPr>
      <w:r w:rsidRPr="007C232C">
        <w:rPr>
          <w:rFonts w:ascii="Inter" w:hAnsi="Inter"/>
          <w:b/>
          <w:bCs/>
          <w:color w:val="4472C4" w:themeColor="accent1"/>
          <w:sz w:val="24"/>
          <w:szCs w:val="24"/>
          <w:u w:val="single"/>
          <w:lang w:val="en-US"/>
        </w:rPr>
        <w:lastRenderedPageBreak/>
        <w:t>Mírný nárůst objemu úvěrů a vkladů</w:t>
      </w:r>
    </w:p>
    <w:p w14:paraId="6FDF2DEE" w14:textId="75376641" w:rsidR="00C248D9" w:rsidRDefault="00C248D9" w:rsidP="00E015C9">
      <w:pPr>
        <w:spacing w:line="280" w:lineRule="exact"/>
        <w:rPr>
          <w:rFonts w:ascii="Inter" w:hAnsi="Inter"/>
          <w:lang w:val="en-US"/>
        </w:rPr>
      </w:pPr>
      <w:r w:rsidRPr="00C248D9">
        <w:rPr>
          <w:rStyle w:val="FettimText"/>
          <w:rFonts w:ascii="Inter" w:hAnsi="Inter"/>
          <w:lang w:val="en-US"/>
        </w:rPr>
        <w:t>Total equity</w:t>
      </w:r>
      <w:r w:rsidRPr="00C248D9">
        <w:rPr>
          <w:rFonts w:ascii="Inter" w:hAnsi="Inter"/>
          <w:lang w:val="en-US"/>
        </w:rPr>
        <w:t xml:space="preserve"> not including AT1 instruments rose to EUR 26.3 billion (EUR 26.1 billion). After regulatory deductions and filtering in accordance with the Capital Requirements Regulation (CRR), </w:t>
      </w:r>
      <w:r w:rsidRPr="00C248D9">
        <w:rPr>
          <w:rStyle w:val="FettimText"/>
          <w:rFonts w:ascii="Inter" w:hAnsi="Inter"/>
          <w:lang w:val="en-US"/>
        </w:rPr>
        <w:t>common equity tier 1 capital</w:t>
      </w:r>
      <w:r w:rsidRPr="00C248D9">
        <w:rPr>
          <w:rFonts w:ascii="Inter" w:hAnsi="Inter"/>
          <w:lang w:val="en-US"/>
        </w:rPr>
        <w:t xml:space="preserve"> (CET1, final) </w:t>
      </w:r>
      <w:r w:rsidRPr="007C232C">
        <w:rPr>
          <w:rFonts w:ascii="Inter" w:hAnsi="Inter"/>
          <w:lang w:val="en-US"/>
        </w:rPr>
        <w:t>equalled EUR 23.7 billion (</w:t>
      </w:r>
      <w:r w:rsidRPr="00C248D9">
        <w:rPr>
          <w:rFonts w:ascii="Inter" w:hAnsi="Inter"/>
          <w:lang w:val="en-US"/>
        </w:rPr>
        <w:t xml:space="preserve">EUR 22.9 billion), total </w:t>
      </w:r>
      <w:r w:rsidRPr="00C248D9">
        <w:rPr>
          <w:rStyle w:val="FettimText"/>
          <w:rFonts w:ascii="Inter" w:hAnsi="Inter"/>
          <w:lang w:val="en-US"/>
        </w:rPr>
        <w:t>own funds</w:t>
      </w:r>
      <w:r w:rsidRPr="00C248D9">
        <w:rPr>
          <w:rFonts w:ascii="Inter" w:hAnsi="Inter"/>
          <w:lang w:val="en-US"/>
        </w:rPr>
        <w:t xml:space="preserve"> (final) </w:t>
      </w:r>
      <w:r w:rsidRPr="007C232C">
        <w:rPr>
          <w:rFonts w:ascii="Inter" w:hAnsi="Inter"/>
          <w:lang w:val="en-US"/>
        </w:rPr>
        <w:t>EUR 30.</w:t>
      </w:r>
      <w:r w:rsidR="007C232C" w:rsidRPr="007C232C">
        <w:rPr>
          <w:rFonts w:ascii="Inter" w:hAnsi="Inter"/>
          <w:lang w:val="en-US"/>
        </w:rPr>
        <w:t>1</w:t>
      </w:r>
      <w:r w:rsidRPr="007C232C">
        <w:rPr>
          <w:rFonts w:ascii="Inter" w:hAnsi="Inter"/>
          <w:lang w:val="en-US"/>
        </w:rPr>
        <w:t xml:space="preserve"> billion (</w:t>
      </w:r>
      <w:r w:rsidRPr="00C248D9">
        <w:rPr>
          <w:rFonts w:ascii="Inter" w:hAnsi="Inter"/>
          <w:lang w:val="en-US"/>
        </w:rPr>
        <w:t>EUR 29.1 billion). Interim profit for the first half of the year is included in the above figures. Total risk (</w:t>
      </w:r>
      <w:r w:rsidRPr="00C248D9">
        <w:rPr>
          <w:rStyle w:val="FettimText"/>
          <w:rFonts w:ascii="Inter" w:hAnsi="Inter"/>
          <w:lang w:val="en-US"/>
        </w:rPr>
        <w:t>risk-weighted assets</w:t>
      </w:r>
      <w:r w:rsidRPr="00C248D9">
        <w:rPr>
          <w:rFonts w:ascii="Inter" w:hAnsi="Inter"/>
          <w:lang w:val="en-US"/>
        </w:rPr>
        <w:t xml:space="preserve"> including credit, market and operational risk, CRR </w:t>
      </w:r>
      <w:r w:rsidRPr="007C232C">
        <w:rPr>
          <w:rFonts w:ascii="Inter" w:hAnsi="Inter"/>
          <w:lang w:val="en-US"/>
        </w:rPr>
        <w:t>final) rose to EUR 153.2 billion</w:t>
      </w:r>
      <w:r w:rsidRPr="00C248D9">
        <w:rPr>
          <w:rFonts w:ascii="Inter" w:hAnsi="Inter"/>
          <w:lang w:val="en-US"/>
        </w:rPr>
        <w:t xml:space="preserve"> (EUR 146.5 billion). The </w:t>
      </w:r>
      <w:r w:rsidRPr="00C248D9">
        <w:rPr>
          <w:rStyle w:val="FettimText"/>
          <w:rFonts w:ascii="Inter" w:hAnsi="Inter"/>
          <w:lang w:val="en-US"/>
        </w:rPr>
        <w:t>common equity tier 1 ratio</w:t>
      </w:r>
      <w:r w:rsidRPr="00C248D9">
        <w:rPr>
          <w:rFonts w:ascii="Inter" w:hAnsi="Inter"/>
          <w:lang w:val="en-US"/>
        </w:rPr>
        <w:t xml:space="preserve"> (CET1, final</w:t>
      </w:r>
      <w:r w:rsidRPr="00A54412">
        <w:rPr>
          <w:rFonts w:ascii="Inter" w:hAnsi="Inter"/>
          <w:lang w:val="en-US"/>
        </w:rPr>
        <w:t>) stood at 15.</w:t>
      </w:r>
      <w:r w:rsidR="00F46438" w:rsidRPr="00A54412">
        <w:rPr>
          <w:rFonts w:ascii="Inter" w:hAnsi="Inter"/>
          <w:lang w:val="en-US"/>
        </w:rPr>
        <w:t>5</w:t>
      </w:r>
      <w:r w:rsidRPr="00A54412">
        <w:rPr>
          <w:rFonts w:ascii="Inter" w:hAnsi="Inter"/>
          <w:lang w:val="en-US"/>
        </w:rPr>
        <w:t xml:space="preserve">% (15.7%), the </w:t>
      </w:r>
      <w:r w:rsidRPr="00A54412">
        <w:rPr>
          <w:rStyle w:val="FettimText"/>
          <w:rFonts w:ascii="Inter" w:hAnsi="Inter"/>
          <w:lang w:val="en-US"/>
        </w:rPr>
        <w:t>total capital ratio</w:t>
      </w:r>
      <w:r w:rsidRPr="00A54412">
        <w:rPr>
          <w:rFonts w:ascii="Inter" w:hAnsi="Inter"/>
          <w:lang w:val="en-US"/>
        </w:rPr>
        <w:t xml:space="preserve"> at 19.6% </w:t>
      </w:r>
      <w:r w:rsidRPr="00C248D9">
        <w:rPr>
          <w:rFonts w:ascii="Inter" w:hAnsi="Inter"/>
          <w:lang w:val="en-US"/>
        </w:rPr>
        <w:t>(19.9%).</w:t>
      </w:r>
    </w:p>
    <w:p w14:paraId="1B1C8DF5" w14:textId="543AAE6E" w:rsidR="003573F9" w:rsidRPr="00C248D9" w:rsidRDefault="003573F9" w:rsidP="00E015C9">
      <w:pPr>
        <w:spacing w:line="280" w:lineRule="exact"/>
        <w:rPr>
          <w:rFonts w:ascii="Inter" w:hAnsi="Inter"/>
          <w:highlight w:val="yellow"/>
          <w:lang w:val="en-US"/>
        </w:rPr>
      </w:pPr>
      <w:r w:rsidRPr="003573F9">
        <w:rPr>
          <w:rFonts w:ascii="Inter" w:hAnsi="Inter"/>
          <w:b/>
          <w:bCs/>
          <w:lang w:val="en-US"/>
        </w:rPr>
        <w:t>Celkový vlastní kapitál</w:t>
      </w:r>
      <w:r w:rsidRPr="003573F9">
        <w:rPr>
          <w:rFonts w:ascii="Inter" w:hAnsi="Inter"/>
          <w:lang w:val="en-US"/>
        </w:rPr>
        <w:t xml:space="preserve"> bez nástrojů AT1 vzrostl na 26,3 miliardy EUR (26,1 miliardy EUR). Po regulatorních odpočtech a </w:t>
      </w:r>
      <w:r w:rsidR="00B43ACA">
        <w:rPr>
          <w:rFonts w:ascii="Inter" w:hAnsi="Inter"/>
          <w:lang w:val="en-US"/>
        </w:rPr>
        <w:t>očištění</w:t>
      </w:r>
      <w:r w:rsidRPr="003573F9">
        <w:rPr>
          <w:rFonts w:ascii="Inter" w:hAnsi="Inter"/>
          <w:lang w:val="en-US"/>
        </w:rPr>
        <w:t xml:space="preserve"> v souladu s nařízením o kapitálových požadavcích (CRR) činil </w:t>
      </w:r>
      <w:r w:rsidRPr="003573F9">
        <w:rPr>
          <w:rFonts w:ascii="Inter" w:hAnsi="Inter"/>
          <w:b/>
          <w:bCs/>
          <w:lang w:val="en-US"/>
        </w:rPr>
        <w:t xml:space="preserve">kmenový kapitál tier 1 </w:t>
      </w:r>
      <w:r w:rsidRPr="003573F9">
        <w:rPr>
          <w:rFonts w:ascii="Inter" w:hAnsi="Inter"/>
          <w:lang w:val="en-US"/>
        </w:rPr>
        <w:t xml:space="preserve">(CET1, konečný) 23,7 mld. eur (22,9 mld. eur), </w:t>
      </w:r>
      <w:r w:rsidRPr="003573F9">
        <w:rPr>
          <w:rFonts w:ascii="Inter" w:hAnsi="Inter"/>
          <w:b/>
          <w:bCs/>
          <w:lang w:val="en-US"/>
        </w:rPr>
        <w:t>celkový kapitál</w:t>
      </w:r>
      <w:r w:rsidRPr="003573F9">
        <w:rPr>
          <w:rFonts w:ascii="Inter" w:hAnsi="Inter"/>
          <w:lang w:val="en-US"/>
        </w:rPr>
        <w:t xml:space="preserve"> (konečný) 30,0 mld. eur (29,1 mld. eur). Mezitímní zisk za první pololetí je zahrnut ve výše uvedených údajích. Celkové riziko (</w:t>
      </w:r>
      <w:r w:rsidRPr="00B43ACA">
        <w:rPr>
          <w:rFonts w:ascii="Inter" w:hAnsi="Inter"/>
          <w:b/>
          <w:bCs/>
          <w:lang w:val="en-US"/>
        </w:rPr>
        <w:t>rizikově vážená aktiva</w:t>
      </w:r>
      <w:r w:rsidRPr="003573F9">
        <w:rPr>
          <w:rFonts w:ascii="Inter" w:hAnsi="Inter"/>
          <w:lang w:val="en-US"/>
        </w:rPr>
        <w:t xml:space="preserve"> včetně úvěrového, tržního a operačního rizika, CRR finální) vzrostlo na 153,2 mld. eur (146,5 mld. eur). Ukazatel </w:t>
      </w:r>
      <w:r w:rsidRPr="00B43ACA">
        <w:rPr>
          <w:rFonts w:ascii="Inter" w:hAnsi="Inter"/>
          <w:b/>
          <w:bCs/>
          <w:lang w:val="en-US"/>
        </w:rPr>
        <w:t>kmenového kapitálu tier 1</w:t>
      </w:r>
      <w:r w:rsidRPr="003573F9">
        <w:rPr>
          <w:rFonts w:ascii="Inter" w:hAnsi="Inter"/>
          <w:lang w:val="en-US"/>
        </w:rPr>
        <w:t xml:space="preserve"> (CET1, final) činil 15,5 % (15,7 %), </w:t>
      </w:r>
      <w:r w:rsidRPr="00B43ACA">
        <w:rPr>
          <w:rFonts w:ascii="Inter" w:hAnsi="Inter"/>
          <w:b/>
          <w:bCs/>
          <w:lang w:val="en-US"/>
        </w:rPr>
        <w:t>celkový kapitálový poměr</w:t>
      </w:r>
      <w:r w:rsidRPr="003573F9">
        <w:rPr>
          <w:rFonts w:ascii="Inter" w:hAnsi="Inter"/>
          <w:lang w:val="en-US"/>
        </w:rPr>
        <w:t xml:space="preserve"> 19,6 % (19,9 %).</w:t>
      </w:r>
    </w:p>
    <w:p w14:paraId="5FF1EE4F" w14:textId="77777777" w:rsidR="00C248D9" w:rsidRPr="00C248D9" w:rsidRDefault="00C248D9" w:rsidP="00E015C9">
      <w:pPr>
        <w:spacing w:line="280" w:lineRule="exact"/>
        <w:rPr>
          <w:rFonts w:ascii="Inter" w:hAnsi="Inter"/>
          <w:highlight w:val="yellow"/>
          <w:lang w:val="en-US"/>
        </w:rPr>
      </w:pPr>
    </w:p>
    <w:bookmarkEnd w:id="0"/>
    <w:p w14:paraId="4095A6B7" w14:textId="107CED39" w:rsidR="00B43ACA" w:rsidRPr="00C248D9" w:rsidRDefault="00B43ACA" w:rsidP="00E015C9">
      <w:pPr>
        <w:spacing w:line="280" w:lineRule="exact"/>
        <w:rPr>
          <w:rFonts w:ascii="Inter" w:hAnsi="Inter"/>
          <w:lang w:val="en-US"/>
        </w:rPr>
      </w:pPr>
      <w:r w:rsidRPr="00B43ACA">
        <w:rPr>
          <w:rFonts w:ascii="Inter" w:hAnsi="Inter"/>
          <w:b/>
          <w:bCs/>
          <w:lang w:val="en-US"/>
        </w:rPr>
        <w:t>Celková aktiva</w:t>
      </w:r>
      <w:r w:rsidRPr="00B43ACA">
        <w:rPr>
          <w:rFonts w:ascii="Inter" w:hAnsi="Inter"/>
          <w:lang w:val="en-US"/>
        </w:rPr>
        <w:t xml:space="preserve"> se zvýšila na 344,1 miliardy EUR (+2,1 %; 337,2 miliardy EUR). Na straně aktiv došlo k poklesu hotovosti a peněžních zůstatků na 26,2 mld. eur (36,7 mld. eur); úvěry a zálohy bankám vzrostly - nejvíce v Rakousku a České republice - na 35,0 mld. eur (21,4 mld. eur). </w:t>
      </w:r>
      <w:r w:rsidRPr="00B43ACA">
        <w:rPr>
          <w:rFonts w:ascii="Inter" w:hAnsi="Inter"/>
          <w:b/>
          <w:bCs/>
          <w:lang w:val="en-US"/>
        </w:rPr>
        <w:t>Úvěry a zálohy klientům</w:t>
      </w:r>
      <w:r w:rsidRPr="00B43ACA">
        <w:rPr>
          <w:rFonts w:ascii="Inter" w:hAnsi="Inter"/>
          <w:lang w:val="en-US"/>
        </w:rPr>
        <w:t xml:space="preserve"> byly vyšší a dosáhly 211,3 mld. eur (+1,7 %; 207,8 mld. eur). Na straně pasiv se vklady od bank snížily na 17,5 mld. eur (22,9 mld. eur). </w:t>
      </w:r>
      <w:r w:rsidRPr="00B43ACA">
        <w:rPr>
          <w:rFonts w:ascii="Inter" w:hAnsi="Inter"/>
          <w:b/>
          <w:bCs/>
          <w:lang w:val="en-US"/>
        </w:rPr>
        <w:t>Vklady klientů</w:t>
      </w:r>
      <w:r w:rsidRPr="00B43ACA">
        <w:rPr>
          <w:rFonts w:ascii="Inter" w:hAnsi="Inter"/>
          <w:lang w:val="en-US"/>
        </w:rPr>
        <w:t xml:space="preserve"> vzrostly - nejvýrazněji v České republice a Rakousku - na 240,2 mld. eur (+3,2 %; 232,8 mld. eur). </w:t>
      </w:r>
      <w:r w:rsidRPr="00B43ACA">
        <w:rPr>
          <w:rFonts w:ascii="Inter" w:hAnsi="Inter"/>
          <w:b/>
          <w:bCs/>
          <w:lang w:val="en-US"/>
        </w:rPr>
        <w:t>Poměr úvěrů ke vkladům</w:t>
      </w:r>
      <w:r w:rsidRPr="00B43ACA">
        <w:rPr>
          <w:rFonts w:ascii="Inter" w:hAnsi="Inter"/>
          <w:lang w:val="en-US"/>
        </w:rPr>
        <w:t xml:space="preserve"> činil 87,9 % (89,3 %).</w:t>
      </w:r>
    </w:p>
    <w:p w14:paraId="7AC59488" w14:textId="21000C83" w:rsidR="00A23F87" w:rsidRPr="00A85FA9" w:rsidRDefault="00A23F87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08E02670" w14:textId="47B28CFE" w:rsidR="00A23F87" w:rsidRPr="00A85FA9" w:rsidRDefault="00A23F87" w:rsidP="00A23F87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78DE081D" w14:textId="3B63E0EC" w:rsidR="00CC18B8" w:rsidRDefault="007C232C" w:rsidP="00B4639A">
      <w:pPr>
        <w:pStyle w:val="Bezmezer"/>
        <w:spacing w:line="280" w:lineRule="exact"/>
        <w:rPr>
          <w:rFonts w:ascii="Inter" w:eastAsiaTheme="majorEastAsia" w:hAnsi="Inter" w:cstheme="majorBidi"/>
          <w:b/>
          <w:bCs/>
          <w:noProof/>
          <w:sz w:val="24"/>
          <w:szCs w:val="24"/>
          <w:shd w:val="clear" w:color="auto" w:fill="FFFFFF"/>
          <w:lang w:val="en-US" w:eastAsia="de-DE"/>
        </w:rPr>
      </w:pPr>
      <w:r w:rsidRPr="007C232C">
        <w:rPr>
          <w:rFonts w:ascii="Inter" w:eastAsiaTheme="majorEastAsia" w:hAnsi="Inter" w:cstheme="majorBidi"/>
          <w:b/>
          <w:bCs/>
          <w:noProof/>
          <w:sz w:val="24"/>
          <w:szCs w:val="24"/>
          <w:shd w:val="clear" w:color="auto" w:fill="FFFFFF"/>
          <w:lang w:val="en-US" w:eastAsia="de-DE"/>
        </w:rPr>
        <w:t>Výhled do roku 202</w:t>
      </w:r>
      <w:r>
        <w:rPr>
          <w:rFonts w:ascii="Inter" w:eastAsiaTheme="majorEastAsia" w:hAnsi="Inter" w:cstheme="majorBidi"/>
          <w:b/>
          <w:bCs/>
          <w:noProof/>
          <w:sz w:val="24"/>
          <w:szCs w:val="24"/>
          <w:shd w:val="clear" w:color="auto" w:fill="FFFFFF"/>
          <w:lang w:val="en-US" w:eastAsia="de-DE"/>
        </w:rPr>
        <w:t>4</w:t>
      </w:r>
    </w:p>
    <w:p w14:paraId="218D54B9" w14:textId="77777777" w:rsidR="007C232C" w:rsidRDefault="007C232C" w:rsidP="00B4639A">
      <w:pPr>
        <w:pStyle w:val="Bezmezer"/>
        <w:spacing w:line="280" w:lineRule="exact"/>
        <w:rPr>
          <w:rFonts w:ascii="Inter" w:eastAsiaTheme="majorEastAsia" w:hAnsi="Inter" w:cstheme="majorBidi"/>
          <w:b/>
          <w:bCs/>
          <w:noProof/>
          <w:sz w:val="24"/>
          <w:szCs w:val="24"/>
          <w:shd w:val="clear" w:color="auto" w:fill="FFFFFF"/>
          <w:lang w:val="en-US" w:eastAsia="de-DE"/>
        </w:rPr>
      </w:pPr>
    </w:p>
    <w:p w14:paraId="1A9E1E2A" w14:textId="0C0B1F99" w:rsid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  <w:r w:rsidRPr="002B2F26">
        <w:rPr>
          <w:rFonts w:ascii="Inter" w:hAnsi="Inter"/>
          <w:sz w:val="20"/>
          <w:szCs w:val="20"/>
          <w:lang w:val="en-US"/>
        </w:rPr>
        <w:t xml:space="preserve">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návaznosti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dobrý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obchodní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vývoj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r>
        <w:rPr>
          <w:rFonts w:ascii="Inter" w:hAnsi="Inter"/>
          <w:sz w:val="20"/>
          <w:szCs w:val="20"/>
          <w:lang w:val="en-US"/>
        </w:rPr>
        <w:t>1.</w:t>
      </w:r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polovině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roku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zlepšuje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výhled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nyní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očekává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že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dosáhne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návratnosti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hmotného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kapitálu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(ROTE) </w:t>
      </w:r>
      <w:proofErr w:type="spellStart"/>
      <w:r>
        <w:rPr>
          <w:rFonts w:ascii="Inter" w:hAnsi="Inter"/>
          <w:sz w:val="20"/>
          <w:szCs w:val="20"/>
          <w:lang w:val="en-US"/>
        </w:rPr>
        <w:t>vyšší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než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15</w:t>
      </w:r>
      <w:r>
        <w:rPr>
          <w:rFonts w:ascii="Inter" w:hAnsi="Inter"/>
          <w:sz w:val="20"/>
          <w:szCs w:val="20"/>
          <w:lang w:val="en-US"/>
        </w:rPr>
        <w:t xml:space="preserve"> </w:t>
      </w:r>
      <w:r w:rsidRPr="002B2F26">
        <w:rPr>
          <w:rFonts w:ascii="Inter" w:hAnsi="Inter"/>
          <w:sz w:val="20"/>
          <w:szCs w:val="20"/>
          <w:lang w:val="en-US"/>
        </w:rPr>
        <w:t xml:space="preserve">%,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převážně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stabilního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provozního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výsledku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a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následně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opět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poměru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nákladů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a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výnosů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pod 50 %.</w:t>
      </w:r>
    </w:p>
    <w:p w14:paraId="5389FEC7" w14:textId="77777777" w:rsidR="002B2F26" w:rsidRP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195C7BEE" w14:textId="21C7E4A9" w:rsid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  <w:proofErr w:type="spellStart"/>
      <w:r w:rsidRPr="002B2F26">
        <w:rPr>
          <w:rFonts w:ascii="Inter" w:hAnsi="Inter"/>
          <w:sz w:val="20"/>
          <w:szCs w:val="20"/>
          <w:lang w:val="en-US"/>
        </w:rPr>
        <w:t>Ekonomové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očekávají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že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hlavní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trhy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zaznamenají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lepší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růst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reálného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HDP.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Inflační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tlaky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pokračovat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klesajícím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trendu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Pokračující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silné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trhy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práce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podpořit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ekonomickou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výkonnost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všech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trzích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skupiny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Group. Saldo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běžného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účtu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většině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zemí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zůstat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udržitelné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úrovni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zatímco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fiskální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deficity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pokračovat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konsolidaci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Veřejný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dluh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poměru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k HDP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být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všech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trzích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zásadě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stabilní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a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zůstat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tak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výrazně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pod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průměrem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eurozóny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>.</w:t>
      </w:r>
    </w:p>
    <w:p w14:paraId="47AE42E5" w14:textId="77777777" w:rsid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7469D1EC" w14:textId="77777777" w:rsidR="002B2F26" w:rsidRP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  <w:r w:rsidRPr="002B2F26">
        <w:rPr>
          <w:rFonts w:ascii="Inter" w:hAnsi="Inter"/>
          <w:sz w:val="20"/>
          <w:szCs w:val="20"/>
          <w:lang w:val="en-US"/>
        </w:rPr>
        <w:t xml:space="preserve">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této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ekonomické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situaci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očekává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růst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čistých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úvěrů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o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přibližně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5 %. K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dosažení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tohoto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cíle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všech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trzích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přispět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retailové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a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korporátní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obchody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Na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základě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výše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uvedeného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makropohledu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by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rizikové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náklady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měly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zůstat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nízké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úrovni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Přesná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prognóza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je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sice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současné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nízké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úrovni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rizikových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nákladů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obtížná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ale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vzhledem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k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vývoji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první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polovině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roku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se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domnívá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že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budou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rizikové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náklady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pod 20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bazickými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body (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namísto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původně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předpokládaných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méně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než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25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bazických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bodů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)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průměrných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hrubých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klientských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úvěrů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. </w:t>
      </w:r>
    </w:p>
    <w:p w14:paraId="1AA730F0" w14:textId="77777777" w:rsidR="002B2F26" w:rsidRPr="002B2F26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</w:p>
    <w:p w14:paraId="53B910F8" w14:textId="1B0D37BD" w:rsidR="002B2F26" w:rsidRPr="00B4639A" w:rsidRDefault="002B2F26" w:rsidP="002B2F26">
      <w:pPr>
        <w:pStyle w:val="Bezmezer"/>
        <w:spacing w:line="280" w:lineRule="exact"/>
        <w:rPr>
          <w:rFonts w:ascii="Inter" w:hAnsi="Inter"/>
          <w:sz w:val="20"/>
          <w:szCs w:val="20"/>
          <w:lang w:val="en-US"/>
        </w:rPr>
      </w:pPr>
      <w:proofErr w:type="spellStart"/>
      <w:r w:rsidRPr="002B2F26">
        <w:rPr>
          <w:rFonts w:ascii="Inter" w:hAnsi="Inter"/>
          <w:sz w:val="20"/>
          <w:szCs w:val="20"/>
          <w:lang w:val="en-US"/>
        </w:rPr>
        <w:lastRenderedPageBreak/>
        <w:t>Očekává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se,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že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ukazatel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CET1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zůstane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silný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což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zajistí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zvýšenou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kapitálovou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návratnost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a/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nebo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flexibilitu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oblasti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fúzí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gramStart"/>
      <w:r w:rsidRPr="002B2F26">
        <w:rPr>
          <w:rFonts w:ascii="Inter" w:hAnsi="Inter"/>
          <w:sz w:val="20"/>
          <w:szCs w:val="20"/>
          <w:lang w:val="en-US"/>
        </w:rPr>
        <w:t>a</w:t>
      </w:r>
      <w:proofErr w:type="gram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akvizic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a to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navzdory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tomu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,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že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Erste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Group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současné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době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realizuje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zpětný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odkup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akcií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v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roce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2024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ve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výši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500 </w:t>
      </w:r>
      <w:proofErr w:type="spellStart"/>
      <w:r w:rsidRPr="002B2F26">
        <w:rPr>
          <w:rFonts w:ascii="Inter" w:hAnsi="Inter"/>
          <w:sz w:val="20"/>
          <w:szCs w:val="20"/>
          <w:lang w:val="en-US"/>
        </w:rPr>
        <w:t>milionů</w:t>
      </w:r>
      <w:proofErr w:type="spellEnd"/>
      <w:r w:rsidRPr="002B2F26">
        <w:rPr>
          <w:rFonts w:ascii="Inter" w:hAnsi="Inter"/>
          <w:sz w:val="20"/>
          <w:szCs w:val="20"/>
          <w:lang w:val="en-US"/>
        </w:rPr>
        <w:t xml:space="preserve"> EUR.</w:t>
      </w:r>
    </w:p>
    <w:sectPr w:rsidR="002B2F26" w:rsidRPr="00B4639A" w:rsidSect="00785CBB">
      <w:headerReference w:type="default" r:id="rId11"/>
      <w:headerReference w:type="first" r:id="rId12"/>
      <w:footerReference w:type="first" r:id="rId13"/>
      <w:pgSz w:w="11900" w:h="16840"/>
      <w:pgMar w:top="2268" w:right="1417" w:bottom="1276" w:left="141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A3985" w14:textId="77777777" w:rsidR="00BF7CA9" w:rsidRDefault="00BF7CA9" w:rsidP="009844F9">
      <w:r>
        <w:separator/>
      </w:r>
    </w:p>
  </w:endnote>
  <w:endnote w:type="continuationSeparator" w:id="0">
    <w:p w14:paraId="65EE8E72" w14:textId="77777777" w:rsidR="00BF7CA9" w:rsidRDefault="00BF7CA9" w:rsidP="009844F9">
      <w:r>
        <w:continuationSeparator/>
      </w:r>
    </w:p>
  </w:endnote>
  <w:endnote w:type="continuationNotice" w:id="1">
    <w:p w14:paraId="0387B2C4" w14:textId="77777777" w:rsidR="00BF7CA9" w:rsidRDefault="00BF7C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IX Two Text">
    <w:charset w:val="00"/>
    <w:family w:val="auto"/>
    <w:pitch w:val="variable"/>
    <w:sig w:usb0="A00002FF" w:usb1="0000001F" w:usb2="00000000" w:usb3="00000000" w:csb0="0000019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445B" w14:textId="77777777" w:rsidR="0069608C" w:rsidRDefault="00553F90" w:rsidP="0069608C">
    <w:pPr>
      <w:ind w:left="-426"/>
      <w:jc w:val="center"/>
      <w:rPr>
        <w:rFonts w:eastAsia="Arial"/>
        <w:b/>
        <w:bCs/>
        <w:sz w:val="14"/>
        <w:szCs w:val="14"/>
      </w:rPr>
    </w:pPr>
    <w:r w:rsidRPr="00553F90">
      <w:rPr>
        <w:rFonts w:eastAsia="Arial"/>
        <w:sz w:val="14"/>
        <w:szCs w:val="14"/>
        <w:shd w:val="clear" w:color="auto" w:fill="aut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7E421" wp14:editId="2F878FF2">
              <wp:simplePos x="0" y="0"/>
              <wp:positionH relativeFrom="column">
                <wp:posOffset>-890905</wp:posOffset>
              </wp:positionH>
              <wp:positionV relativeFrom="paragraph">
                <wp:posOffset>362162</wp:posOffset>
              </wp:positionV>
              <wp:extent cx="7543800" cy="270933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70933"/>
                      </a:xfrm>
                      <a:prstGeom prst="rect">
                        <a:avLst/>
                      </a:prstGeom>
                      <a:solidFill>
                        <a:srgbClr val="0077B3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1920DC3" id="Rechteck 4" o:spid="_x0000_s1026" style="position:absolute;margin-left:-70.15pt;margin-top:28.5pt;width:594pt;height:21.3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" fillcolor="#0077b3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4C4C" w14:textId="77777777" w:rsidR="00BF7CA9" w:rsidRDefault="00BF7CA9" w:rsidP="009844F9">
      <w:r>
        <w:separator/>
      </w:r>
    </w:p>
  </w:footnote>
  <w:footnote w:type="continuationSeparator" w:id="0">
    <w:p w14:paraId="2E2A95AA" w14:textId="77777777" w:rsidR="00BF7CA9" w:rsidRDefault="00BF7CA9" w:rsidP="009844F9">
      <w:r>
        <w:continuationSeparator/>
      </w:r>
    </w:p>
  </w:footnote>
  <w:footnote w:type="continuationNotice" w:id="1">
    <w:p w14:paraId="001A428E" w14:textId="77777777" w:rsidR="00BF7CA9" w:rsidRDefault="00BF7C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16CD" w14:textId="77777777" w:rsidR="00897B52" w:rsidRPr="00E57665" w:rsidRDefault="002B44FF" w:rsidP="0005724A">
    <w:pPr>
      <w:pStyle w:val="Zhlav"/>
    </w:pPr>
    <w:r w:rsidRPr="0066165B">
      <w:rPr>
        <w:highlight w:val="blue"/>
      </w:rPr>
      <w:drawing>
        <wp:anchor distT="0" distB="0" distL="114300" distR="114300" simplePos="0" relativeHeight="251658243" behindDoc="0" locked="0" layoutInCell="1" allowOverlap="1" wp14:anchorId="225801DF" wp14:editId="254C8C93">
          <wp:simplePos x="0" y="0"/>
          <wp:positionH relativeFrom="column">
            <wp:posOffset>-747</wp:posOffset>
          </wp:positionH>
          <wp:positionV relativeFrom="paragraph">
            <wp:posOffset>123190</wp:posOffset>
          </wp:positionV>
          <wp:extent cx="987136" cy="469323"/>
          <wp:effectExtent l="0" t="0" r="3810" b="63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136" cy="46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165B">
      <w:rPr>
        <w:highlight w:val="blue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4B99E9A" wp14:editId="039454A9">
              <wp:simplePos x="0" y="0"/>
              <wp:positionH relativeFrom="page">
                <wp:posOffset>427355</wp:posOffset>
              </wp:positionH>
              <wp:positionV relativeFrom="page">
                <wp:posOffset>260985</wp:posOffset>
              </wp:positionV>
              <wp:extent cx="6767830" cy="759600"/>
              <wp:effectExtent l="0" t="0" r="1270" b="2540"/>
              <wp:wrapNone/>
              <wp:docPr id="589" name="Rechteck: abgerundete Ecken 5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7830" cy="759600"/>
                      </a:xfrm>
                      <a:prstGeom prst="roundRect">
                        <a:avLst>
                          <a:gd name="adj" fmla="val 9377"/>
                        </a:avLst>
                      </a:prstGeom>
                      <a:solidFill>
                        <a:srgbClr val="2870ED"/>
                      </a:solidFill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546262" w14:textId="68C7DA65" w:rsidR="001D07BC" w:rsidRPr="00F064B6" w:rsidRDefault="002E76E6" w:rsidP="00962EBC">
                          <w:pPr>
                            <w:pStyle w:val="Info"/>
                            <w:spacing w:before="120" w:line="276" w:lineRule="auto"/>
                            <w:jc w:val="right"/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Inter" w:hAnsi="Inter"/>
                              <w:b/>
                              <w:bCs/>
                              <w:color w:val="FFFFFF" w:themeColor="background1"/>
                              <w:sz w:val="28"/>
                              <w:szCs w:val="52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Inter" w:hAnsi="Inter"/>
                              <w:b/>
                              <w:bCs/>
                              <w:color w:val="FFFFFF" w:themeColor="background1"/>
                              <w:sz w:val="28"/>
                              <w:szCs w:val="5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" w:hAnsi="Inter"/>
                              <w:b/>
                              <w:bCs/>
                              <w:color w:val="FFFFFF" w:themeColor="background1"/>
                              <w:sz w:val="28"/>
                              <w:szCs w:val="52"/>
                            </w:rPr>
                            <w:t>zpráva</w:t>
                          </w:r>
                          <w:proofErr w:type="spellEnd"/>
                          <w:r w:rsidR="001D07BC" w:rsidRPr="00F064B6">
                            <w:rPr>
                              <w:rFonts w:ascii="Inter" w:hAnsi="Inter"/>
                              <w:color w:val="FFFFFF" w:themeColor="background1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>Vídeň</w:t>
                          </w:r>
                          <w:proofErr w:type="spellEnd"/>
                          <w:r w:rsidR="00A85FA9" w:rsidRPr="00F064B6"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 xml:space="preserve"> </w:t>
                          </w:r>
                          <w:r w:rsidR="00FB6F87" w:rsidRPr="00F064B6"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>–</w:t>
                          </w:r>
                          <w:r w:rsidR="00A85FA9" w:rsidRPr="00F064B6"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 xml:space="preserve"> </w:t>
                          </w:r>
                          <w:r w:rsidR="00B9112D"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>2</w:t>
                          </w:r>
                          <w:r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>srpna</w:t>
                          </w:r>
                          <w:proofErr w:type="spellEnd"/>
                          <w:r w:rsidR="00B9112D">
                            <w:rPr>
                              <w:rFonts w:ascii="Inter" w:hAnsi="Inter"/>
                              <w:color w:val="FFFFFF" w:themeColor="background1"/>
                              <w:sz w:val="18"/>
                              <w:szCs w:val="32"/>
                            </w:rPr>
                            <w:t xml:space="preserve"> 2024</w:t>
                          </w:r>
                        </w:p>
                        <w:p w14:paraId="794EF548" w14:textId="77777777" w:rsidR="002B44FF" w:rsidRPr="00962EBC" w:rsidRDefault="002B44FF" w:rsidP="001D07BC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B99E9A" id="Rechteck: abgerundete Ecken 589" o:spid="_x0000_s1026" style="position:absolute;margin-left:33.65pt;margin-top:20.55pt;width:532.9pt;height:59.8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6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" fillcolor="#2870ed" stroked="f" strokeweight=".25pt">
              <v:stroke joinstyle="miter"/>
              <v:textbox>
                <w:txbxContent>
                  <w:p w14:paraId="0D546262" w14:textId="68C7DA65" w:rsidR="001D07BC" w:rsidRPr="00F064B6" w:rsidRDefault="002E76E6" w:rsidP="00962EBC">
                    <w:pPr>
                      <w:pStyle w:val="Info"/>
                      <w:spacing w:before="120" w:line="276" w:lineRule="auto"/>
                      <w:jc w:val="right"/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</w:pPr>
                    <w:proofErr w:type="spellStart"/>
                    <w:r>
                      <w:rPr>
                        <w:rFonts w:ascii="Inter" w:hAnsi="Inter"/>
                        <w:b/>
                        <w:bCs/>
                        <w:color w:val="FFFFFF" w:themeColor="background1"/>
                        <w:sz w:val="28"/>
                        <w:szCs w:val="52"/>
                      </w:rPr>
                      <w:t>Tisková</w:t>
                    </w:r>
                    <w:proofErr w:type="spellEnd"/>
                    <w:r>
                      <w:rPr>
                        <w:rFonts w:ascii="Inter" w:hAnsi="Inter"/>
                        <w:b/>
                        <w:bCs/>
                        <w:color w:val="FFFFFF" w:themeColor="background1"/>
                        <w:sz w:val="28"/>
                        <w:szCs w:val="52"/>
                      </w:rPr>
                      <w:t xml:space="preserve"> </w:t>
                    </w:r>
                    <w:proofErr w:type="spellStart"/>
                    <w:r>
                      <w:rPr>
                        <w:rFonts w:ascii="Inter" w:hAnsi="Inter"/>
                        <w:b/>
                        <w:bCs/>
                        <w:color w:val="FFFFFF" w:themeColor="background1"/>
                        <w:sz w:val="28"/>
                        <w:szCs w:val="52"/>
                      </w:rPr>
                      <w:t>zpráva</w:t>
                    </w:r>
                    <w:proofErr w:type="spellEnd"/>
                    <w:r w:rsidR="001D07BC" w:rsidRPr="00F064B6">
                      <w:rPr>
                        <w:rFonts w:ascii="Inter" w:hAnsi="Inter"/>
                        <w:color w:val="FFFFFF" w:themeColor="background1"/>
                      </w:rPr>
                      <w:br/>
                    </w:r>
                    <w:proofErr w:type="spellStart"/>
                    <w:r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>Vídeň</w:t>
                    </w:r>
                    <w:proofErr w:type="spellEnd"/>
                    <w:r w:rsidR="00A85FA9" w:rsidRPr="00F064B6"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 xml:space="preserve"> </w:t>
                    </w:r>
                    <w:r w:rsidR="00FB6F87" w:rsidRPr="00F064B6"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>–</w:t>
                    </w:r>
                    <w:r w:rsidR="00A85FA9" w:rsidRPr="00F064B6"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 xml:space="preserve"> </w:t>
                    </w:r>
                    <w:r w:rsidR="00B9112D"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>2</w:t>
                    </w:r>
                    <w:r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 xml:space="preserve">. </w:t>
                    </w:r>
                    <w:proofErr w:type="spellStart"/>
                    <w:r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>srpna</w:t>
                    </w:r>
                    <w:proofErr w:type="spellEnd"/>
                    <w:r w:rsidR="00B9112D">
                      <w:rPr>
                        <w:rFonts w:ascii="Inter" w:hAnsi="Inter"/>
                        <w:color w:val="FFFFFF" w:themeColor="background1"/>
                        <w:sz w:val="18"/>
                        <w:szCs w:val="32"/>
                      </w:rPr>
                      <w:t xml:space="preserve"> 2024</w:t>
                    </w:r>
                  </w:p>
                  <w:p w14:paraId="794EF548" w14:textId="77777777" w:rsidR="002B44FF" w:rsidRPr="00962EBC" w:rsidRDefault="002B44FF" w:rsidP="001D07BC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CFFD" w14:textId="77777777" w:rsidR="009844F9" w:rsidRDefault="00E67431">
    <w:pPr>
      <w:pStyle w:val="Zhlav"/>
    </w:pPr>
    <w:r w:rsidRPr="00E67431">
      <w:drawing>
        <wp:anchor distT="0" distB="0" distL="114300" distR="114300" simplePos="0" relativeHeight="251658241" behindDoc="1" locked="0" layoutInCell="1" allowOverlap="1" wp14:anchorId="6523BB45" wp14:editId="26D43AE2">
          <wp:simplePos x="0" y="0"/>
          <wp:positionH relativeFrom="column">
            <wp:posOffset>3363595</wp:posOffset>
          </wp:positionH>
          <wp:positionV relativeFrom="paragraph">
            <wp:posOffset>146897</wp:posOffset>
          </wp:positionV>
          <wp:extent cx="2904490" cy="520700"/>
          <wp:effectExtent l="0" t="0" r="3810" b="0"/>
          <wp:wrapTight wrapText="bothSides">
            <wp:wrapPolygon edited="0">
              <wp:start x="0" y="0"/>
              <wp:lineTo x="0" y="21073"/>
              <wp:lineTo x="21534" y="21073"/>
              <wp:lineTo x="21534" y="0"/>
              <wp:lineTo x="0" y="0"/>
            </wp:wrapPolygon>
          </wp:wrapTight>
          <wp:docPr id="22" name="Grafik 22" descr="P:\01980394\OE0394\OE_ORD\PRESSE\E. ADMINISTRATION\Logos\Erste Bank\a_NEUE LOGOs ab Okt 2017\EBSPK_office_external-mater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01980394\OE0394\OE_ORD\PRESSE\E. ADMINISTRATION\Logos\Erste Bank\a_NEUE LOGOs ab Okt 2017\EBSPK_office_external-materi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4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7431">
      <mc:AlternateContent>
        <mc:Choice Requires="wps">
          <w:drawing>
            <wp:anchor distT="0" distB="0" distL="114300" distR="114300" simplePos="0" relativeHeight="251658240" behindDoc="1" locked="0" layoutInCell="1" allowOverlap="1" wp14:anchorId="36E3AA66" wp14:editId="570CCAAB">
              <wp:simplePos x="0" y="0"/>
              <wp:positionH relativeFrom="page">
                <wp:posOffset>19262</wp:posOffset>
              </wp:positionH>
              <wp:positionV relativeFrom="page">
                <wp:posOffset>3387</wp:posOffset>
              </wp:positionV>
              <wp:extent cx="7560310" cy="1218565"/>
              <wp:effectExtent l="0" t="0" r="0" b="63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18565"/>
                      </a:xfrm>
                      <a:prstGeom prst="rect">
                        <a:avLst/>
                      </a:prstGeom>
                      <a:solidFill>
                        <a:srgbClr val="BCE4FA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0200F3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1AEB37E8" w14:textId="77777777" w:rsidR="00E67431" w:rsidRDefault="00E67431" w:rsidP="00E67431">
                          <w:pPr>
                            <w:rPr>
                              <w:rFonts w:ascii="Open Sans" w:eastAsia="Arial" w:hAnsi="Open Sans" w:cs="Open Sans"/>
                              <w:b/>
                              <w:bCs/>
                              <w:color w:val="00497C"/>
                              <w:sz w:val="28"/>
                              <w:szCs w:val="28"/>
                            </w:rPr>
                          </w:pPr>
                        </w:p>
                        <w:p w14:paraId="4CCC79A6" w14:textId="77777777" w:rsidR="00E67431" w:rsidRDefault="00E67431" w:rsidP="003C10CD">
                          <w:pPr>
                            <w:pStyle w:val="Nadpis3"/>
                            <w:spacing w:after="40"/>
                            <w:ind w:left="567" w:right="556"/>
                            <w:rPr>
                              <w:shd w:val="clear" w:color="auto" w:fill="auto"/>
                            </w:rPr>
                          </w:pPr>
                          <w:r w:rsidRPr="00E67431">
                            <w:rPr>
                              <w:shd w:val="clear" w:color="auto" w:fill="auto"/>
                            </w:rPr>
                            <w:t>Presseaussendung</w:t>
                          </w:r>
                        </w:p>
                        <w:p w14:paraId="5B63C240" w14:textId="3EBD0DD3" w:rsidR="003C10CD" w:rsidRPr="003C10CD" w:rsidRDefault="003C10CD" w:rsidP="00711920">
                          <w:pPr>
                            <w:pStyle w:val="Datum"/>
                          </w:pPr>
                          <w:r w:rsidRPr="003C10CD">
                            <w:fldChar w:fldCharType="begin"/>
                          </w:r>
                          <w:r w:rsidRPr="003C10CD">
                            <w:instrText xml:space="preserve"> TIME \@ "d. MMMM yyyy" </w:instrText>
                          </w:r>
                          <w:r w:rsidRPr="003C10CD">
                            <w:fldChar w:fldCharType="separate"/>
                          </w:r>
                          <w:r w:rsidR="00450026">
                            <w:t>30. Juli 2024</w:t>
                          </w:r>
                          <w:r w:rsidRPr="003C10CD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3AA66" id="Rechteck 2" o:spid="_x0000_s1027" style="position:absolute;margin-left:1.5pt;margin-top:.25pt;width:595.3pt;height:9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" fillcolor="#bce4fa" stroked="f">
              <v:textbox>
                <w:txbxContent>
                  <w:p w14:paraId="4F0200F3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1AEB37E8" w14:textId="77777777" w:rsidR="00E67431" w:rsidRDefault="00E67431" w:rsidP="00E67431">
                    <w:pPr>
                      <w:rPr>
                        <w:rFonts w:ascii="Open Sans" w:eastAsia="Arial" w:hAnsi="Open Sans" w:cs="Open Sans"/>
                        <w:b/>
                        <w:bCs/>
                        <w:color w:val="00497C"/>
                        <w:sz w:val="28"/>
                        <w:szCs w:val="28"/>
                      </w:rPr>
                    </w:pPr>
                  </w:p>
                  <w:p w14:paraId="4CCC79A6" w14:textId="77777777" w:rsidR="00E67431" w:rsidRDefault="00E67431" w:rsidP="003C10CD">
                    <w:pPr>
                      <w:pStyle w:val="Nadpis3"/>
                      <w:spacing w:after="40"/>
                      <w:ind w:left="567" w:right="556"/>
                      <w:rPr>
                        <w:shd w:val="clear" w:color="auto" w:fill="auto"/>
                      </w:rPr>
                    </w:pPr>
                    <w:r w:rsidRPr="00E67431">
                      <w:rPr>
                        <w:shd w:val="clear" w:color="auto" w:fill="auto"/>
                      </w:rPr>
                      <w:t>Presseaussendung</w:t>
                    </w:r>
                  </w:p>
                  <w:p w14:paraId="5B63C240" w14:textId="3EBD0DD3" w:rsidR="003C10CD" w:rsidRPr="003C10CD" w:rsidRDefault="003C10CD" w:rsidP="00711920">
                    <w:pPr>
                      <w:pStyle w:val="Datum"/>
                    </w:pPr>
                    <w:r w:rsidRPr="003C10CD">
                      <w:fldChar w:fldCharType="begin"/>
                    </w:r>
                    <w:r w:rsidRPr="003C10CD">
                      <w:instrText xml:space="preserve"> TIME \@ "d. MMMM yyyy" </w:instrText>
                    </w:r>
                    <w:r w:rsidRPr="003C10CD">
                      <w:fldChar w:fldCharType="separate"/>
                    </w:r>
                    <w:r w:rsidR="00450026">
                      <w:t>30. Juli 2024</w:t>
                    </w:r>
                    <w:r w:rsidRPr="003C10CD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665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4D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F04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04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32D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A2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EC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CEC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C6D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D61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71B67"/>
    <w:multiLevelType w:val="hybridMultilevel"/>
    <w:tmpl w:val="6CC6400A"/>
    <w:lvl w:ilvl="0" w:tplc="85884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36232"/>
    <w:multiLevelType w:val="multilevel"/>
    <w:tmpl w:val="DFD6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3643A"/>
    <w:multiLevelType w:val="hybridMultilevel"/>
    <w:tmpl w:val="80BA015E"/>
    <w:lvl w:ilvl="0" w:tplc="BABC3774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34BE"/>
    <w:multiLevelType w:val="hybridMultilevel"/>
    <w:tmpl w:val="B1C45F4E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D3B6693"/>
    <w:multiLevelType w:val="hybridMultilevel"/>
    <w:tmpl w:val="139499B8"/>
    <w:lvl w:ilvl="0" w:tplc="19205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B587E"/>
    <w:multiLevelType w:val="multilevel"/>
    <w:tmpl w:val="57B6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C7D64"/>
    <w:multiLevelType w:val="multilevel"/>
    <w:tmpl w:val="538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2785675">
    <w:abstractNumId w:val="10"/>
  </w:num>
  <w:num w:numId="2" w16cid:durableId="1860122392">
    <w:abstractNumId w:val="13"/>
  </w:num>
  <w:num w:numId="3" w16cid:durableId="1735354434">
    <w:abstractNumId w:val="0"/>
  </w:num>
  <w:num w:numId="4" w16cid:durableId="508643064">
    <w:abstractNumId w:val="1"/>
  </w:num>
  <w:num w:numId="5" w16cid:durableId="418527854">
    <w:abstractNumId w:val="2"/>
  </w:num>
  <w:num w:numId="6" w16cid:durableId="1965647766">
    <w:abstractNumId w:val="3"/>
  </w:num>
  <w:num w:numId="7" w16cid:durableId="1981376145">
    <w:abstractNumId w:val="8"/>
  </w:num>
  <w:num w:numId="8" w16cid:durableId="1782987482">
    <w:abstractNumId w:val="4"/>
  </w:num>
  <w:num w:numId="9" w16cid:durableId="853035032">
    <w:abstractNumId w:val="5"/>
  </w:num>
  <w:num w:numId="10" w16cid:durableId="1113014336">
    <w:abstractNumId w:val="6"/>
  </w:num>
  <w:num w:numId="11" w16cid:durableId="777916835">
    <w:abstractNumId w:val="7"/>
  </w:num>
  <w:num w:numId="12" w16cid:durableId="64883177">
    <w:abstractNumId w:val="9"/>
  </w:num>
  <w:num w:numId="13" w16cid:durableId="1041590433">
    <w:abstractNumId w:val="12"/>
  </w:num>
  <w:num w:numId="14" w16cid:durableId="677580120">
    <w:abstractNumId w:val="14"/>
  </w:num>
  <w:num w:numId="15" w16cid:durableId="238491641">
    <w:abstractNumId w:val="12"/>
    <w:lvlOverride w:ilvl="0">
      <w:startOverride w:val="1"/>
    </w:lvlOverride>
  </w:num>
  <w:num w:numId="16" w16cid:durableId="426997840">
    <w:abstractNumId w:val="12"/>
    <w:lvlOverride w:ilvl="0">
      <w:startOverride w:val="1"/>
    </w:lvlOverride>
  </w:num>
  <w:num w:numId="17" w16cid:durableId="1815221451">
    <w:abstractNumId w:val="12"/>
    <w:lvlOverride w:ilvl="0">
      <w:startOverride w:val="1"/>
    </w:lvlOverride>
  </w:num>
  <w:num w:numId="18" w16cid:durableId="1296914770">
    <w:abstractNumId w:val="16"/>
  </w:num>
  <w:num w:numId="19" w16cid:durableId="461581737">
    <w:abstractNumId w:val="11"/>
  </w:num>
  <w:num w:numId="20" w16cid:durableId="601033376">
    <w:abstractNumId w:val="15"/>
  </w:num>
  <w:num w:numId="21" w16cid:durableId="1003095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A3"/>
    <w:rsid w:val="0005601E"/>
    <w:rsid w:val="0005724A"/>
    <w:rsid w:val="00067770"/>
    <w:rsid w:val="00080652"/>
    <w:rsid w:val="0008090D"/>
    <w:rsid w:val="000F23A3"/>
    <w:rsid w:val="00113355"/>
    <w:rsid w:val="00113A78"/>
    <w:rsid w:val="00117FB4"/>
    <w:rsid w:val="00131718"/>
    <w:rsid w:val="00137CB5"/>
    <w:rsid w:val="00167E7A"/>
    <w:rsid w:val="00191778"/>
    <w:rsid w:val="0019748B"/>
    <w:rsid w:val="001A074A"/>
    <w:rsid w:val="001C5B42"/>
    <w:rsid w:val="001D07BC"/>
    <w:rsid w:val="001D730C"/>
    <w:rsid w:val="001E5EB6"/>
    <w:rsid w:val="002048A3"/>
    <w:rsid w:val="00224C8A"/>
    <w:rsid w:val="00236915"/>
    <w:rsid w:val="002539DD"/>
    <w:rsid w:val="00260790"/>
    <w:rsid w:val="002661DB"/>
    <w:rsid w:val="002A0D59"/>
    <w:rsid w:val="002A220D"/>
    <w:rsid w:val="002B2F26"/>
    <w:rsid w:val="002B44FF"/>
    <w:rsid w:val="002B4BAC"/>
    <w:rsid w:val="002B7D0C"/>
    <w:rsid w:val="002C6F93"/>
    <w:rsid w:val="002D04EE"/>
    <w:rsid w:val="002D5D4F"/>
    <w:rsid w:val="002E162A"/>
    <w:rsid w:val="002E76E6"/>
    <w:rsid w:val="002F1CBD"/>
    <w:rsid w:val="002F3D38"/>
    <w:rsid w:val="002F71C4"/>
    <w:rsid w:val="00302879"/>
    <w:rsid w:val="00325158"/>
    <w:rsid w:val="0033172B"/>
    <w:rsid w:val="00345A10"/>
    <w:rsid w:val="00350818"/>
    <w:rsid w:val="003573F9"/>
    <w:rsid w:val="00380EDD"/>
    <w:rsid w:val="003B3C0A"/>
    <w:rsid w:val="003C10CD"/>
    <w:rsid w:val="003E7F90"/>
    <w:rsid w:val="004174C5"/>
    <w:rsid w:val="00422422"/>
    <w:rsid w:val="00431C8D"/>
    <w:rsid w:val="00450026"/>
    <w:rsid w:val="00451611"/>
    <w:rsid w:val="00454508"/>
    <w:rsid w:val="00455E1D"/>
    <w:rsid w:val="004B3CEB"/>
    <w:rsid w:val="004D135C"/>
    <w:rsid w:val="004F1AB5"/>
    <w:rsid w:val="00506C14"/>
    <w:rsid w:val="00512320"/>
    <w:rsid w:val="00537097"/>
    <w:rsid w:val="005503D9"/>
    <w:rsid w:val="00550881"/>
    <w:rsid w:val="005530C3"/>
    <w:rsid w:val="00553F90"/>
    <w:rsid w:val="0056412E"/>
    <w:rsid w:val="00584B98"/>
    <w:rsid w:val="00597A2D"/>
    <w:rsid w:val="005A4A85"/>
    <w:rsid w:val="005C34A1"/>
    <w:rsid w:val="005D155B"/>
    <w:rsid w:val="005D2D7A"/>
    <w:rsid w:val="005E1A12"/>
    <w:rsid w:val="00607AA1"/>
    <w:rsid w:val="006352C4"/>
    <w:rsid w:val="00644CC0"/>
    <w:rsid w:val="0064757E"/>
    <w:rsid w:val="0066165B"/>
    <w:rsid w:val="00664280"/>
    <w:rsid w:val="006905AC"/>
    <w:rsid w:val="0069608C"/>
    <w:rsid w:val="006E5BEE"/>
    <w:rsid w:val="00711920"/>
    <w:rsid w:val="00711D5D"/>
    <w:rsid w:val="00724B50"/>
    <w:rsid w:val="007263E4"/>
    <w:rsid w:val="00745D18"/>
    <w:rsid w:val="007501E3"/>
    <w:rsid w:val="00751C88"/>
    <w:rsid w:val="007571EA"/>
    <w:rsid w:val="00757CC0"/>
    <w:rsid w:val="007711B0"/>
    <w:rsid w:val="00774E0D"/>
    <w:rsid w:val="00781C80"/>
    <w:rsid w:val="007852CD"/>
    <w:rsid w:val="00785CBB"/>
    <w:rsid w:val="00787158"/>
    <w:rsid w:val="007A12A6"/>
    <w:rsid w:val="007B3D66"/>
    <w:rsid w:val="007C232C"/>
    <w:rsid w:val="007C3AE4"/>
    <w:rsid w:val="007E7419"/>
    <w:rsid w:val="00803EBA"/>
    <w:rsid w:val="00822496"/>
    <w:rsid w:val="008468C7"/>
    <w:rsid w:val="008568D5"/>
    <w:rsid w:val="00897B52"/>
    <w:rsid w:val="008A4E98"/>
    <w:rsid w:val="008A539B"/>
    <w:rsid w:val="008B0F20"/>
    <w:rsid w:val="008F4334"/>
    <w:rsid w:val="009227F6"/>
    <w:rsid w:val="009238C5"/>
    <w:rsid w:val="009247A0"/>
    <w:rsid w:val="00931082"/>
    <w:rsid w:val="00951C91"/>
    <w:rsid w:val="00962EBC"/>
    <w:rsid w:val="009844F9"/>
    <w:rsid w:val="009A20AB"/>
    <w:rsid w:val="009C7387"/>
    <w:rsid w:val="009C7D32"/>
    <w:rsid w:val="009E0111"/>
    <w:rsid w:val="009F7391"/>
    <w:rsid w:val="00A00816"/>
    <w:rsid w:val="00A23F87"/>
    <w:rsid w:val="00A24A9B"/>
    <w:rsid w:val="00A24B0B"/>
    <w:rsid w:val="00A25DAA"/>
    <w:rsid w:val="00A315E1"/>
    <w:rsid w:val="00A3785C"/>
    <w:rsid w:val="00A54412"/>
    <w:rsid w:val="00A6002A"/>
    <w:rsid w:val="00A85FA9"/>
    <w:rsid w:val="00A924DE"/>
    <w:rsid w:val="00AC3985"/>
    <w:rsid w:val="00AD6212"/>
    <w:rsid w:val="00AF1580"/>
    <w:rsid w:val="00B05701"/>
    <w:rsid w:val="00B16D68"/>
    <w:rsid w:val="00B234F4"/>
    <w:rsid w:val="00B43ACA"/>
    <w:rsid w:val="00B4639A"/>
    <w:rsid w:val="00B51312"/>
    <w:rsid w:val="00B80EC1"/>
    <w:rsid w:val="00B9112D"/>
    <w:rsid w:val="00BA17ED"/>
    <w:rsid w:val="00BA2B75"/>
    <w:rsid w:val="00BC5E2E"/>
    <w:rsid w:val="00BD4CE9"/>
    <w:rsid w:val="00BF7CA9"/>
    <w:rsid w:val="00C058E5"/>
    <w:rsid w:val="00C248D9"/>
    <w:rsid w:val="00C71EFA"/>
    <w:rsid w:val="00C7269C"/>
    <w:rsid w:val="00C76836"/>
    <w:rsid w:val="00C9568D"/>
    <w:rsid w:val="00CB72AF"/>
    <w:rsid w:val="00CC18B8"/>
    <w:rsid w:val="00CC3F85"/>
    <w:rsid w:val="00CF58BD"/>
    <w:rsid w:val="00CF67B6"/>
    <w:rsid w:val="00CF7AA4"/>
    <w:rsid w:val="00D052DF"/>
    <w:rsid w:val="00D078AC"/>
    <w:rsid w:val="00D136CF"/>
    <w:rsid w:val="00D2183A"/>
    <w:rsid w:val="00D3103F"/>
    <w:rsid w:val="00D31119"/>
    <w:rsid w:val="00D35C6D"/>
    <w:rsid w:val="00D5643A"/>
    <w:rsid w:val="00D71087"/>
    <w:rsid w:val="00D77402"/>
    <w:rsid w:val="00D86268"/>
    <w:rsid w:val="00D975B2"/>
    <w:rsid w:val="00DB4AFD"/>
    <w:rsid w:val="00DC6F1B"/>
    <w:rsid w:val="00E015C9"/>
    <w:rsid w:val="00E271CE"/>
    <w:rsid w:val="00E3363E"/>
    <w:rsid w:val="00E5507D"/>
    <w:rsid w:val="00E57665"/>
    <w:rsid w:val="00E630E9"/>
    <w:rsid w:val="00E66A76"/>
    <w:rsid w:val="00E67431"/>
    <w:rsid w:val="00E75D06"/>
    <w:rsid w:val="00E837D9"/>
    <w:rsid w:val="00EA32B7"/>
    <w:rsid w:val="00EC5A35"/>
    <w:rsid w:val="00ED59B1"/>
    <w:rsid w:val="00F047C7"/>
    <w:rsid w:val="00F064B6"/>
    <w:rsid w:val="00F171F2"/>
    <w:rsid w:val="00F46438"/>
    <w:rsid w:val="00F56C8E"/>
    <w:rsid w:val="00F65DD2"/>
    <w:rsid w:val="00F734F9"/>
    <w:rsid w:val="00F7399E"/>
    <w:rsid w:val="00FB1D73"/>
    <w:rsid w:val="00FB3B2E"/>
    <w:rsid w:val="00FB6F12"/>
    <w:rsid w:val="00FB6F87"/>
    <w:rsid w:val="00FC1F9B"/>
    <w:rsid w:val="00FC41A3"/>
    <w:rsid w:val="00FD4DF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CB46"/>
  <w15:chartTrackingRefBased/>
  <w15:docId w15:val="{25C7307B-6A85-D940-BE2A-37645CC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9844F9"/>
    <w:pPr>
      <w:spacing w:line="288" w:lineRule="auto"/>
    </w:pPr>
    <w:rPr>
      <w:rFonts w:ascii="Arial" w:hAnsi="Arial" w:cs="Arial"/>
      <w:noProof/>
      <w:sz w:val="20"/>
      <w:szCs w:val="20"/>
      <w:shd w:val="clear" w:color="auto" w:fill="FFFFFF"/>
      <w:lang w:val="de-AT" w:eastAsia="de-DE"/>
    </w:rPr>
  </w:style>
  <w:style w:type="paragraph" w:styleId="Nadpis1">
    <w:name w:val="heading 1"/>
    <w:basedOn w:val="Nzev"/>
    <w:next w:val="Normln"/>
    <w:link w:val="Nadpis1Char"/>
    <w:uiPriority w:val="9"/>
    <w:qFormat/>
    <w:rsid w:val="002B7D0C"/>
    <w:pPr>
      <w:outlineLvl w:val="0"/>
    </w:pPr>
    <w:rPr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7D0C"/>
    <w:pPr>
      <w:keepNext/>
      <w:keepLines/>
      <w:spacing w:before="40" w:after="120"/>
      <w:outlineLvl w:val="1"/>
    </w:pPr>
    <w:rPr>
      <w:rFonts w:eastAsiaTheme="majorEastAsia" w:cstheme="majorBidi"/>
      <w:b/>
      <w:bCs/>
      <w:color w:val="00497B"/>
      <w:sz w:val="40"/>
      <w:szCs w:val="4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B7D0C"/>
    <w:pPr>
      <w:outlineLvl w:val="2"/>
    </w:pPr>
    <w:rPr>
      <w:sz w:val="32"/>
      <w:szCs w:val="32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2B7D0C"/>
    <w:pPr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qFormat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paragraph" w:styleId="Zhlav">
    <w:name w:val="header"/>
    <w:basedOn w:val="Normln"/>
    <w:link w:val="Zhlav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B52"/>
    <w:rPr>
      <w:noProof/>
      <w:lang w:val="de-AT"/>
    </w:rPr>
  </w:style>
  <w:style w:type="paragraph" w:styleId="Zpat">
    <w:name w:val="footer"/>
    <w:basedOn w:val="Normln"/>
    <w:link w:val="ZpatChar"/>
    <w:uiPriority w:val="99"/>
    <w:unhideWhenUsed/>
    <w:rsid w:val="00897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B52"/>
    <w:rPr>
      <w:noProof/>
      <w:lang w:val="de-AT"/>
    </w:rPr>
  </w:style>
  <w:style w:type="paragraph" w:styleId="Nzev">
    <w:name w:val="Title"/>
    <w:basedOn w:val="Normln"/>
    <w:next w:val="Normln"/>
    <w:link w:val="NzevChar"/>
    <w:uiPriority w:val="10"/>
    <w:qFormat/>
    <w:rsid w:val="00224C8A"/>
    <w:pPr>
      <w:tabs>
        <w:tab w:val="left" w:pos="4067"/>
      </w:tabs>
    </w:pPr>
    <w:rPr>
      <w:b/>
      <w:bCs/>
      <w:color w:val="00497B"/>
      <w:sz w:val="50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224C8A"/>
    <w:rPr>
      <w:rFonts w:ascii="Arial" w:hAnsi="Arial" w:cs="Arial"/>
      <w:b/>
      <w:bCs/>
      <w:noProof/>
      <w:color w:val="00497B"/>
      <w:sz w:val="50"/>
      <w:szCs w:val="50"/>
      <w:lang w:val="de-AT"/>
    </w:rPr>
  </w:style>
  <w:style w:type="character" w:customStyle="1" w:styleId="Nadpis2Char">
    <w:name w:val="Nadpis 2 Char"/>
    <w:basedOn w:val="Standardnpsmoodstavce"/>
    <w:link w:val="Nadpis2"/>
    <w:uiPriority w:val="9"/>
    <w:rsid w:val="002B7D0C"/>
    <w:rPr>
      <w:rFonts w:ascii="Arial" w:eastAsiaTheme="majorEastAsia" w:hAnsi="Arial" w:cstheme="majorBidi"/>
      <w:b/>
      <w:bCs/>
      <w:noProof/>
      <w:color w:val="00497B"/>
      <w:sz w:val="40"/>
      <w:szCs w:val="40"/>
      <w:lang w:val="de-AT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2B7D0C"/>
    <w:rPr>
      <w:rFonts w:ascii="Arial" w:hAnsi="Arial" w:cs="Arial"/>
      <w:b/>
      <w:bCs/>
      <w:noProof/>
      <w:color w:val="00497B"/>
      <w:sz w:val="56"/>
      <w:szCs w:val="56"/>
      <w:lang w:val="de-AT"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2B7D0C"/>
    <w:rPr>
      <w:rFonts w:ascii="Arial" w:eastAsiaTheme="majorEastAsia" w:hAnsi="Arial" w:cstheme="majorBidi"/>
      <w:b/>
      <w:bCs/>
      <w:noProof/>
      <w:color w:val="00497B"/>
      <w:sz w:val="32"/>
      <w:szCs w:val="32"/>
      <w:lang w:val="de-AT" w:eastAsia="de-DE"/>
    </w:rPr>
  </w:style>
  <w:style w:type="paragraph" w:customStyle="1" w:styleId="berschrift3mitHintergrund">
    <w:name w:val="Überschrift 3 mit Hintergrund"/>
    <w:basedOn w:val="Nadpis3"/>
    <w:qFormat/>
    <w:rsid w:val="00E57665"/>
    <w:pPr>
      <w:shd w:val="clear" w:color="auto" w:fill="A3C0D7"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E5766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7665"/>
    <w:rPr>
      <w:rFonts w:ascii="Arial" w:hAnsi="Arial" w:cs="Arial"/>
      <w:i/>
      <w:iCs/>
      <w:noProof/>
      <w:color w:val="4472C4" w:themeColor="accent1"/>
      <w:sz w:val="20"/>
      <w:szCs w:val="20"/>
      <w:lang w:val="de-AT" w:eastAsia="de-DE"/>
    </w:rPr>
  </w:style>
  <w:style w:type="paragraph" w:styleId="Odstavecseseznamem">
    <w:name w:val="List Paragraph"/>
    <w:basedOn w:val="Normln"/>
    <w:uiPriority w:val="34"/>
    <w:qFormat/>
    <w:rsid w:val="00AC3985"/>
    <w:pPr>
      <w:numPr>
        <w:numId w:val="13"/>
      </w:numPr>
      <w:ind w:right="986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2B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2B7D0C"/>
    <w:rPr>
      <w:rFonts w:ascii="Arial" w:eastAsiaTheme="majorEastAsia" w:hAnsi="Arial" w:cstheme="majorBidi"/>
      <w:b/>
      <w:bCs/>
      <w:noProof/>
      <w:color w:val="00497B"/>
      <w:lang w:val="de-AT" w:eastAsia="de-DE"/>
    </w:rPr>
  </w:style>
  <w:style w:type="character" w:styleId="Nevyeenzmnka">
    <w:name w:val="Unresolved Mention"/>
    <w:basedOn w:val="Standardnpsmoodstavce"/>
    <w:uiPriority w:val="99"/>
    <w:rsid w:val="005A4A85"/>
    <w:rPr>
      <w:color w:val="605E5C"/>
      <w:shd w:val="clear" w:color="auto" w:fill="E1DFDD"/>
    </w:rPr>
  </w:style>
  <w:style w:type="paragraph" w:customStyle="1" w:styleId="Aufzhlung">
    <w:name w:val="Aufzählung"/>
    <w:basedOn w:val="Normln"/>
    <w:uiPriority w:val="1"/>
    <w:qFormat/>
    <w:rsid w:val="00E67431"/>
    <w:pPr>
      <w:spacing w:line="320" w:lineRule="atLeast"/>
      <w:jc w:val="both"/>
    </w:pPr>
    <w:rPr>
      <w:rFonts w:ascii="Helvetica" w:eastAsia="Helvetica" w:hAnsi="Helvetica" w:cs="Helvetica"/>
      <w:noProof w:val="0"/>
      <w:sz w:val="24"/>
      <w:szCs w:val="24"/>
      <w:shd w:val="clear" w:color="auto" w:fill="auto"/>
      <w:lang w:eastAsia="de-AT" w:bidi="de-AT"/>
      <w14:ligatures w14:val="standardContextual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7431"/>
    <w:pPr>
      <w:spacing w:line="240" w:lineRule="auto"/>
    </w:pPr>
    <w:rPr>
      <w:rFonts w:eastAsia="Calibri" w:cs="Times New Roman"/>
      <w:noProof w:val="0"/>
      <w:shd w:val="clear" w:color="auto" w:fil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7431"/>
    <w:rPr>
      <w:rFonts w:ascii="Arial" w:eastAsia="Calibri" w:hAnsi="Arial" w:cs="Times New Roman"/>
      <w:sz w:val="20"/>
      <w:szCs w:val="20"/>
      <w:lang w:val="de-AT"/>
    </w:rPr>
  </w:style>
  <w:style w:type="character" w:styleId="Siln">
    <w:name w:val="Strong"/>
    <w:basedOn w:val="Standardnpsmoodstavce"/>
    <w:uiPriority w:val="22"/>
    <w:qFormat/>
    <w:rsid w:val="0069608C"/>
    <w:rPr>
      <w:b/>
      <w:bCs/>
    </w:rPr>
  </w:style>
  <w:style w:type="character" w:styleId="Sledovanodkaz">
    <w:name w:val="FollowedHyperlink"/>
    <w:basedOn w:val="Hypertextovodkaz"/>
    <w:uiPriority w:val="99"/>
    <w:unhideWhenUsed/>
    <w:rsid w:val="00553F90"/>
    <w:rPr>
      <w:rFonts w:eastAsia="Arial"/>
      <w:color w:val="00497C"/>
      <w:sz w:val="14"/>
      <w:szCs w:val="14"/>
      <w:u w:val="single"/>
      <w:shd w:val="clear" w:color="auto" w:fil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553F90"/>
    <w:rPr>
      <w:sz w:val="16"/>
      <w:szCs w:val="16"/>
    </w:rPr>
  </w:style>
  <w:style w:type="paragraph" w:styleId="Datum">
    <w:name w:val="Date"/>
    <w:basedOn w:val="Normln"/>
    <w:next w:val="Normln"/>
    <w:link w:val="DatumChar"/>
    <w:autoRedefine/>
    <w:uiPriority w:val="99"/>
    <w:unhideWhenUsed/>
    <w:rsid w:val="00711920"/>
    <w:pPr>
      <w:ind w:left="567"/>
    </w:pPr>
    <w:rPr>
      <w:color w:val="00497B"/>
      <w:shd w:val="clear" w:color="auto" w:fill="auto"/>
    </w:rPr>
  </w:style>
  <w:style w:type="character" w:customStyle="1" w:styleId="DatumChar">
    <w:name w:val="Datum Char"/>
    <w:basedOn w:val="Standardnpsmoodstavce"/>
    <w:link w:val="Datum"/>
    <w:uiPriority w:val="99"/>
    <w:rsid w:val="00711920"/>
    <w:rPr>
      <w:rFonts w:ascii="Arial" w:hAnsi="Arial" w:cs="Arial"/>
      <w:noProof/>
      <w:color w:val="00497B"/>
      <w:sz w:val="20"/>
      <w:szCs w:val="20"/>
      <w:lang w:val="de-AT" w:eastAsia="de-DE"/>
    </w:rPr>
  </w:style>
  <w:style w:type="paragraph" w:customStyle="1" w:styleId="Zitat1">
    <w:name w:val="Zitat1"/>
    <w:basedOn w:val="Normln"/>
    <w:qFormat/>
    <w:rsid w:val="00745D18"/>
    <w:pPr>
      <w:spacing w:line="312" w:lineRule="auto"/>
      <w:ind w:left="459" w:right="312"/>
    </w:pPr>
    <w:rPr>
      <w:i/>
      <w:iCs/>
      <w:color w:val="00497C"/>
      <w:shd w:val="clear" w:color="auto" w:fill="auto"/>
    </w:rPr>
  </w:style>
  <w:style w:type="paragraph" w:customStyle="1" w:styleId="QuoteIn-Text">
    <w:name w:val="Quote In-Text"/>
    <w:basedOn w:val="Normln"/>
    <w:next w:val="Normln"/>
    <w:link w:val="QuoteIn-TextZchn"/>
    <w:qFormat/>
    <w:rsid w:val="00AC3985"/>
    <w:rPr>
      <w:i/>
      <w:iCs/>
      <w:color w:val="000000" w:themeColor="text1"/>
      <w:shd w:val="clear" w:color="auto" w:fill="auto"/>
    </w:rPr>
  </w:style>
  <w:style w:type="character" w:customStyle="1" w:styleId="QuoteIn-TextZchn">
    <w:name w:val="Quote In-Text Zchn"/>
    <w:basedOn w:val="Standardnpsmoodstavce"/>
    <w:link w:val="QuoteIn-Text"/>
    <w:rsid w:val="00AC3985"/>
    <w:rPr>
      <w:rFonts w:ascii="Arial" w:hAnsi="Arial" w:cs="Arial"/>
      <w:i/>
      <w:iCs/>
      <w:noProof/>
      <w:color w:val="000000" w:themeColor="text1"/>
      <w:sz w:val="20"/>
      <w:szCs w:val="20"/>
      <w:lang w:val="de-AT" w:eastAsia="de-DE"/>
    </w:rPr>
  </w:style>
  <w:style w:type="paragraph" w:customStyle="1" w:styleId="Default">
    <w:name w:val="Default"/>
    <w:rsid w:val="005503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Externer-Hyperlink">
    <w:name w:val="Externer-Hyperlink"/>
    <w:basedOn w:val="Normln"/>
    <w:qFormat/>
    <w:rsid w:val="005C34A1"/>
    <w:rPr>
      <w:b/>
      <w:bCs/>
      <w:color w:val="00497C"/>
      <w:u w:val="single"/>
    </w:rPr>
  </w:style>
  <w:style w:type="paragraph" w:customStyle="1" w:styleId="Credits">
    <w:name w:val="Credits"/>
    <w:basedOn w:val="Normln"/>
    <w:qFormat/>
    <w:rsid w:val="005C34A1"/>
    <w:rPr>
      <w:sz w:val="16"/>
      <w:szCs w:val="16"/>
    </w:rPr>
  </w:style>
  <w:style w:type="paragraph" w:customStyle="1" w:styleId="berschrift-Kopfzeile">
    <w:name w:val="Überschrift-Kopfzeile"/>
    <w:basedOn w:val="Nadpis3"/>
    <w:qFormat/>
    <w:rsid w:val="00584B98"/>
    <w:pPr>
      <w:spacing w:after="40"/>
      <w:ind w:left="567" w:right="556"/>
    </w:pPr>
    <w:rPr>
      <w:shd w:val="clear" w:color="auto" w:fill="auto"/>
    </w:rPr>
  </w:style>
  <w:style w:type="paragraph" w:customStyle="1" w:styleId="ListenabsatzFliesstext">
    <w:name w:val="Listenabsatz Fliesstext"/>
    <w:basedOn w:val="Odstavecseseznamem"/>
    <w:qFormat/>
    <w:rsid w:val="00AC3985"/>
    <w:rPr>
      <w:sz w:val="20"/>
      <w:szCs w:val="20"/>
    </w:rPr>
  </w:style>
  <w:style w:type="paragraph" w:styleId="Bezmezer">
    <w:name w:val="No Spacing"/>
    <w:uiPriority w:val="1"/>
    <w:qFormat/>
    <w:rsid w:val="00A23F87"/>
    <w:rPr>
      <w:rFonts w:ascii="Arial" w:eastAsia="Calibri" w:hAnsi="Arial" w:cs="Times New Roman"/>
      <w:sz w:val="22"/>
      <w:szCs w:val="22"/>
      <w:lang w:val="de-AT"/>
    </w:rPr>
  </w:style>
  <w:style w:type="paragraph" w:customStyle="1" w:styleId="Info">
    <w:name w:val="Info"/>
    <w:basedOn w:val="Normln"/>
    <w:uiPriority w:val="11"/>
    <w:qFormat/>
    <w:rsid w:val="001D07BC"/>
    <w:pPr>
      <w:spacing w:line="169" w:lineRule="exact"/>
    </w:pPr>
    <w:rPr>
      <w:rFonts w:asciiTheme="minorHAnsi" w:hAnsiTheme="minorHAnsi" w:cstheme="minorBidi"/>
      <w:noProof w:val="0"/>
      <w:color w:val="000000" w:themeColor="text1"/>
      <w:sz w:val="13"/>
      <w:szCs w:val="22"/>
      <w:shd w:val="clear" w:color="auto" w:fill="auto"/>
      <w:lang w:val="en-GB" w:eastAsia="en-US"/>
    </w:rPr>
  </w:style>
  <w:style w:type="character" w:customStyle="1" w:styleId="FettimText">
    <w:name w:val="Fett im Text"/>
    <w:uiPriority w:val="1"/>
    <w:qFormat/>
    <w:rsid w:val="00C248D9"/>
    <w:rPr>
      <w:rFonts w:ascii="STIX Two Text" w:hAnsi="STIX Two Text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TaxCatchAll xmlns="c2323869-9312-41a6-b73b-7b8186d7ec70" xsi:nil="true"/>
    <lcf76f155ced4ddcb4097134ff3c332f xmlns="4fbe574a-ea71-4a7a-8b6c-7f8379c27a3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EF6D673F6C444A56AD1A69ED879D5" ma:contentTypeVersion="23" ma:contentTypeDescription="Create a new document." ma:contentTypeScope="" ma:versionID="aee4b662b451dda9edb976b4b66d6d82">
  <xsd:schema xmlns:xsd="http://www.w3.org/2001/XMLSchema" xmlns:xs="http://www.w3.org/2001/XMLSchema" xmlns:p="http://schemas.microsoft.com/office/2006/metadata/properties" xmlns:ns1="http://schemas.microsoft.com/sharepoint/v3" xmlns:ns2="4fbe574a-ea71-4a7a-8b6c-7f8379c27a3b" xmlns:ns3="c2323869-9312-41a6-b73b-7b8186d7ec70" xmlns:ns4="http://schemas.microsoft.com/sharepoint/v4" targetNamespace="http://schemas.microsoft.com/office/2006/metadata/properties" ma:root="true" ma:fieldsID="9063190ef233f063088c850a926bd204" ns1:_="" ns2:_="" ns3:_="" ns4:_="">
    <xsd:import namespace="http://schemas.microsoft.com/sharepoint/v3"/>
    <xsd:import namespace="4fbe574a-ea71-4a7a-8b6c-7f8379c27a3b"/>
    <xsd:import namespace="c2323869-9312-41a6-b73b-7b8186d7ec7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574a-ea71-4a7a-8b6c-7f8379c2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e7e5b6c-b918-456f-bde5-0dbd0052d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23869-9312-41a6-b73b-7b8186d7ec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d8366b5-4854-423f-9ece-b76b9890fd11}" ma:internalName="TaxCatchAll" ma:showField="CatchAllData" ma:web="c2323869-9312-41a6-b73b-7b8186d7ec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2C5707-1DCB-4AAC-9DE9-802E974CD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7B6C5-9615-D344-958A-8002CE0ED5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FF4E33-DEAC-4DAA-9AD4-412F9ADAD9C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c2323869-9312-41a6-b73b-7b8186d7ec70"/>
    <ds:schemaRef ds:uri="4fbe574a-ea71-4a7a-8b6c-7f8379c27a3b"/>
  </ds:schemaRefs>
</ds:datastoreItem>
</file>

<file path=customXml/itemProps4.xml><?xml version="1.0" encoding="utf-8"?>
<ds:datastoreItem xmlns:ds="http://schemas.openxmlformats.org/officeDocument/2006/customXml" ds:itemID="{5E23CB3D-9C4E-4AB5-A8CE-5E7AE659F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be574a-ea71-4a7a-8b6c-7f8379c27a3b"/>
    <ds:schemaRef ds:uri="c2323869-9312-41a6-b73b-7b8186d7ec7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8329</Characters>
  <Application>Microsoft Office Word</Application>
  <DocSecurity>0</DocSecurity>
  <Lines>141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Klopf</dc:creator>
  <cp:keywords/>
  <dc:description/>
  <cp:lastModifiedBy>Bouc František</cp:lastModifiedBy>
  <cp:revision>2</cp:revision>
  <dcterms:created xsi:type="dcterms:W3CDTF">2024-08-01T15:02:00Z</dcterms:created>
  <dcterms:modified xsi:type="dcterms:W3CDTF">2024-08-01T15:02:00Z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0x010100409EF6D673F6C444A56AD1A69ED879D5</vt:lpwstr>
  </property>
  <property fmtid="{D5CDD505-2E9C-101B-9397-08002B2CF9AE}" pid="3" name="MediaServiceImageTags">
    <vt:lpwstr/>
  </property>
  <property fmtid="{D5CDD505-2E9C-101B-9397-08002B2CF9AE}" pid="4" name="MSIP_Label_38939b85-7e40-4a1d-91e1-0e84c3b219d7_Enabled">
    <vt:lpwstr>true</vt:lpwstr>
  </property>
  <property fmtid="{D5CDD505-2E9C-101B-9397-08002B2CF9AE}" pid="5" name="MSIP_Label_38939b85-7e40-4a1d-91e1-0e84c3b219d7_SetDate">
    <vt:lpwstr>2024-07-29T13:52:05Z</vt:lpwstr>
  </property>
  <property fmtid="{D5CDD505-2E9C-101B-9397-08002B2CF9AE}" pid="6" name="MSIP_Label_38939b85-7e40-4a1d-91e1-0e84c3b219d7_Method">
    <vt:lpwstr>Privileged</vt:lpwstr>
  </property>
  <property fmtid="{D5CDD505-2E9C-101B-9397-08002B2CF9AE}" pid="7" name="MSIP_Label_38939b85-7e40-4a1d-91e1-0e84c3b219d7_Name">
    <vt:lpwstr>38939b85-7e40-4a1d-91e1-0e84c3b219d7</vt:lpwstr>
  </property>
  <property fmtid="{D5CDD505-2E9C-101B-9397-08002B2CF9AE}" pid="8" name="MSIP_Label_38939b85-7e40-4a1d-91e1-0e84c3b219d7_SiteId">
    <vt:lpwstr>3ad0376a-54d3-49a6-9e20-52de0a92fc89</vt:lpwstr>
  </property>
  <property fmtid="{D5CDD505-2E9C-101B-9397-08002B2CF9AE}" pid="9" name="MSIP_Label_38939b85-7e40-4a1d-91e1-0e84c3b219d7_ActionId">
    <vt:lpwstr>4ea7e129-8015-4c13-8b39-d95537ec838d</vt:lpwstr>
  </property>
  <property fmtid="{D5CDD505-2E9C-101B-9397-08002B2CF9AE}" pid="10" name="MSIP_Label_38939b85-7e40-4a1d-91e1-0e84c3b219d7_ContentBits">
    <vt:lpwstr>0</vt:lpwstr>
  </property>
</Properties>
</file>