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7458" w14:textId="73B6D951" w:rsidR="00A23F87" w:rsidRPr="00D35C6D" w:rsidRDefault="002048A3" w:rsidP="00A23F87">
      <w:pPr>
        <w:pStyle w:val="Nadpis2"/>
        <w:rPr>
          <w:rStyle w:val="Siln"/>
          <w:rFonts w:ascii="Inter" w:hAnsi="Inter"/>
          <w:b/>
          <w:bCs/>
          <w:color w:val="auto"/>
          <w:lang w:val="en-US"/>
        </w:rPr>
      </w:pPr>
      <w:r>
        <w:rPr>
          <w:rFonts w:ascii="Inter" w:hAnsi="Inter"/>
          <w:color w:val="auto"/>
          <w:lang w:val="en-US"/>
        </w:rPr>
        <w:t>Erste Group posts solid operating performance</w:t>
      </w:r>
      <w:r w:rsidR="00345A10">
        <w:rPr>
          <w:rFonts w:ascii="Inter" w:hAnsi="Inter"/>
          <w:color w:val="auto"/>
          <w:lang w:val="en-US"/>
        </w:rPr>
        <w:t xml:space="preserve"> in first half of 2024</w:t>
      </w:r>
    </w:p>
    <w:p w14:paraId="2ABD6D54" w14:textId="772D100F" w:rsidR="009227F6" w:rsidRPr="004D135C" w:rsidRDefault="009227F6" w:rsidP="009227F6">
      <w:pPr>
        <w:pStyle w:val="Odstavecseseznamem"/>
        <w:shd w:val="clear" w:color="auto" w:fill="FFFFFF"/>
        <w:rPr>
          <w:rFonts w:ascii="Inter" w:hAnsi="Inter"/>
          <w:lang w:val="en-US"/>
        </w:rPr>
      </w:pPr>
      <w:r w:rsidRPr="004D135C">
        <w:rPr>
          <w:rFonts w:ascii="Inter" w:hAnsi="Inter"/>
          <w:lang w:val="en-US"/>
        </w:rPr>
        <w:t>NPL</w:t>
      </w:r>
      <w:r w:rsidR="007501E3" w:rsidRPr="004D135C">
        <w:rPr>
          <w:rFonts w:ascii="Inter" w:hAnsi="Inter"/>
          <w:lang w:val="en-US"/>
        </w:rPr>
        <w:t xml:space="preserve"> ratio remains </w:t>
      </w:r>
      <w:r w:rsidR="004D135C" w:rsidRPr="004D135C">
        <w:rPr>
          <w:rFonts w:ascii="Inter" w:hAnsi="Inter"/>
          <w:lang w:val="en-US"/>
        </w:rPr>
        <w:t xml:space="preserve">at a </w:t>
      </w:r>
      <w:r w:rsidR="004D135C">
        <w:rPr>
          <w:rFonts w:ascii="Inter" w:hAnsi="Inter"/>
          <w:lang w:val="en-US"/>
        </w:rPr>
        <w:t>low level (2.4%)</w:t>
      </w:r>
    </w:p>
    <w:p w14:paraId="0A45E110" w14:textId="0E3446B1" w:rsidR="002707A8" w:rsidRDefault="002707A8" w:rsidP="009227F6">
      <w:pPr>
        <w:pStyle w:val="Odstavecseseznamem"/>
        <w:shd w:val="clear" w:color="auto" w:fill="FFFFFF"/>
        <w:ind w:right="277"/>
        <w:rPr>
          <w:rFonts w:ascii="Inter" w:hAnsi="Inter"/>
          <w:lang w:val="en-US"/>
        </w:rPr>
      </w:pPr>
      <w:r>
        <w:rPr>
          <w:rFonts w:ascii="Inter" w:hAnsi="Inter"/>
          <w:lang w:val="en-US"/>
        </w:rPr>
        <w:t>Strong equity base: CET1 ratio at 15.5%</w:t>
      </w:r>
    </w:p>
    <w:p w14:paraId="4017EDB5" w14:textId="0E1D0498" w:rsidR="009227F6" w:rsidRPr="004D135C" w:rsidRDefault="004D135C" w:rsidP="009227F6">
      <w:pPr>
        <w:pStyle w:val="Odstavecseseznamem"/>
        <w:shd w:val="clear" w:color="auto" w:fill="FFFFFF"/>
        <w:ind w:right="277"/>
        <w:rPr>
          <w:rFonts w:ascii="Inter" w:hAnsi="Inter"/>
          <w:lang w:val="en-US"/>
        </w:rPr>
      </w:pPr>
      <w:r w:rsidRPr="004D135C">
        <w:rPr>
          <w:rFonts w:ascii="Inter" w:hAnsi="Inter"/>
          <w:lang w:val="en-US"/>
        </w:rPr>
        <w:t xml:space="preserve">Strong rise in </w:t>
      </w:r>
      <w:r w:rsidR="00C058E5">
        <w:rPr>
          <w:rFonts w:ascii="Inter" w:hAnsi="Inter"/>
          <w:lang w:val="en-US"/>
        </w:rPr>
        <w:t>volume of new</w:t>
      </w:r>
      <w:r>
        <w:rPr>
          <w:rFonts w:ascii="Inter" w:hAnsi="Inter"/>
          <w:lang w:val="en-US"/>
        </w:rPr>
        <w:t xml:space="preserve"> </w:t>
      </w:r>
      <w:r w:rsidR="00C058E5">
        <w:rPr>
          <w:rFonts w:ascii="Inter" w:hAnsi="Inter"/>
          <w:lang w:val="en-US"/>
        </w:rPr>
        <w:t>sustainable</w:t>
      </w:r>
      <w:r>
        <w:rPr>
          <w:rFonts w:ascii="Inter" w:hAnsi="Inter"/>
          <w:lang w:val="en-US"/>
        </w:rPr>
        <w:t xml:space="preserve"> loans</w:t>
      </w:r>
      <w:r w:rsidR="00C058E5">
        <w:rPr>
          <w:rFonts w:ascii="Inter" w:hAnsi="Inter"/>
          <w:lang w:val="en-US"/>
        </w:rPr>
        <w:t xml:space="preserve"> in corporate segment</w:t>
      </w:r>
    </w:p>
    <w:p w14:paraId="71070973" w14:textId="454C32AB" w:rsidR="009227F6" w:rsidRPr="00451611" w:rsidRDefault="00451611" w:rsidP="009227F6">
      <w:pPr>
        <w:pStyle w:val="Odstavecseseznamem"/>
        <w:shd w:val="clear" w:color="auto" w:fill="FFFFFF"/>
        <w:ind w:right="561"/>
        <w:rPr>
          <w:rFonts w:ascii="Inter" w:hAnsi="Inter"/>
          <w:lang w:val="en-US"/>
        </w:rPr>
      </w:pPr>
      <w:r w:rsidRPr="00451611">
        <w:rPr>
          <w:rFonts w:ascii="Inter" w:hAnsi="Inter"/>
          <w:lang w:val="en-US"/>
        </w:rPr>
        <w:t>Number of securities savings plans</w:t>
      </w:r>
      <w:r>
        <w:rPr>
          <w:rFonts w:ascii="Inter" w:hAnsi="Inter"/>
          <w:lang w:val="en-US"/>
        </w:rPr>
        <w:t xml:space="preserve"> </w:t>
      </w:r>
      <w:r w:rsidR="007852CD">
        <w:rPr>
          <w:rFonts w:ascii="Inter" w:hAnsi="Inter"/>
          <w:lang w:val="en-US"/>
        </w:rPr>
        <w:t xml:space="preserve">one-fourth </w:t>
      </w:r>
      <w:r w:rsidR="00D31119">
        <w:rPr>
          <w:rFonts w:ascii="Inter" w:hAnsi="Inter"/>
          <w:lang w:val="en-US"/>
        </w:rPr>
        <w:t xml:space="preserve">higher </w:t>
      </w:r>
      <w:r w:rsidR="00822496">
        <w:rPr>
          <w:rFonts w:ascii="Inter" w:hAnsi="Inter"/>
          <w:lang w:val="en-US"/>
        </w:rPr>
        <w:t>year-on-year</w:t>
      </w:r>
    </w:p>
    <w:p w14:paraId="360272AB" w14:textId="2860DEAC" w:rsidR="009227F6" w:rsidRPr="00D31119" w:rsidRDefault="009227F6" w:rsidP="009227F6">
      <w:pPr>
        <w:pStyle w:val="Odstavecseseznamem"/>
        <w:shd w:val="clear" w:color="auto" w:fill="FFFFFF"/>
        <w:rPr>
          <w:rFonts w:ascii="Inter" w:hAnsi="Inter"/>
          <w:lang w:val="en-US"/>
        </w:rPr>
      </w:pPr>
      <w:r w:rsidRPr="00D31119">
        <w:rPr>
          <w:rFonts w:ascii="Inter" w:hAnsi="Inter"/>
          <w:lang w:val="en-US"/>
        </w:rPr>
        <w:t>Dividend</w:t>
      </w:r>
      <w:r w:rsidR="00D31119" w:rsidRPr="00D31119">
        <w:rPr>
          <w:rFonts w:ascii="Inter" w:hAnsi="Inter"/>
          <w:lang w:val="en-US"/>
        </w:rPr>
        <w:t xml:space="preserve"> of </w:t>
      </w:r>
      <w:r w:rsidRPr="00D31119">
        <w:rPr>
          <w:rFonts w:ascii="Inter" w:hAnsi="Inter"/>
          <w:lang w:val="en-US"/>
        </w:rPr>
        <w:t>3</w:t>
      </w:r>
      <w:r w:rsidR="00D31119" w:rsidRPr="00D31119">
        <w:rPr>
          <w:rFonts w:ascii="Inter" w:hAnsi="Inter"/>
          <w:lang w:val="en-US"/>
        </w:rPr>
        <w:t>.</w:t>
      </w:r>
      <w:r w:rsidRPr="00D31119">
        <w:rPr>
          <w:rFonts w:ascii="Inter" w:hAnsi="Inter"/>
          <w:lang w:val="en-US"/>
        </w:rPr>
        <w:t xml:space="preserve">00 </w:t>
      </w:r>
      <w:r w:rsidR="00D31119" w:rsidRPr="00D31119">
        <w:rPr>
          <w:rFonts w:ascii="Inter" w:hAnsi="Inter"/>
          <w:lang w:val="en-US"/>
        </w:rPr>
        <w:t>e</w:t>
      </w:r>
      <w:r w:rsidRPr="00D31119">
        <w:rPr>
          <w:rFonts w:ascii="Inter" w:hAnsi="Inter"/>
          <w:lang w:val="en-US"/>
        </w:rPr>
        <w:t>uro</w:t>
      </w:r>
      <w:r w:rsidR="00D31119" w:rsidRPr="00D31119">
        <w:rPr>
          <w:rFonts w:ascii="Inter" w:hAnsi="Inter"/>
          <w:lang w:val="en-US"/>
        </w:rPr>
        <w:t xml:space="preserve">s </w:t>
      </w:r>
      <w:r w:rsidR="002707A8">
        <w:rPr>
          <w:rFonts w:ascii="Inter" w:hAnsi="Inter"/>
          <w:lang w:val="en-US"/>
        </w:rPr>
        <w:t xml:space="preserve">per share </w:t>
      </w:r>
      <w:r w:rsidR="00D31119" w:rsidRPr="00D31119">
        <w:rPr>
          <w:rFonts w:ascii="Inter" w:hAnsi="Inter"/>
          <w:lang w:val="en-US"/>
        </w:rPr>
        <w:t xml:space="preserve">proposed for </w:t>
      </w:r>
      <w:r w:rsidR="00D31119">
        <w:rPr>
          <w:rFonts w:ascii="Inter" w:hAnsi="Inter"/>
          <w:lang w:val="en-US"/>
        </w:rPr>
        <w:t>2024</w:t>
      </w:r>
    </w:p>
    <w:p w14:paraId="0F2B1BCD" w14:textId="77777777" w:rsidR="00D35C6D" w:rsidRDefault="00D35C6D" w:rsidP="00A23F87">
      <w:pPr>
        <w:pStyle w:val="Bezmezer"/>
        <w:spacing w:line="280" w:lineRule="exact"/>
        <w:rPr>
          <w:rFonts w:ascii="Inter" w:hAnsi="Inter"/>
          <w:sz w:val="20"/>
          <w:szCs w:val="20"/>
          <w:lang w:val="en-US"/>
        </w:rPr>
      </w:pPr>
    </w:p>
    <w:p w14:paraId="50EDCCFC" w14:textId="5F9BEE0E" w:rsidR="00236915" w:rsidRPr="00A05EC2" w:rsidRDefault="00236915" w:rsidP="00236915">
      <w:pPr>
        <w:spacing w:line="280" w:lineRule="exact"/>
        <w:rPr>
          <w:rFonts w:ascii="Inter" w:hAnsi="Inter"/>
          <w:b/>
          <w:lang w:val="en-US"/>
        </w:rPr>
      </w:pPr>
      <w:r w:rsidRPr="00A05EC2">
        <w:rPr>
          <w:rFonts w:ascii="Inter" w:hAnsi="Inter"/>
          <w:b/>
          <w:lang w:val="en-US"/>
        </w:rPr>
        <w:t xml:space="preserve">Erste Group Bank AG recorded an operating result of </w:t>
      </w:r>
      <w:r w:rsidR="002B4BAC">
        <w:rPr>
          <w:rFonts w:ascii="Inter" w:hAnsi="Inter"/>
          <w:b/>
          <w:lang w:val="en-US"/>
        </w:rPr>
        <w:t>2.97</w:t>
      </w:r>
      <w:r w:rsidRPr="00A05EC2">
        <w:rPr>
          <w:rFonts w:ascii="Inter" w:hAnsi="Inter"/>
          <w:b/>
          <w:lang w:val="en-US"/>
        </w:rPr>
        <w:t xml:space="preserve"> billion euros in </w:t>
      </w:r>
      <w:r w:rsidR="002B4BAC">
        <w:rPr>
          <w:rFonts w:ascii="Inter" w:hAnsi="Inter"/>
          <w:b/>
          <w:lang w:val="en-US"/>
        </w:rPr>
        <w:t>the first six months of 2024</w:t>
      </w:r>
      <w:r w:rsidRPr="00A05EC2">
        <w:rPr>
          <w:rFonts w:ascii="Inter" w:hAnsi="Inter"/>
          <w:b/>
          <w:lang w:val="en-US"/>
        </w:rPr>
        <w:t xml:space="preserve">, an increase of </w:t>
      </w:r>
      <w:r w:rsidR="00FD4DF1">
        <w:rPr>
          <w:rFonts w:ascii="Inter" w:hAnsi="Inter"/>
          <w:b/>
          <w:lang w:val="en-US"/>
        </w:rPr>
        <w:t>10.6</w:t>
      </w:r>
      <w:r w:rsidRPr="00A05EC2">
        <w:rPr>
          <w:rFonts w:ascii="Inter" w:hAnsi="Inter"/>
          <w:b/>
          <w:lang w:val="en-US"/>
        </w:rPr>
        <w:t xml:space="preserve">% compared </w:t>
      </w:r>
      <w:r w:rsidR="00FD4DF1">
        <w:rPr>
          <w:rFonts w:ascii="Inter" w:hAnsi="Inter"/>
          <w:b/>
          <w:lang w:val="en-US"/>
        </w:rPr>
        <w:t>to the same period a</w:t>
      </w:r>
      <w:r w:rsidRPr="00A05EC2">
        <w:rPr>
          <w:rFonts w:ascii="Inter" w:hAnsi="Inter"/>
          <w:b/>
          <w:lang w:val="en-US"/>
        </w:rPr>
        <w:t xml:space="preserve"> year</w:t>
      </w:r>
      <w:r w:rsidR="00FD4DF1">
        <w:rPr>
          <w:rFonts w:ascii="Inter" w:hAnsi="Inter"/>
          <w:b/>
          <w:lang w:val="en-US"/>
        </w:rPr>
        <w:t xml:space="preserve"> earlier</w:t>
      </w:r>
      <w:r w:rsidRPr="00A05EC2">
        <w:rPr>
          <w:rFonts w:ascii="Inter" w:hAnsi="Inter"/>
          <w:b/>
          <w:lang w:val="en-US"/>
        </w:rPr>
        <w:t xml:space="preserve">. </w:t>
      </w:r>
      <w:r w:rsidR="00BD4CE9">
        <w:rPr>
          <w:rFonts w:ascii="Inter" w:hAnsi="Inter"/>
          <w:b/>
          <w:lang w:val="en-US"/>
        </w:rPr>
        <w:t xml:space="preserve">This performance reflects </w:t>
      </w:r>
      <w:r w:rsidR="00E75D06">
        <w:rPr>
          <w:rFonts w:ascii="Inter" w:hAnsi="Inter"/>
          <w:b/>
          <w:lang w:val="en-US"/>
        </w:rPr>
        <w:t xml:space="preserve">the positive </w:t>
      </w:r>
      <w:r w:rsidR="00724B50">
        <w:rPr>
          <w:rFonts w:ascii="Inter" w:hAnsi="Inter"/>
          <w:b/>
          <w:lang w:val="en-US"/>
        </w:rPr>
        <w:t>development</w:t>
      </w:r>
      <w:r w:rsidR="00E75D06">
        <w:rPr>
          <w:rFonts w:ascii="Inter" w:hAnsi="Inter"/>
          <w:b/>
          <w:lang w:val="en-US"/>
        </w:rPr>
        <w:t xml:space="preserve"> in core revenues, as well as the </w:t>
      </w:r>
      <w:r w:rsidR="001A074A" w:rsidRPr="001A074A">
        <w:rPr>
          <w:rFonts w:ascii="Inter" w:hAnsi="Inter"/>
          <w:b/>
          <w:lang w:val="en-US"/>
        </w:rPr>
        <w:t>significantly stronger increase in operating income</w:t>
      </w:r>
      <w:r w:rsidR="001A074A">
        <w:rPr>
          <w:rFonts w:ascii="Inter" w:hAnsi="Inter"/>
          <w:b/>
          <w:lang w:val="en-US"/>
        </w:rPr>
        <w:t xml:space="preserve"> (+7.0%) </w:t>
      </w:r>
      <w:r w:rsidR="00751C88">
        <w:rPr>
          <w:rFonts w:ascii="Inter" w:hAnsi="Inter"/>
          <w:b/>
          <w:lang w:val="en-US"/>
        </w:rPr>
        <w:t>than in operating expenses (</w:t>
      </w:r>
      <w:r w:rsidR="00FB1D73">
        <w:rPr>
          <w:rFonts w:ascii="Inter" w:hAnsi="Inter"/>
          <w:b/>
          <w:lang w:val="en-US"/>
        </w:rPr>
        <w:t xml:space="preserve">+3.1%). </w:t>
      </w:r>
      <w:r w:rsidRPr="00A05EC2">
        <w:rPr>
          <w:rFonts w:ascii="Inter" w:hAnsi="Inter"/>
          <w:b/>
          <w:lang w:val="en-US"/>
        </w:rPr>
        <w:t xml:space="preserve">The cost/income ratio improved </w:t>
      </w:r>
      <w:r w:rsidR="00A24A9B">
        <w:rPr>
          <w:rFonts w:ascii="Inter" w:hAnsi="Inter"/>
          <w:b/>
          <w:lang w:val="en-US"/>
        </w:rPr>
        <w:t>accordingly</w:t>
      </w:r>
      <w:r w:rsidR="004F16CD">
        <w:rPr>
          <w:rFonts w:ascii="Inter" w:hAnsi="Inter"/>
          <w:b/>
          <w:lang w:val="en-US"/>
        </w:rPr>
        <w:t>,</w:t>
      </w:r>
      <w:r w:rsidR="00A24A9B">
        <w:rPr>
          <w:rFonts w:ascii="Inter" w:hAnsi="Inter"/>
          <w:b/>
          <w:lang w:val="en-US"/>
        </w:rPr>
        <w:t xml:space="preserve"> </w:t>
      </w:r>
      <w:r w:rsidRPr="00A05EC2">
        <w:rPr>
          <w:rFonts w:ascii="Inter" w:hAnsi="Inter"/>
          <w:b/>
          <w:lang w:val="en-US"/>
        </w:rPr>
        <w:t xml:space="preserve">from </w:t>
      </w:r>
      <w:r w:rsidR="00DB4AFD">
        <w:rPr>
          <w:rFonts w:ascii="Inter" w:hAnsi="Inter"/>
          <w:b/>
          <w:lang w:val="en-US"/>
        </w:rPr>
        <w:t>47.9</w:t>
      </w:r>
      <w:r w:rsidRPr="00A05EC2">
        <w:rPr>
          <w:rFonts w:ascii="Inter" w:hAnsi="Inter"/>
          <w:b/>
          <w:lang w:val="en-US"/>
        </w:rPr>
        <w:t xml:space="preserve">% to </w:t>
      </w:r>
      <w:r w:rsidR="00DB4AFD">
        <w:rPr>
          <w:rFonts w:ascii="Inter" w:hAnsi="Inter"/>
          <w:b/>
          <w:lang w:val="en-US"/>
        </w:rPr>
        <w:t>46.1</w:t>
      </w:r>
      <w:r w:rsidRPr="00A05EC2">
        <w:rPr>
          <w:rFonts w:ascii="Inter" w:hAnsi="Inter"/>
          <w:b/>
          <w:lang w:val="en-US"/>
        </w:rPr>
        <w:t>%.</w:t>
      </w:r>
      <w:r w:rsidR="00A24A9B">
        <w:rPr>
          <w:rFonts w:ascii="Inter" w:hAnsi="Inter"/>
          <w:b/>
          <w:lang w:val="en-US"/>
        </w:rPr>
        <w:t xml:space="preserve"> </w:t>
      </w:r>
      <w:r w:rsidR="00B05701">
        <w:rPr>
          <w:rFonts w:ascii="Inter" w:hAnsi="Inter"/>
          <w:b/>
          <w:lang w:val="en-US"/>
        </w:rPr>
        <w:t>T</w:t>
      </w:r>
      <w:r w:rsidR="00B05701" w:rsidRPr="00B05701">
        <w:rPr>
          <w:rFonts w:ascii="Inter" w:hAnsi="Inter"/>
          <w:b/>
          <w:lang w:val="en-US"/>
        </w:rPr>
        <w:t>he common equity tier 1 ratio (CET1, final) stood at 15.</w:t>
      </w:r>
      <w:r w:rsidR="002E162A">
        <w:rPr>
          <w:rFonts w:ascii="Inter" w:hAnsi="Inter"/>
          <w:b/>
          <w:lang w:val="en-US"/>
        </w:rPr>
        <w:t>5</w:t>
      </w:r>
      <w:r w:rsidR="00B05701" w:rsidRPr="00B05701">
        <w:rPr>
          <w:rFonts w:ascii="Inter" w:hAnsi="Inter"/>
          <w:b/>
          <w:lang w:val="en-US"/>
        </w:rPr>
        <w:t>%</w:t>
      </w:r>
      <w:r w:rsidR="002E162A">
        <w:rPr>
          <w:rFonts w:ascii="Inter" w:hAnsi="Inter"/>
          <w:b/>
          <w:lang w:val="en-US"/>
        </w:rPr>
        <w:t xml:space="preserve"> (December 2023: 15.7%). </w:t>
      </w:r>
      <w:r w:rsidR="008468C7">
        <w:rPr>
          <w:rFonts w:ascii="Inter" w:hAnsi="Inter"/>
          <w:b/>
          <w:lang w:val="en-US"/>
        </w:rPr>
        <w:t xml:space="preserve">Both the </w:t>
      </w:r>
      <w:r w:rsidRPr="00A05EC2">
        <w:rPr>
          <w:rFonts w:ascii="Inter" w:hAnsi="Inter"/>
          <w:b/>
          <w:lang w:val="en-US"/>
        </w:rPr>
        <w:t xml:space="preserve">loan volume increased </w:t>
      </w:r>
      <w:r w:rsidR="008468C7">
        <w:rPr>
          <w:rFonts w:ascii="Inter" w:hAnsi="Inter"/>
          <w:b/>
          <w:lang w:val="en-US"/>
        </w:rPr>
        <w:t>(</w:t>
      </w:r>
      <w:r w:rsidR="00803EBA">
        <w:rPr>
          <w:rFonts w:ascii="Inter" w:hAnsi="Inter"/>
          <w:b/>
          <w:lang w:val="en-US"/>
        </w:rPr>
        <w:t xml:space="preserve">+1.7%) </w:t>
      </w:r>
      <w:r w:rsidR="00325158">
        <w:rPr>
          <w:rFonts w:ascii="Inter" w:hAnsi="Inter"/>
          <w:b/>
          <w:lang w:val="en-US"/>
        </w:rPr>
        <w:t>and customer deposits (+3.2%) rose during the first half of 2024</w:t>
      </w:r>
      <w:r w:rsidR="00E3363E">
        <w:rPr>
          <w:rFonts w:ascii="Inter" w:hAnsi="Inter"/>
          <w:b/>
          <w:lang w:val="en-US"/>
        </w:rPr>
        <w:t>. The volume of</w:t>
      </w:r>
      <w:r w:rsidRPr="00A05EC2">
        <w:rPr>
          <w:rFonts w:ascii="Inter" w:hAnsi="Inter"/>
          <w:b/>
          <w:lang w:val="en-US"/>
        </w:rPr>
        <w:t xml:space="preserve"> sustainable loans granted in new business</w:t>
      </w:r>
      <w:r w:rsidR="002C6F93">
        <w:rPr>
          <w:rFonts w:ascii="Inter" w:hAnsi="Inter"/>
          <w:b/>
          <w:lang w:val="en-US"/>
        </w:rPr>
        <w:t xml:space="preserve"> with corporate clients rose sharply </w:t>
      </w:r>
      <w:r w:rsidR="00403B33">
        <w:rPr>
          <w:rFonts w:ascii="Inter" w:hAnsi="Inter"/>
          <w:b/>
          <w:lang w:val="en-US"/>
        </w:rPr>
        <w:t xml:space="preserve">to 1.8 billion euros </w:t>
      </w:r>
      <w:r w:rsidR="00D136CF">
        <w:rPr>
          <w:rFonts w:ascii="Inter" w:hAnsi="Inter"/>
          <w:b/>
          <w:lang w:val="en-US"/>
        </w:rPr>
        <w:t>(+78% year-on-year)</w:t>
      </w:r>
      <w:r w:rsidRPr="00A05EC2">
        <w:rPr>
          <w:rFonts w:ascii="Inter" w:hAnsi="Inter"/>
          <w:b/>
          <w:lang w:val="en-US"/>
        </w:rPr>
        <w:t xml:space="preserve">. </w:t>
      </w:r>
      <w:r w:rsidR="00C9568D">
        <w:rPr>
          <w:rFonts w:ascii="Inter" w:hAnsi="Inter"/>
          <w:b/>
          <w:lang w:val="en-US"/>
        </w:rPr>
        <w:t>Compared to June 2023, t</w:t>
      </w:r>
      <w:r w:rsidR="00EA32B7">
        <w:rPr>
          <w:rFonts w:ascii="Inter" w:hAnsi="Inter"/>
          <w:b/>
          <w:lang w:val="en-US"/>
        </w:rPr>
        <w:t xml:space="preserve">he number of </w:t>
      </w:r>
      <w:r w:rsidR="00E66A76">
        <w:rPr>
          <w:rFonts w:ascii="Inter" w:hAnsi="Inter"/>
          <w:b/>
          <w:lang w:val="en-US"/>
        </w:rPr>
        <w:t xml:space="preserve">securities savings plans </w:t>
      </w:r>
      <w:r w:rsidR="008B0F20">
        <w:rPr>
          <w:rFonts w:ascii="Inter" w:hAnsi="Inter"/>
          <w:b/>
          <w:lang w:val="en-US"/>
        </w:rPr>
        <w:t xml:space="preserve">increased by </w:t>
      </w:r>
      <w:r w:rsidR="00537097">
        <w:rPr>
          <w:rFonts w:ascii="Inter" w:hAnsi="Inter"/>
          <w:b/>
          <w:lang w:val="en-US"/>
        </w:rPr>
        <w:t>23%</w:t>
      </w:r>
      <w:r w:rsidR="008B0F20">
        <w:rPr>
          <w:rFonts w:ascii="Inter" w:hAnsi="Inter"/>
          <w:b/>
          <w:lang w:val="en-US"/>
        </w:rPr>
        <w:t xml:space="preserve"> to </w:t>
      </w:r>
      <w:r w:rsidR="00C9568D">
        <w:rPr>
          <w:rFonts w:ascii="Inter" w:hAnsi="Inter"/>
          <w:b/>
          <w:lang w:val="en-US"/>
        </w:rPr>
        <w:t>1.3 million.</w:t>
      </w:r>
      <w:r w:rsidR="00537097">
        <w:rPr>
          <w:rFonts w:ascii="Inter" w:hAnsi="Inter"/>
          <w:b/>
          <w:lang w:val="en-US"/>
        </w:rPr>
        <w:t xml:space="preserve"> </w:t>
      </w:r>
      <w:r w:rsidRPr="00A05EC2">
        <w:rPr>
          <w:rFonts w:ascii="Inter" w:hAnsi="Inter"/>
          <w:b/>
          <w:lang w:val="en-US"/>
        </w:rPr>
        <w:t xml:space="preserve">Net profit </w:t>
      </w:r>
      <w:r w:rsidR="00537097">
        <w:rPr>
          <w:rFonts w:ascii="Inter" w:hAnsi="Inter"/>
          <w:b/>
          <w:lang w:val="en-US"/>
        </w:rPr>
        <w:t>for the first half of 2024</w:t>
      </w:r>
      <w:r w:rsidRPr="00A05EC2">
        <w:rPr>
          <w:rFonts w:ascii="Inter" w:hAnsi="Inter"/>
          <w:b/>
          <w:lang w:val="en-US"/>
        </w:rPr>
        <w:t xml:space="preserve"> amounted to </w:t>
      </w:r>
      <w:r w:rsidR="00537097">
        <w:rPr>
          <w:rFonts w:ascii="Inter" w:hAnsi="Inter"/>
          <w:b/>
          <w:lang w:val="en-US"/>
        </w:rPr>
        <w:t>1.63</w:t>
      </w:r>
      <w:r w:rsidRPr="00A05EC2">
        <w:rPr>
          <w:rFonts w:ascii="Inter" w:hAnsi="Inter"/>
          <w:b/>
          <w:lang w:val="en-US"/>
        </w:rPr>
        <w:t xml:space="preserve"> billion euros (</w:t>
      </w:r>
      <w:r w:rsidR="00537097">
        <w:rPr>
          <w:rFonts w:ascii="Inter" w:hAnsi="Inter"/>
          <w:b/>
          <w:lang w:val="en-US"/>
        </w:rPr>
        <w:t>H1 2023</w:t>
      </w:r>
      <w:r w:rsidRPr="00A05EC2">
        <w:rPr>
          <w:rFonts w:ascii="Inter" w:hAnsi="Inter"/>
          <w:b/>
          <w:lang w:val="en-US"/>
        </w:rPr>
        <w:t xml:space="preserve">: </w:t>
      </w:r>
      <w:r w:rsidR="00CB72AF">
        <w:rPr>
          <w:rFonts w:ascii="Inter" w:hAnsi="Inter"/>
          <w:b/>
          <w:lang w:val="en-US"/>
        </w:rPr>
        <w:t>1.49</w:t>
      </w:r>
      <w:r w:rsidRPr="00A05EC2">
        <w:rPr>
          <w:rFonts w:ascii="Inter" w:hAnsi="Inter"/>
          <w:b/>
          <w:lang w:val="en-US"/>
        </w:rPr>
        <w:t xml:space="preserve"> billion euros).</w:t>
      </w:r>
      <w:r w:rsidR="00C80246">
        <w:rPr>
          <w:rFonts w:ascii="Inter" w:hAnsi="Inter"/>
          <w:b/>
          <w:lang w:val="en-US"/>
        </w:rPr>
        <w:t xml:space="preserve"> The Management Board of Erste Group will continue its established dividend policy by proposing a dividend of 3.00 euros per share for the 2024 financial year.</w:t>
      </w:r>
    </w:p>
    <w:p w14:paraId="00D0636F" w14:textId="4AFDD328" w:rsidR="00CB72AF" w:rsidRDefault="00CB72AF" w:rsidP="00A23F87">
      <w:pPr>
        <w:pStyle w:val="Bezmezer"/>
        <w:spacing w:line="280" w:lineRule="exact"/>
        <w:rPr>
          <w:rFonts w:ascii="Inter" w:hAnsi="Inter"/>
          <w:sz w:val="20"/>
          <w:szCs w:val="20"/>
          <w:lang w:val="en-US"/>
        </w:rPr>
      </w:pPr>
    </w:p>
    <w:p w14:paraId="35DC3250" w14:textId="4FEC4AFA" w:rsidR="003B2A0B" w:rsidRPr="00511906" w:rsidRDefault="003B2A0B" w:rsidP="003B2A0B">
      <w:pPr>
        <w:rPr>
          <w:rFonts w:ascii="Inter" w:hAnsi="Inter"/>
          <w:color w:val="000000" w:themeColor="text1"/>
          <w:lang w:val="en-US"/>
        </w:rPr>
      </w:pPr>
      <w:r w:rsidRPr="00511906">
        <w:rPr>
          <w:rFonts w:ascii="Inter" w:hAnsi="Inter"/>
          <w:i/>
          <w:iCs/>
          <w:color w:val="000000" w:themeColor="text1"/>
          <w:lang w:val="en-US"/>
        </w:rPr>
        <w:t xml:space="preserve">“The results for the first half of 2024 confirm the successful path our banking group is taking in Austria and CEE. Financing the </w:t>
      </w:r>
      <w:r w:rsidR="00016CF0" w:rsidRPr="00511906">
        <w:rPr>
          <w:rFonts w:ascii="Inter" w:hAnsi="Inter"/>
          <w:i/>
          <w:iCs/>
          <w:color w:val="000000" w:themeColor="text1"/>
          <w:lang w:val="en-US"/>
        </w:rPr>
        <w:t>energy transition</w:t>
      </w:r>
      <w:r w:rsidRPr="00511906">
        <w:rPr>
          <w:rFonts w:ascii="Inter" w:hAnsi="Inter"/>
          <w:i/>
          <w:iCs/>
          <w:color w:val="000000" w:themeColor="text1"/>
          <w:lang w:val="en-US"/>
        </w:rPr>
        <w:t xml:space="preserve"> and </w:t>
      </w:r>
      <w:r w:rsidR="00016CF0" w:rsidRPr="00511906">
        <w:rPr>
          <w:rFonts w:ascii="Inter" w:hAnsi="Inter"/>
          <w:i/>
          <w:iCs/>
          <w:color w:val="000000" w:themeColor="text1"/>
          <w:lang w:val="en-US"/>
        </w:rPr>
        <w:t>digital transformation</w:t>
      </w:r>
      <w:r w:rsidRPr="00511906">
        <w:rPr>
          <w:rFonts w:ascii="Inter" w:hAnsi="Inter"/>
          <w:i/>
          <w:iCs/>
          <w:color w:val="000000" w:themeColor="text1"/>
          <w:lang w:val="en-US"/>
        </w:rPr>
        <w:t xml:space="preserve"> in Europe requires strong banks that, working together with the political and business sectors, actively drive this development forward. We want to play an even stronger role in this in the future. Our excellent results provide a good basis for doing so,”</w:t>
      </w:r>
      <w:r w:rsidRPr="00511906">
        <w:rPr>
          <w:rFonts w:ascii="Inter" w:hAnsi="Inter"/>
          <w:color w:val="000000" w:themeColor="text1"/>
          <w:lang w:val="en-US"/>
        </w:rPr>
        <w:t xml:space="preserve"> says </w:t>
      </w:r>
      <w:r w:rsidRPr="00511906">
        <w:rPr>
          <w:rFonts w:ascii="Inter" w:hAnsi="Inter"/>
          <w:b/>
          <w:bCs/>
          <w:color w:val="000000" w:themeColor="text1"/>
          <w:lang w:val="en-US"/>
        </w:rPr>
        <w:t>Peter Bosek</w:t>
      </w:r>
      <w:r w:rsidRPr="00511906">
        <w:rPr>
          <w:rFonts w:ascii="Inter" w:hAnsi="Inter"/>
          <w:color w:val="000000" w:themeColor="text1"/>
          <w:lang w:val="en-US"/>
        </w:rPr>
        <w:t>, CEO of Erste Group.</w:t>
      </w:r>
    </w:p>
    <w:p w14:paraId="5B82F37D" w14:textId="77777777" w:rsidR="003B2A0B" w:rsidRPr="00511906" w:rsidRDefault="003B2A0B" w:rsidP="003B2A0B">
      <w:pPr>
        <w:rPr>
          <w:rFonts w:ascii="Inter" w:hAnsi="Inter"/>
          <w:color w:val="000000" w:themeColor="text1"/>
          <w:lang w:val="en-US"/>
        </w:rPr>
      </w:pPr>
    </w:p>
    <w:p w14:paraId="49C3E6BD" w14:textId="77777777" w:rsidR="003B2A0B" w:rsidRPr="00511906" w:rsidRDefault="003B2A0B" w:rsidP="003B2A0B">
      <w:pPr>
        <w:rPr>
          <w:rFonts w:ascii="Inter" w:hAnsi="Inter"/>
          <w:color w:val="000000" w:themeColor="text1"/>
          <w:lang w:val="en-US"/>
        </w:rPr>
      </w:pPr>
      <w:r w:rsidRPr="00511906">
        <w:rPr>
          <w:rFonts w:ascii="Inter" w:hAnsi="Inter"/>
          <w:i/>
          <w:iCs/>
          <w:color w:val="000000" w:themeColor="text1"/>
          <w:lang w:val="en-US"/>
        </w:rPr>
        <w:t>"The results we achieved in the first six months of the year reflect the growth of our main revenue drivers, as well as our solid work in risk and cost management. Together with the stable economic environment in our region, these results allow us to raise our forecast for the full year and to propose a dividend of three euros for the current financial year,”</w:t>
      </w:r>
      <w:r w:rsidRPr="00511906">
        <w:rPr>
          <w:rFonts w:ascii="Inter" w:hAnsi="Inter"/>
          <w:color w:val="000000" w:themeColor="text1"/>
          <w:lang w:val="en-US"/>
        </w:rPr>
        <w:t xml:space="preserve"> says </w:t>
      </w:r>
      <w:r w:rsidRPr="00511906">
        <w:rPr>
          <w:rFonts w:ascii="Inter" w:hAnsi="Inter"/>
          <w:b/>
          <w:bCs/>
          <w:color w:val="000000" w:themeColor="text1"/>
          <w:lang w:val="en-US"/>
        </w:rPr>
        <w:t>Stefan Dörfler</w:t>
      </w:r>
      <w:r w:rsidRPr="00511906">
        <w:rPr>
          <w:rFonts w:ascii="Inter" w:hAnsi="Inter"/>
          <w:color w:val="000000" w:themeColor="text1"/>
          <w:lang w:val="en-US"/>
        </w:rPr>
        <w:t>, CFO of Erste Group.</w:t>
      </w:r>
    </w:p>
    <w:p w14:paraId="352CF69A" w14:textId="57A035E1" w:rsidR="00CB72AF" w:rsidRPr="00511906" w:rsidRDefault="00CB72AF" w:rsidP="00A23F87">
      <w:pPr>
        <w:pStyle w:val="Bezmezer"/>
        <w:spacing w:line="280" w:lineRule="exact"/>
        <w:rPr>
          <w:rFonts w:ascii="Inter" w:hAnsi="Inter"/>
          <w:sz w:val="20"/>
          <w:szCs w:val="20"/>
          <w:lang w:val="en-US"/>
        </w:rPr>
      </w:pPr>
    </w:p>
    <w:p w14:paraId="1B9BDDE2" w14:textId="77777777" w:rsidR="00B92C4F" w:rsidRPr="00511906" w:rsidRDefault="00B92C4F" w:rsidP="00A23F87">
      <w:pPr>
        <w:pStyle w:val="Bezmezer"/>
        <w:spacing w:line="280" w:lineRule="exact"/>
        <w:rPr>
          <w:rFonts w:ascii="Inter" w:hAnsi="Inter"/>
          <w:sz w:val="20"/>
          <w:szCs w:val="20"/>
          <w:lang w:val="en-US"/>
        </w:rPr>
      </w:pPr>
    </w:p>
    <w:p w14:paraId="546084CC" w14:textId="77777777" w:rsidR="00553944" w:rsidRPr="00511906" w:rsidRDefault="00553944" w:rsidP="00553944">
      <w:pPr>
        <w:pStyle w:val="Bezmezer"/>
        <w:spacing w:line="280" w:lineRule="exact"/>
        <w:rPr>
          <w:rFonts w:ascii="Inter" w:hAnsi="Inter"/>
          <w:i/>
          <w:iCs/>
          <w:sz w:val="15"/>
          <w:szCs w:val="15"/>
          <w:lang w:val="en-US"/>
        </w:rPr>
      </w:pPr>
      <w:r w:rsidRPr="00511906">
        <w:rPr>
          <w:rFonts w:ascii="Inter" w:hAnsi="Inter"/>
          <w:i/>
          <w:iCs/>
          <w:sz w:val="15"/>
          <w:szCs w:val="15"/>
          <w:lang w:val="en-US"/>
        </w:rPr>
        <w:t>Financial results from January to June 2024 are compared with those from January to June 2023 and balance sheet positions as of 30 June 2024 with those as of 31 December 2023.</w:t>
      </w:r>
    </w:p>
    <w:p w14:paraId="6C84D570" w14:textId="77777777" w:rsidR="00553944" w:rsidRDefault="00553944" w:rsidP="00A23F87">
      <w:pPr>
        <w:pStyle w:val="Bezmezer"/>
        <w:spacing w:line="280" w:lineRule="exact"/>
        <w:rPr>
          <w:rFonts w:ascii="Inter" w:hAnsi="Inter"/>
          <w:sz w:val="20"/>
          <w:szCs w:val="20"/>
          <w:lang w:val="en-US"/>
        </w:rPr>
      </w:pPr>
    </w:p>
    <w:p w14:paraId="45D3A852" w14:textId="300C8CDB" w:rsidR="005840AD" w:rsidRPr="00511906" w:rsidRDefault="005840AD" w:rsidP="00A23F87">
      <w:pPr>
        <w:pStyle w:val="Bezmezer"/>
        <w:spacing w:line="280" w:lineRule="exact"/>
        <w:rPr>
          <w:rFonts w:ascii="Inter" w:hAnsi="Inter"/>
          <w:b/>
          <w:bCs/>
          <w:sz w:val="24"/>
          <w:szCs w:val="24"/>
          <w:lang/>
        </w:rPr>
      </w:pPr>
      <w:r w:rsidRPr="00511906">
        <w:rPr>
          <w:rFonts w:ascii="Inter" w:hAnsi="Inter"/>
          <w:b/>
          <w:bCs/>
          <w:sz w:val="24"/>
          <w:szCs w:val="24"/>
          <w:lang/>
        </w:rPr>
        <w:t>Earnings rise driven by larger loan volume, favourable market interest rates</w:t>
      </w:r>
    </w:p>
    <w:p w14:paraId="0FE41D94" w14:textId="77777777" w:rsidR="005A1FC2" w:rsidRDefault="00C248D9" w:rsidP="00E015C9">
      <w:pPr>
        <w:spacing w:line="280" w:lineRule="exact"/>
        <w:rPr>
          <w:rFonts w:ascii="Inter" w:hAnsi="Inter"/>
          <w:lang w:val="en-US"/>
        </w:rPr>
      </w:pPr>
      <w:bookmarkStart w:id="0" w:name="_Hlk165301285"/>
      <w:r w:rsidRPr="00C248D9">
        <w:rPr>
          <w:rFonts w:ascii="Inter" w:hAnsi="Inter"/>
          <w:b/>
          <w:bCs/>
          <w:lang w:val="en-US"/>
        </w:rPr>
        <w:t>Net interest income</w:t>
      </w:r>
      <w:r w:rsidRPr="00C248D9">
        <w:rPr>
          <w:rFonts w:ascii="Inter" w:hAnsi="Inter"/>
          <w:lang w:val="en-US"/>
        </w:rPr>
        <w:t xml:space="preserve"> increased to EUR 3,687 million (+3.5%; EUR 3,561 million), in all core markets except Austria, on the back of higher market interest rates in the euro zone and larger loan volume. </w:t>
      </w:r>
      <w:r w:rsidRPr="00C248D9">
        <w:rPr>
          <w:rFonts w:ascii="Inter" w:hAnsi="Inter"/>
          <w:b/>
          <w:bCs/>
          <w:lang w:val="en-US"/>
        </w:rPr>
        <w:t>Net fee and commission income</w:t>
      </w:r>
      <w:r w:rsidRPr="00C248D9">
        <w:rPr>
          <w:rFonts w:ascii="Inter" w:hAnsi="Inter"/>
          <w:lang w:val="en-US"/>
        </w:rPr>
        <w:t xml:space="preserve"> rose to EUR 1,423 million (+11.6%; EUR 1,275 million). Growth was registered across all core markets, most notably in asset management and </w:t>
      </w:r>
      <w:r w:rsidRPr="00C248D9">
        <w:rPr>
          <w:rFonts w:ascii="Inter" w:hAnsi="Inter"/>
          <w:lang w:val="en-US"/>
        </w:rPr>
        <w:lastRenderedPageBreak/>
        <w:t xml:space="preserve">payment services. </w:t>
      </w:r>
      <w:r w:rsidRPr="00C248D9">
        <w:rPr>
          <w:rFonts w:ascii="Inter" w:hAnsi="Inter"/>
          <w:b/>
          <w:bCs/>
          <w:lang w:val="en-US"/>
        </w:rPr>
        <w:t>Net trading result</w:t>
      </w:r>
      <w:r w:rsidRPr="00C248D9">
        <w:rPr>
          <w:rFonts w:ascii="Inter" w:hAnsi="Inter"/>
          <w:lang w:val="en-US"/>
        </w:rPr>
        <w:t xml:space="preserve"> declined to EUR 137 million (EUR 270 million); the line item </w:t>
      </w:r>
      <w:r w:rsidRPr="00C248D9">
        <w:rPr>
          <w:rFonts w:ascii="Inter" w:hAnsi="Inter"/>
          <w:b/>
          <w:bCs/>
          <w:lang w:val="en-US"/>
        </w:rPr>
        <w:t>gains/losses from financial instruments measured at fair value through profit or loss</w:t>
      </w:r>
      <w:r w:rsidRPr="00C248D9">
        <w:rPr>
          <w:rFonts w:ascii="Inter" w:hAnsi="Inter"/>
          <w:lang w:val="en-US"/>
        </w:rPr>
        <w:t xml:space="preserve"> increased to EUR 111 million (EUR -64 million). The development of these two line items was mostly attributable to</w:t>
      </w:r>
      <w:r w:rsidRPr="00C248D9">
        <w:rPr>
          <w:rFonts w:ascii="Inter" w:hAnsi="Inter"/>
          <w:b/>
          <w:bCs/>
          <w:lang w:val="en-US"/>
        </w:rPr>
        <w:t xml:space="preserve"> </w:t>
      </w:r>
      <w:r w:rsidRPr="00C248D9">
        <w:rPr>
          <w:rFonts w:ascii="Inter" w:hAnsi="Inter"/>
          <w:lang w:val="en-US"/>
        </w:rPr>
        <w:t xml:space="preserve">valuation effects. </w:t>
      </w:r>
      <w:r w:rsidRPr="00C248D9">
        <w:rPr>
          <w:rFonts w:ascii="Inter" w:hAnsi="Inter"/>
          <w:b/>
          <w:bCs/>
          <w:lang w:val="en-US"/>
        </w:rPr>
        <w:t>Operating income</w:t>
      </w:r>
      <w:r w:rsidRPr="00C248D9">
        <w:rPr>
          <w:rFonts w:ascii="Inter" w:hAnsi="Inter"/>
          <w:lang w:val="en-US"/>
        </w:rPr>
        <w:t xml:space="preserve"> increased to EUR 5,522 million (+7.0%; EUR 5,161 million). </w:t>
      </w:r>
    </w:p>
    <w:p w14:paraId="7A480857" w14:textId="77777777" w:rsidR="005840AD" w:rsidRDefault="005840AD" w:rsidP="00E015C9">
      <w:pPr>
        <w:spacing w:line="280" w:lineRule="exact"/>
        <w:rPr>
          <w:rFonts w:ascii="Inter" w:hAnsi="Inter"/>
          <w:lang w:val="en-US"/>
        </w:rPr>
      </w:pPr>
    </w:p>
    <w:p w14:paraId="2CC81B41" w14:textId="0DED98EC" w:rsidR="005840AD" w:rsidRPr="00511906" w:rsidRDefault="000F6A09" w:rsidP="00511906">
      <w:pPr>
        <w:pStyle w:val="Bezmezer"/>
        <w:spacing w:line="280" w:lineRule="exact"/>
        <w:rPr>
          <w:rFonts w:ascii="Inter" w:hAnsi="Inter"/>
          <w:b/>
          <w:bCs/>
          <w:sz w:val="24"/>
          <w:szCs w:val="24"/>
          <w:lang/>
        </w:rPr>
      </w:pPr>
      <w:r>
        <w:rPr>
          <w:rFonts w:ascii="Inter" w:hAnsi="Inter"/>
          <w:b/>
          <w:bCs/>
          <w:sz w:val="24"/>
          <w:szCs w:val="24"/>
          <w:lang/>
        </w:rPr>
        <w:t>Operating result up 10.6% to 2.97 billion euros</w:t>
      </w:r>
    </w:p>
    <w:p w14:paraId="76C65A23" w14:textId="3D4F605A" w:rsidR="00C248D9" w:rsidRPr="00C248D9" w:rsidRDefault="00C248D9" w:rsidP="00E015C9">
      <w:pPr>
        <w:spacing w:line="280" w:lineRule="exact"/>
        <w:rPr>
          <w:rFonts w:ascii="Inter" w:hAnsi="Inter"/>
          <w:lang w:val="en-US"/>
        </w:rPr>
      </w:pPr>
      <w:r w:rsidRPr="00C248D9">
        <w:rPr>
          <w:rFonts w:ascii="Inter" w:hAnsi="Inter"/>
          <w:b/>
          <w:bCs/>
          <w:lang w:val="en-US"/>
        </w:rPr>
        <w:t>General administrative expenses</w:t>
      </w:r>
      <w:r w:rsidRPr="00C248D9">
        <w:rPr>
          <w:rFonts w:ascii="Inter" w:hAnsi="Inter"/>
          <w:lang w:val="en-US"/>
        </w:rPr>
        <w:t xml:space="preserve"> were up at EUR 2,548 million (+3.1%; EUR 2,472 million). Personnel expenses rose to EUR 1,534 million (+5.1%; EUR 1,459</w:t>
      </w:r>
      <w:r w:rsidRPr="00C248D9">
        <w:rPr>
          <w:rFonts w:ascii="Inter" w:hAnsi="Inter"/>
          <w:b/>
          <w:bCs/>
          <w:lang w:val="en-US"/>
        </w:rPr>
        <w:t xml:space="preserve"> </w:t>
      </w:r>
      <w:r w:rsidRPr="00C248D9">
        <w:rPr>
          <w:rFonts w:ascii="Inter" w:hAnsi="Inter"/>
          <w:lang w:val="en-US"/>
        </w:rPr>
        <w:t xml:space="preserve">million) driven by salary increases. Other administrative expenses were up at EUR 745 million (+0.9%; EUR 738 million). While contributions to deposit insurance schemes included in other administrative expenses – mostly already posted upfront for the full year of 2024 – declined to EUR 69 million (EUR 114 million), IT expenses increased to EUR 301 million (EUR 265 million). Amortisation and depreciation amounted to EUR 270 million (-1.9%; EUR 275 million). Overall, the </w:t>
      </w:r>
      <w:r w:rsidRPr="00C248D9">
        <w:rPr>
          <w:rFonts w:ascii="Inter" w:hAnsi="Inter"/>
          <w:b/>
          <w:bCs/>
          <w:lang w:val="en-US"/>
        </w:rPr>
        <w:t>operating result</w:t>
      </w:r>
      <w:r w:rsidRPr="00C248D9">
        <w:rPr>
          <w:rFonts w:ascii="Inter" w:hAnsi="Inter"/>
          <w:lang w:val="en-US"/>
        </w:rPr>
        <w:t xml:space="preserve"> increased markedly to EUR 2,974 million (+10.6%; EUR 2.689 million), the </w:t>
      </w:r>
      <w:r w:rsidRPr="00C248D9">
        <w:rPr>
          <w:rFonts w:ascii="Inter" w:hAnsi="Inter"/>
          <w:b/>
          <w:bCs/>
          <w:lang w:val="en-US"/>
        </w:rPr>
        <w:t>cost/income ratio</w:t>
      </w:r>
      <w:r w:rsidRPr="00C248D9">
        <w:rPr>
          <w:rFonts w:ascii="Inter" w:hAnsi="Inter"/>
          <w:lang w:val="en-US"/>
        </w:rPr>
        <w:t xml:space="preserve"> improved to 46.1% (47.9%).</w:t>
      </w:r>
    </w:p>
    <w:p w14:paraId="327CF3B1" w14:textId="77777777" w:rsidR="00C248D9" w:rsidRPr="00C248D9" w:rsidRDefault="00C248D9" w:rsidP="00E015C9">
      <w:pPr>
        <w:spacing w:line="280" w:lineRule="exact"/>
        <w:rPr>
          <w:rFonts w:ascii="Inter" w:hAnsi="Inter"/>
          <w:lang w:val="en-US"/>
        </w:rPr>
      </w:pPr>
    </w:p>
    <w:p w14:paraId="568BF32E" w14:textId="652BFD88" w:rsidR="000F6A09" w:rsidRPr="00511906" w:rsidRDefault="000F6A09" w:rsidP="00511906">
      <w:pPr>
        <w:pStyle w:val="Bezmezer"/>
        <w:spacing w:line="280" w:lineRule="exact"/>
        <w:rPr>
          <w:rFonts w:ascii="Inter" w:hAnsi="Inter"/>
          <w:b/>
          <w:bCs/>
          <w:sz w:val="24"/>
          <w:szCs w:val="24"/>
          <w:lang/>
        </w:rPr>
      </w:pPr>
      <w:r>
        <w:rPr>
          <w:rFonts w:ascii="Inter" w:hAnsi="Inter"/>
          <w:b/>
          <w:bCs/>
          <w:sz w:val="24"/>
          <w:szCs w:val="24"/>
          <w:lang/>
        </w:rPr>
        <w:t>NPL ratio remains low at 2.4%</w:t>
      </w:r>
    </w:p>
    <w:p w14:paraId="7E9D9441" w14:textId="70C007B1" w:rsidR="00C248D9" w:rsidRPr="00C248D9" w:rsidRDefault="00C248D9" w:rsidP="00E015C9">
      <w:pPr>
        <w:spacing w:line="280" w:lineRule="exact"/>
        <w:rPr>
          <w:rFonts w:ascii="Inter" w:hAnsi="Inter"/>
          <w:lang w:val="en-US"/>
        </w:rPr>
      </w:pPr>
      <w:r w:rsidRPr="00C248D9">
        <w:rPr>
          <w:rFonts w:ascii="Inter" w:hAnsi="Inter"/>
          <w:lang w:val="en-US"/>
        </w:rPr>
        <w:t xml:space="preserve">The </w:t>
      </w:r>
      <w:r w:rsidRPr="00C248D9">
        <w:rPr>
          <w:rFonts w:ascii="Inter" w:hAnsi="Inter"/>
          <w:b/>
          <w:bCs/>
          <w:lang w:val="en-US"/>
        </w:rPr>
        <w:t>impairment result from financial instruments</w:t>
      </w:r>
      <w:r w:rsidRPr="00C248D9">
        <w:rPr>
          <w:rFonts w:ascii="Inter" w:hAnsi="Inter"/>
          <w:lang w:val="en-US"/>
        </w:rPr>
        <w:t xml:space="preserve"> </w:t>
      </w:r>
      <w:r w:rsidR="00FD2BB2">
        <w:rPr>
          <w:rFonts w:ascii="Inter" w:hAnsi="Inter"/>
          <w:lang w:val="en-US"/>
        </w:rPr>
        <w:t xml:space="preserve">(“risk costs”) </w:t>
      </w:r>
      <w:r w:rsidRPr="00C248D9">
        <w:rPr>
          <w:rFonts w:ascii="Inter" w:hAnsi="Inter"/>
          <w:lang w:val="en-US"/>
        </w:rPr>
        <w:t xml:space="preserve">amounted to EUR -126 million or 12 basis points of average gross customer loans (EUR 29 million or 3 basis points). Allocations to provisions for loans and advances were posted primarily in Austria and Romania. Positive contributions came from the recovery of loans already written off, most notably in Austria. The </w:t>
      </w:r>
      <w:r w:rsidRPr="00C248D9">
        <w:rPr>
          <w:rStyle w:val="FettimText"/>
          <w:rFonts w:ascii="Inter" w:hAnsi="Inter"/>
          <w:lang w:val="en-US"/>
        </w:rPr>
        <w:t>NPL ratio</w:t>
      </w:r>
      <w:r w:rsidRPr="00C248D9">
        <w:rPr>
          <w:rFonts w:ascii="Inter" w:hAnsi="Inter"/>
          <w:lang w:val="en-US"/>
        </w:rPr>
        <w:t xml:space="preserve"> based on gross customer loans increased slightly to 2.4% (2.3%). The </w:t>
      </w:r>
      <w:r w:rsidRPr="00C248D9">
        <w:rPr>
          <w:rStyle w:val="FettimText"/>
          <w:rFonts w:ascii="Inter" w:hAnsi="Inter"/>
          <w:lang w:val="en-US"/>
        </w:rPr>
        <w:t>NPL coverage ratio</w:t>
      </w:r>
      <w:r w:rsidRPr="00C248D9">
        <w:rPr>
          <w:rFonts w:ascii="Inter" w:hAnsi="Inter"/>
          <w:lang w:val="en-US"/>
        </w:rPr>
        <w:t xml:space="preserve"> (excluding collateral) declined to 80.6% (85.1%).</w:t>
      </w:r>
    </w:p>
    <w:p w14:paraId="7E4D8256" w14:textId="77777777" w:rsidR="00C248D9" w:rsidRDefault="00C248D9" w:rsidP="00E015C9">
      <w:pPr>
        <w:spacing w:line="280" w:lineRule="exact"/>
        <w:rPr>
          <w:rFonts w:ascii="Inter" w:hAnsi="Inter"/>
          <w:lang w:val="en-US"/>
        </w:rPr>
      </w:pPr>
    </w:p>
    <w:p w14:paraId="680B28AC" w14:textId="77777777" w:rsidR="00495EFD" w:rsidRPr="00511906" w:rsidRDefault="00495EFD" w:rsidP="00511906">
      <w:pPr>
        <w:pStyle w:val="Bezmezer"/>
        <w:spacing w:line="280" w:lineRule="exact"/>
        <w:rPr>
          <w:rFonts w:ascii="Inter" w:hAnsi="Inter"/>
          <w:b/>
          <w:bCs/>
          <w:sz w:val="24"/>
          <w:szCs w:val="24"/>
          <w:lang/>
        </w:rPr>
      </w:pPr>
      <w:r w:rsidRPr="00511906">
        <w:rPr>
          <w:rFonts w:ascii="Inter" w:hAnsi="Inter"/>
          <w:b/>
          <w:bCs/>
          <w:sz w:val="24"/>
          <w:szCs w:val="24"/>
          <w:lang/>
        </w:rPr>
        <w:t>Improved bottom line performance</w:t>
      </w:r>
      <w:r>
        <w:rPr>
          <w:rFonts w:ascii="Inter" w:hAnsi="Inter"/>
          <w:b/>
          <w:bCs/>
          <w:sz w:val="24"/>
          <w:szCs w:val="24"/>
          <w:lang/>
        </w:rPr>
        <w:t xml:space="preserve"> reflects strong operating result</w:t>
      </w:r>
    </w:p>
    <w:p w14:paraId="7E8E1FB0" w14:textId="6ADE3F11" w:rsidR="00C248D9" w:rsidRPr="00C248D9" w:rsidRDefault="00C248D9" w:rsidP="00E015C9">
      <w:pPr>
        <w:spacing w:line="280" w:lineRule="exact"/>
        <w:rPr>
          <w:rFonts w:ascii="Inter" w:hAnsi="Inter"/>
          <w:lang w:val="en-US"/>
        </w:rPr>
      </w:pPr>
      <w:r w:rsidRPr="00C248D9">
        <w:rPr>
          <w:rFonts w:ascii="Inter" w:hAnsi="Inter"/>
          <w:b/>
          <w:bCs/>
          <w:lang w:val="en-US"/>
        </w:rPr>
        <w:t>Other operating result</w:t>
      </w:r>
      <w:r w:rsidRPr="00C248D9">
        <w:rPr>
          <w:rFonts w:ascii="Inter" w:hAnsi="Inter"/>
          <w:lang w:val="en-US"/>
        </w:rPr>
        <w:t xml:space="preserve"> amounted to EUR -254 million (EUR -283 million). This includes an allocation in the amount of EUR 90 million to a provision relating to the interbank exemption pursuant to Art 6 sec 1 subsec 28 (2</w:t>
      </w:r>
      <w:r w:rsidRPr="00C248D9">
        <w:rPr>
          <w:rFonts w:ascii="Inter" w:hAnsi="Inter"/>
          <w:vertAlign w:val="superscript"/>
          <w:lang w:val="en-US"/>
        </w:rPr>
        <w:t>nd</w:t>
      </w:r>
      <w:r w:rsidRPr="00C248D9">
        <w:rPr>
          <w:rFonts w:ascii="Inter" w:hAnsi="Inter"/>
          <w:lang w:val="en-US"/>
        </w:rPr>
        <w:t xml:space="preserve"> sentence) Austrian VAT Act. This exemption might be classified by the European Court of Justice </w:t>
      </w:r>
      <w:r w:rsidR="00FD2BB2">
        <w:rPr>
          <w:rFonts w:ascii="Inter" w:hAnsi="Inter"/>
          <w:lang w:val="en-US"/>
        </w:rPr>
        <w:t>or the EU Co</w:t>
      </w:r>
      <w:r w:rsidR="00D2011A">
        <w:rPr>
          <w:rFonts w:ascii="Inter" w:hAnsi="Inter"/>
          <w:lang w:val="en-US"/>
        </w:rPr>
        <w:t>m</w:t>
      </w:r>
      <w:r w:rsidR="00FD2BB2">
        <w:rPr>
          <w:rFonts w:ascii="Inter" w:hAnsi="Inter"/>
          <w:lang w:val="en-US"/>
        </w:rPr>
        <w:t xml:space="preserve">mission </w:t>
      </w:r>
      <w:r w:rsidRPr="00C248D9">
        <w:rPr>
          <w:rFonts w:ascii="Inter" w:hAnsi="Inter"/>
          <w:lang w:val="en-US"/>
        </w:rPr>
        <w:t>as aid that is not compatible with EU law and might therefore have to be refunded. Expenses for annual contributions to resolution funds included in this line item already for the full year of 2024 declined significantly to EUR 28 million (EUR 114 million), as no regular annual contributions will be collected in the euro zone in 2024. Banking levies are currently payable in four core markets. EUR 134 million (EUR 121 million) are reflected in other operating result: thereof, EUR 96 million (EUR 101 million) were charged in Hungary. In Austria, banking tax equaled EUR 20 million (EUR 20 million), in Romania EUR 18 million (newly introduced in 2024). The banking tax in Slovakia of EUR 46 million is posted in the line item taxes on income.</w:t>
      </w:r>
    </w:p>
    <w:p w14:paraId="2D62AC48" w14:textId="77777777" w:rsidR="00C248D9" w:rsidRDefault="00C248D9" w:rsidP="00E015C9">
      <w:pPr>
        <w:spacing w:line="280" w:lineRule="exact"/>
        <w:rPr>
          <w:rFonts w:ascii="Inter" w:hAnsi="Inter"/>
          <w:lang w:val="en-US"/>
        </w:rPr>
      </w:pPr>
    </w:p>
    <w:p w14:paraId="3D781E0C" w14:textId="65F1971A" w:rsidR="00C248D9" w:rsidRPr="00C248D9" w:rsidRDefault="00C248D9" w:rsidP="00E015C9">
      <w:pPr>
        <w:spacing w:line="280" w:lineRule="exact"/>
        <w:rPr>
          <w:rFonts w:ascii="Inter" w:hAnsi="Inter"/>
          <w:lang w:val="en-US"/>
        </w:rPr>
      </w:pPr>
      <w:r w:rsidRPr="00C248D9">
        <w:rPr>
          <w:rFonts w:ascii="Inter" w:hAnsi="Inter"/>
          <w:b/>
          <w:bCs/>
          <w:lang w:val="en-US"/>
        </w:rPr>
        <w:t>Taxes on income</w:t>
      </w:r>
      <w:r w:rsidRPr="00C248D9">
        <w:rPr>
          <w:rFonts w:ascii="Inter" w:hAnsi="Inter"/>
          <w:lang w:val="en-US"/>
        </w:rPr>
        <w:t xml:space="preserve"> amounted to EUR 531 million (EUR 439 million). The decline in the minority charge to EUR 431 million (EUR 508 million) was attributable to lower contributions from the savings banks. </w:t>
      </w:r>
      <w:r w:rsidRPr="00C248D9">
        <w:rPr>
          <w:rFonts w:ascii="Inter" w:hAnsi="Inter"/>
          <w:b/>
          <w:bCs/>
          <w:lang w:val="en-US"/>
        </w:rPr>
        <w:t>The net result attributable to owners of the parent</w:t>
      </w:r>
      <w:r w:rsidRPr="00C248D9">
        <w:rPr>
          <w:rFonts w:ascii="Inter" w:hAnsi="Inter"/>
          <w:lang w:val="en-US"/>
        </w:rPr>
        <w:t xml:space="preserve"> </w:t>
      </w:r>
      <w:r w:rsidR="006B3960">
        <w:rPr>
          <w:rFonts w:ascii="Inter" w:hAnsi="Inter"/>
          <w:lang w:val="en-US"/>
        </w:rPr>
        <w:t xml:space="preserve">(“net profit”) </w:t>
      </w:r>
      <w:r w:rsidRPr="00C248D9">
        <w:rPr>
          <w:rFonts w:ascii="Inter" w:hAnsi="Inter"/>
          <w:lang w:val="en-US"/>
        </w:rPr>
        <w:t>rose to EUR 1,629 million (EUR 1,490 million) on the back of the strong operating result and improved other operating result.</w:t>
      </w:r>
    </w:p>
    <w:p w14:paraId="44258EAC" w14:textId="77777777" w:rsidR="00C248D9" w:rsidRPr="00C248D9" w:rsidRDefault="00C248D9" w:rsidP="00E015C9">
      <w:pPr>
        <w:spacing w:line="280" w:lineRule="exact"/>
        <w:rPr>
          <w:rFonts w:ascii="Inter" w:hAnsi="Inter"/>
          <w:highlight w:val="yellow"/>
          <w:lang w:val="en-US"/>
        </w:rPr>
      </w:pPr>
    </w:p>
    <w:p w14:paraId="682EBE94" w14:textId="1A2DE8D3" w:rsidR="00A37363" w:rsidRPr="00511906" w:rsidRDefault="002D7FCF" w:rsidP="00511906">
      <w:pPr>
        <w:pStyle w:val="Bezmezer"/>
        <w:spacing w:line="280" w:lineRule="exact"/>
        <w:rPr>
          <w:rFonts w:ascii="Inter" w:hAnsi="Inter"/>
          <w:b/>
          <w:bCs/>
          <w:sz w:val="24"/>
          <w:szCs w:val="24"/>
          <w:lang/>
        </w:rPr>
      </w:pPr>
      <w:r>
        <w:rPr>
          <w:rFonts w:ascii="Inter" w:hAnsi="Inter"/>
          <w:b/>
          <w:bCs/>
          <w:sz w:val="24"/>
          <w:szCs w:val="24"/>
          <w:lang/>
        </w:rPr>
        <w:t>Modest rises in lending and deposit volumes</w:t>
      </w:r>
    </w:p>
    <w:p w14:paraId="6FDF2DEE" w14:textId="7C08749C" w:rsidR="00C248D9" w:rsidRPr="00C248D9" w:rsidRDefault="00C248D9" w:rsidP="00E015C9">
      <w:pPr>
        <w:spacing w:line="280" w:lineRule="exact"/>
        <w:rPr>
          <w:rFonts w:ascii="Inter" w:hAnsi="Inter"/>
          <w:highlight w:val="yellow"/>
          <w:lang w:val="en-US"/>
        </w:rPr>
      </w:pPr>
      <w:r w:rsidRPr="00C248D9">
        <w:rPr>
          <w:rStyle w:val="FettimText"/>
          <w:rFonts w:ascii="Inter" w:hAnsi="Inter"/>
          <w:lang w:val="en-US"/>
        </w:rPr>
        <w:lastRenderedPageBreak/>
        <w:t>Total equity</w:t>
      </w:r>
      <w:r w:rsidRPr="00C248D9">
        <w:rPr>
          <w:rFonts w:ascii="Inter" w:hAnsi="Inter"/>
          <w:lang w:val="en-US"/>
        </w:rPr>
        <w:t xml:space="preserve"> not including AT1 instruments rose to EUR 26.3 billion (EUR 26.1 billion). After regulatory deductions and filtering in accordance with the Capital Requirements Regulation (CRR), </w:t>
      </w:r>
      <w:r w:rsidRPr="00C248D9">
        <w:rPr>
          <w:rStyle w:val="FettimText"/>
          <w:rFonts w:ascii="Inter" w:hAnsi="Inter"/>
          <w:lang w:val="en-US"/>
        </w:rPr>
        <w:t>common equity tier 1 capital</w:t>
      </w:r>
      <w:r w:rsidRPr="00C248D9">
        <w:rPr>
          <w:rFonts w:ascii="Inter" w:hAnsi="Inter"/>
          <w:lang w:val="en-US"/>
        </w:rPr>
        <w:t xml:space="preserve"> (CET1, final) </w:t>
      </w:r>
      <w:r w:rsidRPr="00371542">
        <w:rPr>
          <w:rFonts w:ascii="Inter" w:hAnsi="Inter"/>
          <w:lang w:val="en-US"/>
        </w:rPr>
        <w:t>equalled EUR 23.7 billion (EUR</w:t>
      </w:r>
      <w:r w:rsidRPr="00C248D9">
        <w:rPr>
          <w:rFonts w:ascii="Inter" w:hAnsi="Inter"/>
          <w:lang w:val="en-US"/>
        </w:rPr>
        <w:t xml:space="preserve"> 22.9 billion), total </w:t>
      </w:r>
      <w:r w:rsidRPr="00C248D9">
        <w:rPr>
          <w:rStyle w:val="FettimText"/>
          <w:rFonts w:ascii="Inter" w:hAnsi="Inter"/>
          <w:lang w:val="en-US"/>
        </w:rPr>
        <w:t>own funds</w:t>
      </w:r>
      <w:r w:rsidRPr="00C248D9">
        <w:rPr>
          <w:rFonts w:ascii="Inter" w:hAnsi="Inter"/>
          <w:lang w:val="en-US"/>
        </w:rPr>
        <w:t xml:space="preserve"> (final</w:t>
      </w:r>
      <w:r w:rsidRPr="00371542">
        <w:rPr>
          <w:rFonts w:ascii="Inter" w:hAnsi="Inter"/>
          <w:lang w:val="en-US"/>
        </w:rPr>
        <w:t>) EUR 30.</w:t>
      </w:r>
      <w:r w:rsidR="00657BA2" w:rsidRPr="00371542">
        <w:rPr>
          <w:rFonts w:ascii="Inter" w:hAnsi="Inter"/>
          <w:lang w:val="en-US"/>
        </w:rPr>
        <w:t xml:space="preserve">1 </w:t>
      </w:r>
      <w:r w:rsidRPr="00371542">
        <w:rPr>
          <w:rFonts w:ascii="Inter" w:hAnsi="Inter"/>
          <w:lang w:val="en-US"/>
        </w:rPr>
        <w:t>billion (EUR</w:t>
      </w:r>
      <w:r w:rsidRPr="00C248D9">
        <w:rPr>
          <w:rFonts w:ascii="Inter" w:hAnsi="Inter"/>
          <w:lang w:val="en-US"/>
        </w:rPr>
        <w:t xml:space="preserve"> 29.1 billion). Interim profit for the first half of the year is included in the above figures. Total risk (</w:t>
      </w:r>
      <w:r w:rsidRPr="00C248D9">
        <w:rPr>
          <w:rStyle w:val="FettimText"/>
          <w:rFonts w:ascii="Inter" w:hAnsi="Inter"/>
          <w:lang w:val="en-US"/>
        </w:rPr>
        <w:t>risk-weighted assets</w:t>
      </w:r>
      <w:r w:rsidRPr="00C248D9">
        <w:rPr>
          <w:rFonts w:ascii="Inter" w:hAnsi="Inter"/>
          <w:lang w:val="en-US"/>
        </w:rPr>
        <w:t xml:space="preserve"> including credit, market and operational risk, </w:t>
      </w:r>
      <w:r w:rsidRPr="00F56F60">
        <w:rPr>
          <w:rFonts w:ascii="Inter" w:hAnsi="Inter"/>
          <w:lang w:val="en-US"/>
        </w:rPr>
        <w:t>CRR final) rose to EUR 153.2 billion</w:t>
      </w:r>
      <w:r w:rsidRPr="00C248D9">
        <w:rPr>
          <w:rFonts w:ascii="Inter" w:hAnsi="Inter"/>
          <w:lang w:val="en-US"/>
        </w:rPr>
        <w:t xml:space="preserve"> (EUR 146.5 billion). The </w:t>
      </w:r>
      <w:r w:rsidRPr="00C248D9">
        <w:rPr>
          <w:rStyle w:val="FettimText"/>
          <w:rFonts w:ascii="Inter" w:hAnsi="Inter"/>
          <w:lang w:val="en-US"/>
        </w:rPr>
        <w:t>common equity tier 1 ratio</w:t>
      </w:r>
      <w:r w:rsidRPr="00C248D9">
        <w:rPr>
          <w:rFonts w:ascii="Inter" w:hAnsi="Inter"/>
          <w:lang w:val="en-US"/>
        </w:rPr>
        <w:t xml:space="preserve"> (CET1, final</w:t>
      </w:r>
      <w:r w:rsidRPr="00A54412">
        <w:rPr>
          <w:rFonts w:ascii="Inter" w:hAnsi="Inter"/>
          <w:lang w:val="en-US"/>
        </w:rPr>
        <w:t>) stood at 15.</w:t>
      </w:r>
      <w:r w:rsidR="00F46438" w:rsidRPr="00A54412">
        <w:rPr>
          <w:rFonts w:ascii="Inter" w:hAnsi="Inter"/>
          <w:lang w:val="en-US"/>
        </w:rPr>
        <w:t>5</w:t>
      </w:r>
      <w:r w:rsidRPr="00A54412">
        <w:rPr>
          <w:rFonts w:ascii="Inter" w:hAnsi="Inter"/>
          <w:lang w:val="en-US"/>
        </w:rPr>
        <w:t xml:space="preserve">% (15.7%), the </w:t>
      </w:r>
      <w:r w:rsidRPr="00A54412">
        <w:rPr>
          <w:rStyle w:val="FettimText"/>
          <w:rFonts w:ascii="Inter" w:hAnsi="Inter"/>
          <w:lang w:val="en-US"/>
        </w:rPr>
        <w:t>total capital ratio</w:t>
      </w:r>
      <w:r w:rsidRPr="00A54412">
        <w:rPr>
          <w:rFonts w:ascii="Inter" w:hAnsi="Inter"/>
          <w:lang w:val="en-US"/>
        </w:rPr>
        <w:t xml:space="preserve"> at 19.6% </w:t>
      </w:r>
      <w:r w:rsidRPr="00C248D9">
        <w:rPr>
          <w:rFonts w:ascii="Inter" w:hAnsi="Inter"/>
          <w:lang w:val="en-US"/>
        </w:rPr>
        <w:t>(19.9%).</w:t>
      </w:r>
    </w:p>
    <w:p w14:paraId="5FF1EE4F" w14:textId="77777777" w:rsidR="00C248D9" w:rsidRPr="00C248D9" w:rsidRDefault="00C248D9" w:rsidP="00E015C9">
      <w:pPr>
        <w:spacing w:line="280" w:lineRule="exact"/>
        <w:rPr>
          <w:rFonts w:ascii="Inter" w:hAnsi="Inter"/>
          <w:highlight w:val="yellow"/>
          <w:lang w:val="en-US"/>
        </w:rPr>
      </w:pPr>
    </w:p>
    <w:bookmarkEnd w:id="0"/>
    <w:p w14:paraId="5F502749" w14:textId="77777777" w:rsidR="00C248D9" w:rsidRPr="00C248D9" w:rsidRDefault="00C248D9" w:rsidP="00E015C9">
      <w:pPr>
        <w:spacing w:line="280" w:lineRule="exact"/>
        <w:rPr>
          <w:rFonts w:ascii="Inter" w:hAnsi="Inter"/>
          <w:lang w:val="en-US"/>
        </w:rPr>
      </w:pPr>
      <w:r w:rsidRPr="00C248D9">
        <w:rPr>
          <w:rFonts w:ascii="Inter" w:hAnsi="Inter"/>
          <w:b/>
          <w:bCs/>
          <w:lang w:val="en-US"/>
        </w:rPr>
        <w:t>Total assets</w:t>
      </w:r>
      <w:r w:rsidRPr="00C248D9">
        <w:rPr>
          <w:rFonts w:ascii="Inter" w:hAnsi="Inter"/>
          <w:lang w:val="en-US"/>
        </w:rPr>
        <w:t xml:space="preserve"> increased to EUR 344.1 billion (+2.1%; EUR 337.2 billion). On the asset side, cash and cash balances declined to EUR 26.2 billion (EUR 36.7 billion); loans and advances to banks rose – most notably in Austria and the Czech Republic – to EUR 35.0 billion (EUR 21.4 billion). </w:t>
      </w:r>
      <w:r w:rsidRPr="00C248D9">
        <w:rPr>
          <w:rFonts w:ascii="Inter" w:hAnsi="Inter"/>
          <w:b/>
          <w:bCs/>
          <w:lang w:val="en-US"/>
        </w:rPr>
        <w:t>Loans and advances to customers</w:t>
      </w:r>
      <w:r w:rsidRPr="00C248D9">
        <w:rPr>
          <w:rFonts w:ascii="Inter" w:hAnsi="Inter"/>
          <w:lang w:val="en-US"/>
        </w:rPr>
        <w:t xml:space="preserve"> were higher at EUR 211.3 billion (+1.7%; EUR 207.8 billion). On the liability side, deposits from banks declined to EUR 17.5 billion (EUR 22.9 billion). </w:t>
      </w:r>
      <w:r w:rsidRPr="00C248D9">
        <w:rPr>
          <w:rFonts w:ascii="Inter" w:hAnsi="Inter"/>
          <w:b/>
          <w:bCs/>
          <w:lang w:val="en-US"/>
        </w:rPr>
        <w:t>Customer deposits</w:t>
      </w:r>
      <w:r w:rsidRPr="00C248D9">
        <w:rPr>
          <w:rFonts w:ascii="Inter" w:hAnsi="Inter"/>
          <w:lang w:val="en-US"/>
        </w:rPr>
        <w:t xml:space="preserve"> rose – most strongly in the Czech Republic and Austria – to EUR 240.2 billion (+3.2%; EUR 232.8 billion). </w:t>
      </w:r>
      <w:r w:rsidRPr="00C248D9">
        <w:rPr>
          <w:rFonts w:ascii="Inter" w:hAnsi="Inter"/>
          <w:b/>
          <w:bCs/>
          <w:lang w:val="en-US"/>
        </w:rPr>
        <w:t>The loan-to-deposit ratio</w:t>
      </w:r>
      <w:r w:rsidRPr="00C248D9">
        <w:rPr>
          <w:rFonts w:ascii="Inter" w:hAnsi="Inter"/>
          <w:lang w:val="en-US"/>
        </w:rPr>
        <w:t xml:space="preserve"> stood at 87.9% (89.3%).</w:t>
      </w:r>
    </w:p>
    <w:p w14:paraId="7AC59488" w14:textId="21000C83" w:rsidR="00A23F87" w:rsidRPr="00A85FA9" w:rsidRDefault="00A23F87" w:rsidP="00A23F87">
      <w:pPr>
        <w:pStyle w:val="Bezmezer"/>
        <w:spacing w:line="280" w:lineRule="exact"/>
        <w:rPr>
          <w:rFonts w:ascii="Inter" w:hAnsi="Inter"/>
          <w:sz w:val="20"/>
          <w:szCs w:val="20"/>
          <w:lang w:val="en-US"/>
        </w:rPr>
      </w:pPr>
    </w:p>
    <w:p w14:paraId="08E02670" w14:textId="47B28CFE" w:rsidR="00A23F87" w:rsidRPr="00A85FA9" w:rsidRDefault="00A23F87" w:rsidP="00A23F87">
      <w:pPr>
        <w:pStyle w:val="Bezmezer"/>
        <w:spacing w:line="280" w:lineRule="exact"/>
        <w:rPr>
          <w:rFonts w:ascii="Inter" w:hAnsi="Inter"/>
          <w:sz w:val="20"/>
          <w:szCs w:val="20"/>
          <w:lang w:val="en-US"/>
        </w:rPr>
      </w:pPr>
    </w:p>
    <w:p w14:paraId="1A2F41EC" w14:textId="111E670C" w:rsidR="00A23F87" w:rsidRPr="00511906" w:rsidRDefault="00113A78" w:rsidP="00A23F87">
      <w:pPr>
        <w:pStyle w:val="Nadpis4"/>
        <w:rPr>
          <w:rFonts w:ascii="Inter" w:hAnsi="Inter"/>
          <w:color w:val="auto"/>
          <w:lang w:val="en-US"/>
        </w:rPr>
      </w:pPr>
      <w:r w:rsidRPr="00511906">
        <w:rPr>
          <w:rFonts w:ascii="Inter" w:hAnsi="Inter"/>
          <w:color w:val="auto"/>
          <w:lang w:val="en-US"/>
        </w:rPr>
        <w:t>Outlook</w:t>
      </w:r>
      <w:r w:rsidR="00D9183B" w:rsidRPr="00511906">
        <w:rPr>
          <w:rFonts w:ascii="Inter" w:hAnsi="Inter"/>
          <w:color w:val="auto"/>
          <w:lang w:val="en-US"/>
        </w:rPr>
        <w:t xml:space="preserve"> for 2024</w:t>
      </w:r>
    </w:p>
    <w:p w14:paraId="666BDADE" w14:textId="3D25E6FC" w:rsidR="00B03F1E" w:rsidRPr="00511906" w:rsidRDefault="00B03F1E" w:rsidP="00B03F1E">
      <w:pPr>
        <w:pStyle w:val="Bezmezer"/>
        <w:spacing w:line="280" w:lineRule="exact"/>
        <w:rPr>
          <w:rFonts w:ascii="Inter" w:hAnsi="Inter"/>
          <w:sz w:val="20"/>
          <w:szCs w:val="20"/>
          <w:lang w:val="en-US"/>
        </w:rPr>
      </w:pPr>
      <w:r w:rsidRPr="00511906">
        <w:rPr>
          <w:rFonts w:ascii="Inter" w:hAnsi="Inter"/>
          <w:sz w:val="20"/>
          <w:szCs w:val="20"/>
          <w:lang w:val="en-US"/>
        </w:rPr>
        <w:t xml:space="preserve">Following the good business development in the first half of the year, Erste Group </w:t>
      </w:r>
      <w:r w:rsidRPr="00511906">
        <w:rPr>
          <w:rFonts w:ascii="Inter" w:hAnsi="Inter"/>
          <w:b/>
          <w:bCs/>
          <w:sz w:val="20"/>
          <w:szCs w:val="20"/>
          <w:lang w:val="en-US"/>
        </w:rPr>
        <w:t>upgrades the outlook</w:t>
      </w:r>
      <w:r w:rsidRPr="00511906">
        <w:rPr>
          <w:rFonts w:ascii="Inter" w:hAnsi="Inter"/>
          <w:sz w:val="20"/>
          <w:szCs w:val="20"/>
          <w:lang w:val="en-US"/>
        </w:rPr>
        <w:t xml:space="preserve">. Erste Group now expects to achieve a </w:t>
      </w:r>
      <w:r w:rsidRPr="00511906">
        <w:rPr>
          <w:rFonts w:ascii="Inter" w:hAnsi="Inter"/>
          <w:b/>
          <w:bCs/>
          <w:sz w:val="20"/>
          <w:szCs w:val="20"/>
          <w:lang w:val="en-US"/>
        </w:rPr>
        <w:t>return on tangible equity (ROTE) of more than 15%</w:t>
      </w:r>
      <w:r w:rsidRPr="00511906">
        <w:rPr>
          <w:rFonts w:ascii="Inter" w:hAnsi="Inter"/>
          <w:sz w:val="20"/>
          <w:szCs w:val="20"/>
          <w:lang w:val="en-US"/>
        </w:rPr>
        <w:t xml:space="preserve"> in 2024</w:t>
      </w:r>
      <w:r w:rsidR="00636FC3" w:rsidRPr="00511906">
        <w:rPr>
          <w:rFonts w:ascii="Inter" w:hAnsi="Inter"/>
          <w:sz w:val="20"/>
          <w:szCs w:val="20"/>
          <w:lang w:val="en-US"/>
        </w:rPr>
        <w:t>,</w:t>
      </w:r>
      <w:r w:rsidRPr="00511906">
        <w:rPr>
          <w:rFonts w:ascii="Inter" w:hAnsi="Inter"/>
          <w:sz w:val="20"/>
          <w:szCs w:val="20"/>
          <w:lang w:val="en-US"/>
        </w:rPr>
        <w:t xml:space="preserve"> a by and large </w:t>
      </w:r>
      <w:r w:rsidRPr="00511906">
        <w:rPr>
          <w:rFonts w:ascii="Inter" w:hAnsi="Inter"/>
          <w:b/>
          <w:bCs/>
          <w:sz w:val="20"/>
          <w:szCs w:val="20"/>
          <w:lang w:val="en-US"/>
        </w:rPr>
        <w:t>stable operating result</w:t>
      </w:r>
      <w:r w:rsidR="00073981" w:rsidRPr="00511906">
        <w:rPr>
          <w:rFonts w:ascii="Inter" w:hAnsi="Inter"/>
          <w:sz w:val="20"/>
          <w:szCs w:val="20"/>
          <w:lang w:val="en-US"/>
        </w:rPr>
        <w:t>,</w:t>
      </w:r>
      <w:r w:rsidRPr="00511906">
        <w:rPr>
          <w:rFonts w:ascii="Inter" w:hAnsi="Inter"/>
          <w:sz w:val="20"/>
          <w:szCs w:val="20"/>
          <w:lang w:val="en-US"/>
        </w:rPr>
        <w:t xml:space="preserve"> and consequently, again a </w:t>
      </w:r>
      <w:r w:rsidRPr="00511906">
        <w:rPr>
          <w:rFonts w:ascii="Inter" w:hAnsi="Inter"/>
          <w:b/>
          <w:bCs/>
          <w:sz w:val="20"/>
          <w:szCs w:val="20"/>
          <w:lang w:val="en-US"/>
        </w:rPr>
        <w:t>cost/income ratio below 50%</w:t>
      </w:r>
      <w:r w:rsidRPr="00511906">
        <w:rPr>
          <w:rFonts w:ascii="Inter" w:hAnsi="Inter"/>
          <w:sz w:val="20"/>
          <w:szCs w:val="20"/>
          <w:lang w:val="en-US"/>
        </w:rPr>
        <w:t>.</w:t>
      </w:r>
    </w:p>
    <w:p w14:paraId="52B86012" w14:textId="77777777" w:rsidR="00B03F1E" w:rsidRPr="00511906" w:rsidRDefault="00B03F1E" w:rsidP="00B03F1E">
      <w:pPr>
        <w:pStyle w:val="Bezmezer"/>
        <w:spacing w:line="280" w:lineRule="exact"/>
        <w:rPr>
          <w:rFonts w:ascii="Inter" w:hAnsi="Inter"/>
          <w:sz w:val="20"/>
          <w:szCs w:val="20"/>
          <w:lang w:val="en-US"/>
        </w:rPr>
      </w:pPr>
    </w:p>
    <w:p w14:paraId="064A8230" w14:textId="77777777" w:rsidR="00B03F1E" w:rsidRPr="00511906" w:rsidRDefault="00B03F1E" w:rsidP="00B03F1E">
      <w:pPr>
        <w:pStyle w:val="Bezmezer"/>
        <w:spacing w:line="280" w:lineRule="exact"/>
        <w:rPr>
          <w:rFonts w:ascii="Inter" w:hAnsi="Inter"/>
          <w:sz w:val="20"/>
          <w:szCs w:val="20"/>
          <w:lang w:val="en-US"/>
        </w:rPr>
      </w:pPr>
      <w:r w:rsidRPr="00511906">
        <w:rPr>
          <w:rFonts w:ascii="Inter" w:hAnsi="Inter"/>
          <w:sz w:val="20"/>
          <w:szCs w:val="20"/>
          <w:lang w:val="en-US"/>
        </w:rPr>
        <w:t xml:space="preserve">The expectation by economists is for Erste Group’s core markets to post </w:t>
      </w:r>
      <w:r w:rsidRPr="00511906">
        <w:rPr>
          <w:rFonts w:ascii="Inter" w:hAnsi="Inter"/>
          <w:b/>
          <w:bCs/>
          <w:sz w:val="20"/>
          <w:szCs w:val="20"/>
          <w:lang w:val="en-US"/>
        </w:rPr>
        <w:t>improved real GDP growth</w:t>
      </w:r>
      <w:r w:rsidRPr="00511906">
        <w:rPr>
          <w:rFonts w:ascii="Inter" w:hAnsi="Inter"/>
          <w:sz w:val="20"/>
          <w:szCs w:val="20"/>
          <w:lang w:val="en-US"/>
        </w:rPr>
        <w:t xml:space="preserve"> in 2024. </w:t>
      </w:r>
      <w:r w:rsidRPr="00511906">
        <w:rPr>
          <w:rFonts w:ascii="Inter" w:hAnsi="Inter"/>
          <w:b/>
          <w:bCs/>
          <w:sz w:val="20"/>
          <w:szCs w:val="20"/>
          <w:lang w:val="en-US"/>
        </w:rPr>
        <w:t>Inflationary pressures</w:t>
      </w:r>
      <w:r w:rsidRPr="00511906">
        <w:rPr>
          <w:rFonts w:ascii="Inter" w:hAnsi="Inter"/>
          <w:sz w:val="20"/>
          <w:szCs w:val="20"/>
          <w:lang w:val="en-US"/>
        </w:rPr>
        <w:t xml:space="preserve"> are expected to </w:t>
      </w:r>
      <w:r w:rsidRPr="00511906">
        <w:rPr>
          <w:rFonts w:ascii="Inter" w:hAnsi="Inter"/>
          <w:b/>
          <w:bCs/>
          <w:sz w:val="20"/>
          <w:szCs w:val="20"/>
          <w:lang w:val="en-US"/>
        </w:rPr>
        <w:t>continue their downward trend</w:t>
      </w:r>
      <w:r w:rsidRPr="00511906">
        <w:rPr>
          <w:rFonts w:ascii="Inter" w:hAnsi="Inter"/>
          <w:sz w:val="20"/>
          <w:szCs w:val="20"/>
          <w:lang w:val="en-US"/>
        </w:rPr>
        <w:t xml:space="preserve"> in 2024. </w:t>
      </w:r>
      <w:r w:rsidRPr="00511906">
        <w:rPr>
          <w:rFonts w:ascii="Inter" w:hAnsi="Inter"/>
          <w:b/>
          <w:bCs/>
          <w:sz w:val="20"/>
          <w:szCs w:val="20"/>
          <w:lang w:val="en-US"/>
        </w:rPr>
        <w:t xml:space="preserve">Continued strong </w:t>
      </w:r>
      <w:proofErr w:type="spellStart"/>
      <w:r w:rsidRPr="00511906">
        <w:rPr>
          <w:rFonts w:ascii="Inter" w:hAnsi="Inter"/>
          <w:b/>
          <w:bCs/>
          <w:sz w:val="20"/>
          <w:szCs w:val="20"/>
          <w:lang w:val="en-US"/>
        </w:rPr>
        <w:t>labour</w:t>
      </w:r>
      <w:proofErr w:type="spellEnd"/>
      <w:r w:rsidRPr="00511906">
        <w:rPr>
          <w:rFonts w:ascii="Inter" w:hAnsi="Inter"/>
          <w:b/>
          <w:bCs/>
          <w:sz w:val="20"/>
          <w:szCs w:val="20"/>
          <w:lang w:val="en-US"/>
        </w:rPr>
        <w:t xml:space="preserve"> markets</w:t>
      </w:r>
      <w:r w:rsidRPr="00511906">
        <w:rPr>
          <w:rFonts w:ascii="Inter" w:hAnsi="Inter"/>
          <w:sz w:val="20"/>
          <w:szCs w:val="20"/>
          <w:lang w:val="en-US"/>
        </w:rPr>
        <w:t xml:space="preserve"> should be supportive of economic performance in </w:t>
      </w:r>
      <w:proofErr w:type="gramStart"/>
      <w:r w:rsidRPr="00511906">
        <w:rPr>
          <w:rFonts w:ascii="Inter" w:hAnsi="Inter"/>
          <w:sz w:val="20"/>
          <w:szCs w:val="20"/>
          <w:lang w:val="en-US"/>
        </w:rPr>
        <w:t>all of</w:t>
      </w:r>
      <w:proofErr w:type="gramEnd"/>
      <w:r w:rsidRPr="00511906">
        <w:rPr>
          <w:rFonts w:ascii="Inter" w:hAnsi="Inter"/>
          <w:sz w:val="20"/>
          <w:szCs w:val="20"/>
          <w:lang w:val="en-US"/>
        </w:rPr>
        <w:t xml:space="preserve"> Erste Group’s markets. Current account balances are projected to remain at sustainable levels in most countries, while fiscal deficits should continue their path of consolidation. </w:t>
      </w:r>
      <w:r w:rsidRPr="00511906">
        <w:rPr>
          <w:rFonts w:ascii="Inter" w:hAnsi="Inter"/>
          <w:b/>
          <w:bCs/>
          <w:sz w:val="20"/>
          <w:szCs w:val="20"/>
          <w:lang w:val="en-US"/>
        </w:rPr>
        <w:t>Public debt to GDP</w:t>
      </w:r>
      <w:r w:rsidRPr="00511906">
        <w:rPr>
          <w:rFonts w:ascii="Inter" w:hAnsi="Inter"/>
          <w:sz w:val="20"/>
          <w:szCs w:val="20"/>
          <w:lang w:val="en-US"/>
        </w:rPr>
        <w:t xml:space="preserve"> in all Erste Group markets is projected to be broadly stable, and hence remain materially below the euro zone average.</w:t>
      </w:r>
    </w:p>
    <w:p w14:paraId="73711146" w14:textId="77777777" w:rsidR="00B03F1E" w:rsidRPr="00511906" w:rsidRDefault="00B03F1E" w:rsidP="00B03F1E">
      <w:pPr>
        <w:pStyle w:val="Bezmezer"/>
        <w:spacing w:line="280" w:lineRule="exact"/>
        <w:rPr>
          <w:rFonts w:ascii="Inter" w:hAnsi="Inter"/>
          <w:sz w:val="20"/>
          <w:szCs w:val="20"/>
          <w:lang w:val="en-US"/>
        </w:rPr>
      </w:pPr>
    </w:p>
    <w:p w14:paraId="1226A145" w14:textId="2C791BC5" w:rsidR="00B03F1E" w:rsidRPr="00511906" w:rsidRDefault="00B03F1E" w:rsidP="00B03F1E">
      <w:pPr>
        <w:pStyle w:val="Bezmezer"/>
        <w:spacing w:line="280" w:lineRule="exact"/>
        <w:rPr>
          <w:rFonts w:ascii="Inter" w:hAnsi="Inter"/>
          <w:sz w:val="20"/>
          <w:szCs w:val="20"/>
          <w:lang w:val="en-US"/>
        </w:rPr>
      </w:pPr>
      <w:r w:rsidRPr="00511906">
        <w:rPr>
          <w:rFonts w:ascii="Inter" w:hAnsi="Inter"/>
          <w:sz w:val="20"/>
          <w:szCs w:val="20"/>
          <w:lang w:val="en-US"/>
        </w:rPr>
        <w:t xml:space="preserve">Against this economic backdrop, Erste Group expects </w:t>
      </w:r>
      <w:r w:rsidRPr="00511906">
        <w:rPr>
          <w:rFonts w:ascii="Inter" w:hAnsi="Inter"/>
          <w:b/>
          <w:bCs/>
          <w:sz w:val="20"/>
          <w:szCs w:val="20"/>
          <w:lang w:val="en-US"/>
        </w:rPr>
        <w:t>net loan growth of about 5%.</w:t>
      </w:r>
      <w:r w:rsidRPr="00511906">
        <w:rPr>
          <w:rFonts w:ascii="Inter" w:hAnsi="Inter"/>
          <w:sz w:val="20"/>
          <w:szCs w:val="20"/>
          <w:lang w:val="en-US"/>
        </w:rPr>
        <w:t xml:space="preserve"> Retail and corporate business should contribute in all markets towards the achievement of this goal. Based on the macro-outlook presented above, </w:t>
      </w:r>
      <w:r w:rsidRPr="00511906">
        <w:rPr>
          <w:rFonts w:ascii="Inter" w:hAnsi="Inter"/>
          <w:b/>
          <w:bCs/>
          <w:sz w:val="20"/>
          <w:szCs w:val="20"/>
          <w:lang w:val="en-US"/>
        </w:rPr>
        <w:t>risk costs should remain at a low level in 2024</w:t>
      </w:r>
      <w:r w:rsidRPr="00511906">
        <w:rPr>
          <w:rFonts w:ascii="Inter" w:hAnsi="Inter"/>
          <w:sz w:val="20"/>
          <w:szCs w:val="20"/>
          <w:lang w:val="en-US"/>
        </w:rPr>
        <w:t xml:space="preserve">. While precise forecasting is hard at current low risk cost levels, considering the developments in the first half of the year Erste Group believes that in 2024 risk costs will be below 20 basis points (instead as originally assumed below 25 basis points) of average gross customer loans. </w:t>
      </w:r>
    </w:p>
    <w:p w14:paraId="6F059494" w14:textId="77777777" w:rsidR="00B03F1E" w:rsidRPr="00511906" w:rsidRDefault="00B03F1E" w:rsidP="00B03F1E">
      <w:pPr>
        <w:pStyle w:val="Bezmezer"/>
        <w:spacing w:line="280" w:lineRule="exact"/>
        <w:rPr>
          <w:rFonts w:ascii="Inter" w:hAnsi="Inter"/>
          <w:sz w:val="20"/>
          <w:szCs w:val="20"/>
          <w:lang w:val="en-US"/>
        </w:rPr>
      </w:pPr>
    </w:p>
    <w:p w14:paraId="78DE081D" w14:textId="651991C7" w:rsidR="00CC18B8" w:rsidRPr="00B4639A" w:rsidRDefault="00B03F1E" w:rsidP="00B03F1E">
      <w:pPr>
        <w:pStyle w:val="Bezmezer"/>
        <w:spacing w:line="280" w:lineRule="exact"/>
        <w:rPr>
          <w:rFonts w:ascii="Inter" w:hAnsi="Inter"/>
          <w:sz w:val="20"/>
          <w:szCs w:val="20"/>
          <w:lang w:val="en-US"/>
        </w:rPr>
      </w:pPr>
      <w:r w:rsidRPr="00511906">
        <w:rPr>
          <w:rFonts w:ascii="Inter" w:hAnsi="Inter"/>
          <w:sz w:val="20"/>
          <w:szCs w:val="20"/>
          <w:lang w:val="en-US"/>
        </w:rPr>
        <w:t xml:space="preserve">The </w:t>
      </w:r>
      <w:r w:rsidRPr="00511906">
        <w:rPr>
          <w:rFonts w:ascii="Inter" w:hAnsi="Inter"/>
          <w:b/>
          <w:bCs/>
          <w:sz w:val="20"/>
          <w:szCs w:val="20"/>
          <w:lang w:val="en-US"/>
        </w:rPr>
        <w:t>CET1 ratio</w:t>
      </w:r>
      <w:r w:rsidRPr="00511906">
        <w:rPr>
          <w:rFonts w:ascii="Inter" w:hAnsi="Inter"/>
          <w:sz w:val="20"/>
          <w:szCs w:val="20"/>
          <w:lang w:val="en-US"/>
        </w:rPr>
        <w:t xml:space="preserve"> is expected to remain strong, providing enhanced capital return and/or M&amp;A flexibility, despite Erste Group currently ongoing execution of a share buyback in the amount of EUR 500 million</w:t>
      </w:r>
      <w:r w:rsidR="004138A9" w:rsidRPr="00511906">
        <w:rPr>
          <w:rFonts w:ascii="Inter" w:hAnsi="Inter"/>
          <w:sz w:val="20"/>
          <w:szCs w:val="20"/>
          <w:lang w:val="en-US"/>
        </w:rPr>
        <w:t xml:space="preserve"> in 2024</w:t>
      </w:r>
      <w:r w:rsidRPr="00511906">
        <w:rPr>
          <w:rFonts w:ascii="Inter" w:hAnsi="Inter"/>
          <w:sz w:val="20"/>
          <w:szCs w:val="20"/>
          <w:lang w:val="en-US"/>
        </w:rPr>
        <w:t>.</w:t>
      </w:r>
    </w:p>
    <w:sectPr w:rsidR="00CC18B8" w:rsidRPr="00B4639A" w:rsidSect="00785CBB">
      <w:headerReference w:type="default" r:id="rId11"/>
      <w:headerReference w:type="first" r:id="rId12"/>
      <w:footerReference w:type="first" r:id="rId13"/>
      <w:pgSz w:w="11900" w:h="16840"/>
      <w:pgMar w:top="2268" w:right="1417" w:bottom="1276"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FD19" w14:textId="77777777" w:rsidR="002136BC" w:rsidRDefault="002136BC" w:rsidP="009844F9">
      <w:r>
        <w:separator/>
      </w:r>
    </w:p>
  </w:endnote>
  <w:endnote w:type="continuationSeparator" w:id="0">
    <w:p w14:paraId="7D4B020F" w14:textId="77777777" w:rsidR="002136BC" w:rsidRDefault="002136BC" w:rsidP="009844F9">
      <w:r>
        <w:continuationSeparator/>
      </w:r>
    </w:p>
  </w:endnote>
  <w:endnote w:type="continuationNotice" w:id="1">
    <w:p w14:paraId="6DED3581" w14:textId="77777777" w:rsidR="002136BC" w:rsidRDefault="002136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000247B" w:usb2="00000009" w:usb3="00000000" w:csb0="000001FF" w:csb1="00000000"/>
  </w:font>
  <w:font w:name="STIX Two Text">
    <w:charset w:val="00"/>
    <w:family w:val="auto"/>
    <w:pitch w:val="variable"/>
    <w:sig w:usb0="A00002FF" w:usb1="0000001F" w:usb2="00000000" w:usb3="00000000" w:csb0="0000019F" w:csb1="00000000"/>
  </w:font>
  <w:font w:name="Inter">
    <w:panose1 w:val="02000503000000020004"/>
    <w:charset w:val="00"/>
    <w:family w:val="modern"/>
    <w:notTrueType/>
    <w:pitch w:val="variable"/>
    <w:sig w:usb0="E0000AFF" w:usb1="5200A1F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445B" w14:textId="77777777" w:rsidR="0069608C" w:rsidRDefault="00553F90" w:rsidP="0069608C">
    <w:pPr>
      <w:ind w:left="-426"/>
      <w:jc w:val="center"/>
      <w:rPr>
        <w:rFonts w:eastAsia="Arial"/>
        <w:b/>
        <w:bCs/>
        <w:sz w:val="14"/>
        <w:szCs w:val="14"/>
      </w:rPr>
    </w:pPr>
    <w:r w:rsidRPr="00553F90">
      <w:rPr>
        <w:rFonts w:eastAsia="Arial"/>
        <w:sz w:val="14"/>
        <w:szCs w:val="14"/>
        <w:shd w:val="clear" w:color="auto" w:fill="auto"/>
      </w:rPr>
      <mc:AlternateContent>
        <mc:Choice Requires="wps">
          <w:drawing>
            <wp:anchor distT="0" distB="0" distL="114300" distR="114300" simplePos="0" relativeHeight="251658242" behindDoc="0" locked="0" layoutInCell="1" allowOverlap="1" wp14:anchorId="20C7E421" wp14:editId="2F878FF2">
              <wp:simplePos x="0" y="0"/>
              <wp:positionH relativeFrom="column">
                <wp:posOffset>-890905</wp:posOffset>
              </wp:positionH>
              <wp:positionV relativeFrom="paragraph">
                <wp:posOffset>362162</wp:posOffset>
              </wp:positionV>
              <wp:extent cx="7543800" cy="270933"/>
              <wp:effectExtent l="0" t="0" r="0" b="0"/>
              <wp:wrapNone/>
              <wp:docPr id="4" name="Rechteck 4"/>
              <wp:cNvGraphicFramePr/>
              <a:graphic xmlns:a="http://schemas.openxmlformats.org/drawingml/2006/main">
                <a:graphicData uri="http://schemas.microsoft.com/office/word/2010/wordprocessingShape">
                  <wps:wsp>
                    <wps:cNvSpPr/>
                    <wps:spPr>
                      <a:xfrm>
                        <a:off x="0" y="0"/>
                        <a:ext cx="7543800" cy="270933"/>
                      </a:xfrm>
                      <a:prstGeom prst="rect">
                        <a:avLst/>
                      </a:prstGeom>
                      <a:solidFill>
                        <a:srgbClr val="0077B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1920DC3" id="Rechteck 4" o:spid="_x0000_s1026" style="position:absolute;margin-left:-70.15pt;margin-top:28.5pt;width:594pt;height:2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" fillcolor="#0077b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9641" w14:textId="77777777" w:rsidR="002136BC" w:rsidRDefault="002136BC" w:rsidP="009844F9">
      <w:r>
        <w:separator/>
      </w:r>
    </w:p>
  </w:footnote>
  <w:footnote w:type="continuationSeparator" w:id="0">
    <w:p w14:paraId="0EB1DF0D" w14:textId="77777777" w:rsidR="002136BC" w:rsidRDefault="002136BC" w:rsidP="009844F9">
      <w:r>
        <w:continuationSeparator/>
      </w:r>
    </w:p>
  </w:footnote>
  <w:footnote w:type="continuationNotice" w:id="1">
    <w:p w14:paraId="5650727A" w14:textId="77777777" w:rsidR="002136BC" w:rsidRDefault="002136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16CD" w14:textId="77777777" w:rsidR="00897B52" w:rsidRPr="00E57665" w:rsidRDefault="002B44FF" w:rsidP="0005724A">
    <w:pPr>
      <w:pStyle w:val="Zhlav"/>
    </w:pPr>
    <w:r w:rsidRPr="0066165B">
      <w:rPr>
        <w:highlight w:val="blue"/>
      </w:rPr>
      <w:drawing>
        <wp:anchor distT="0" distB="0" distL="114300" distR="114300" simplePos="0" relativeHeight="251658243" behindDoc="0" locked="0" layoutInCell="1" allowOverlap="1" wp14:anchorId="225801DF" wp14:editId="254C8C93">
          <wp:simplePos x="0" y="0"/>
          <wp:positionH relativeFrom="column">
            <wp:posOffset>-747</wp:posOffset>
          </wp:positionH>
          <wp:positionV relativeFrom="paragraph">
            <wp:posOffset>123190</wp:posOffset>
          </wp:positionV>
          <wp:extent cx="987136" cy="469323"/>
          <wp:effectExtent l="0" t="0" r="3810" b="63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7136" cy="469323"/>
                  </a:xfrm>
                  <a:prstGeom prst="rect">
                    <a:avLst/>
                  </a:prstGeom>
                </pic:spPr>
              </pic:pic>
            </a:graphicData>
          </a:graphic>
          <wp14:sizeRelH relativeFrom="margin">
            <wp14:pctWidth>0</wp14:pctWidth>
          </wp14:sizeRelH>
          <wp14:sizeRelV relativeFrom="margin">
            <wp14:pctHeight>0</wp14:pctHeight>
          </wp14:sizeRelV>
        </wp:anchor>
      </w:drawing>
    </w:r>
    <w:r w:rsidRPr="0066165B">
      <w:rPr>
        <w:highlight w:val="blue"/>
      </w:rPr>
      <mc:AlternateContent>
        <mc:Choice Requires="wps">
          <w:drawing>
            <wp:anchor distT="0" distB="0" distL="114300" distR="114300" simplePos="0" relativeHeight="251658244" behindDoc="1" locked="1" layoutInCell="1" allowOverlap="1" wp14:anchorId="04B99E9A" wp14:editId="039454A9">
              <wp:simplePos x="0" y="0"/>
              <wp:positionH relativeFrom="page">
                <wp:posOffset>427355</wp:posOffset>
              </wp:positionH>
              <wp:positionV relativeFrom="page">
                <wp:posOffset>260985</wp:posOffset>
              </wp:positionV>
              <wp:extent cx="6767830" cy="759600"/>
              <wp:effectExtent l="0" t="0" r="1270" b="2540"/>
              <wp:wrapNone/>
              <wp:docPr id="589" name="Rechteck: abgerundete Ecken 589"/>
              <wp:cNvGraphicFramePr/>
              <a:graphic xmlns:a="http://schemas.openxmlformats.org/drawingml/2006/main">
                <a:graphicData uri="http://schemas.microsoft.com/office/word/2010/wordprocessingShape">
                  <wps:wsp>
                    <wps:cNvSpPr/>
                    <wps:spPr>
                      <a:xfrm>
                        <a:off x="0" y="0"/>
                        <a:ext cx="6767830" cy="759600"/>
                      </a:xfrm>
                      <a:prstGeom prst="roundRect">
                        <a:avLst>
                          <a:gd name="adj" fmla="val 9377"/>
                        </a:avLst>
                      </a:prstGeom>
                      <a:solidFill>
                        <a:srgbClr val="2870ED"/>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46262" w14:textId="0594FA13" w:rsidR="001D07BC" w:rsidRPr="00F064B6" w:rsidRDefault="00D2183A"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B9112D">
                            <w:rPr>
                              <w:rFonts w:ascii="Inter" w:hAnsi="Inter"/>
                              <w:color w:val="FFFFFF" w:themeColor="background1"/>
                              <w:sz w:val="18"/>
                              <w:szCs w:val="32"/>
                            </w:rPr>
                            <w:t>2 August 2024</w:t>
                          </w:r>
                        </w:p>
                        <w:p w14:paraId="794EF548" w14:textId="77777777" w:rsidR="002B44FF" w:rsidRPr="00962EBC" w:rsidRDefault="002B44FF" w:rsidP="001D07B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4B99E9A" id="Rechteck: abgerundete Ecken 589" o:spid="_x0000_s1026" style="position:absolute;margin-left:33.65pt;margin-top:20.55pt;width:532.9pt;height:59.8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" fillcolor="#2870ed" stroked="f" strokeweight=".25pt">
              <v:stroke joinstyle="miter"/>
              <v:textbox>
                <w:txbxContent>
                  <w:p w14:paraId="0D546262" w14:textId="0594FA13" w:rsidR="001D07BC" w:rsidRPr="00F064B6" w:rsidRDefault="00D2183A"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Press release</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B9112D">
                      <w:rPr>
                        <w:rFonts w:ascii="Inter" w:hAnsi="Inter"/>
                        <w:color w:val="FFFFFF" w:themeColor="background1"/>
                        <w:sz w:val="18"/>
                        <w:szCs w:val="32"/>
                      </w:rPr>
                      <w:t>2 August 2024</w:t>
                    </w:r>
                  </w:p>
                  <w:p w14:paraId="794EF548" w14:textId="77777777" w:rsidR="002B44FF" w:rsidRPr="00962EBC" w:rsidRDefault="002B44FF" w:rsidP="001D07BC">
                    <w:pPr>
                      <w:rPr>
                        <w:lang w:val="en-US"/>
                      </w:rPr>
                    </w:pPr>
                  </w:p>
                </w:txbxContent>
              </v:textbox>
              <w10:wrap anchorx="page" anchory="page"/>
              <w10:anchorlock/>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CFFD" w14:textId="77777777" w:rsidR="009844F9" w:rsidRDefault="00E67431">
    <w:pPr>
      <w:pStyle w:val="Zhlav"/>
    </w:pPr>
    <w:r w:rsidRPr="00E67431">
      <w:drawing>
        <wp:anchor distT="0" distB="0" distL="114300" distR="114300" simplePos="0" relativeHeight="251658241" behindDoc="1" locked="0" layoutInCell="1" allowOverlap="1" wp14:anchorId="6523BB45" wp14:editId="26D43AE2">
          <wp:simplePos x="0" y="0"/>
          <wp:positionH relativeFrom="column">
            <wp:posOffset>3363595</wp:posOffset>
          </wp:positionH>
          <wp:positionV relativeFrom="paragraph">
            <wp:posOffset>146897</wp:posOffset>
          </wp:positionV>
          <wp:extent cx="2904490" cy="520700"/>
          <wp:effectExtent l="0" t="0" r="3810" b="0"/>
          <wp:wrapTight wrapText="bothSides">
            <wp:wrapPolygon edited="0">
              <wp:start x="0" y="0"/>
              <wp:lineTo x="0" y="21073"/>
              <wp:lineTo x="21534" y="21073"/>
              <wp:lineTo x="21534" y="0"/>
              <wp:lineTo x="0" y="0"/>
            </wp:wrapPolygon>
          </wp:wrapTight>
          <wp:docPr id="22" name="Grafik 22" descr="P:\01980394\OE0394\OE_ORD\PRESSE\E. ADMINISTRATION\Logos\Erste Bank\a_NEUE LOGOs ab Okt 2017\EBSPK_office_external-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980394\OE0394\OE_ORD\PRESSE\E. ADMINISTRATION\Logos\Erste Bank\a_NEUE LOGOs ab Okt 2017\EBSPK_office_external-mater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431">
      <mc:AlternateContent>
        <mc:Choice Requires="wps">
          <w:drawing>
            <wp:anchor distT="0" distB="0" distL="114300" distR="114300" simplePos="0" relativeHeight="251658240" behindDoc="1" locked="0" layoutInCell="1" allowOverlap="1" wp14:anchorId="36E3AA66" wp14:editId="570CCAAB">
              <wp:simplePos x="0" y="0"/>
              <wp:positionH relativeFrom="page">
                <wp:posOffset>19262</wp:posOffset>
              </wp:positionH>
              <wp:positionV relativeFrom="page">
                <wp:posOffset>3387</wp:posOffset>
              </wp:positionV>
              <wp:extent cx="7560310" cy="1218565"/>
              <wp:effectExtent l="0" t="0" r="0" b="63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8565"/>
                      </a:xfrm>
                      <a:prstGeom prst="rect">
                        <a:avLst/>
                      </a:prstGeom>
                      <a:solidFill>
                        <a:srgbClr val="BCE4FA"/>
                      </a:solidFill>
                      <a:ln>
                        <a:noFill/>
                      </a:ln>
                    </wps:spPr>
                    <wps:txbx>
                      <w:txbxContent>
                        <w:p w14:paraId="4F0200F3" w14:textId="77777777" w:rsidR="00E67431" w:rsidRDefault="00E67431" w:rsidP="00E67431">
                          <w:pPr>
                            <w:rPr>
                              <w:rFonts w:ascii="Open Sans" w:eastAsia="Arial" w:hAnsi="Open Sans" w:cs="Open Sans"/>
                              <w:b/>
                              <w:bCs/>
                              <w:color w:val="00497C"/>
                              <w:sz w:val="28"/>
                              <w:szCs w:val="28"/>
                            </w:rPr>
                          </w:pPr>
                        </w:p>
                        <w:p w14:paraId="1AEB37E8" w14:textId="77777777" w:rsidR="00E67431" w:rsidRDefault="00E67431" w:rsidP="00E67431">
                          <w:pPr>
                            <w:rPr>
                              <w:rFonts w:ascii="Open Sans" w:eastAsia="Arial" w:hAnsi="Open Sans" w:cs="Open Sans"/>
                              <w:b/>
                              <w:bCs/>
                              <w:color w:val="00497C"/>
                              <w:sz w:val="28"/>
                              <w:szCs w:val="28"/>
                            </w:rPr>
                          </w:pPr>
                        </w:p>
                        <w:p w14:paraId="4CCC79A6"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5B63C240" w14:textId="7A75943E"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511906">
                            <w:t>1. August 2024</w:t>
                          </w:r>
                          <w:r w:rsidRPr="003C10C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3AA66" id="Rechteck 2" o:spid="_x0000_s1027" style="position:absolute;margin-left:1.5pt;margin-top:.25pt;width:595.3pt;height: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" fillcolor="#bce4fa" stroked="f">
              <v:textbox>
                <w:txbxContent>
                  <w:p w14:paraId="4F0200F3" w14:textId="77777777" w:rsidR="00E67431" w:rsidRDefault="00E67431" w:rsidP="00E67431">
                    <w:pPr>
                      <w:rPr>
                        <w:rFonts w:ascii="Open Sans" w:eastAsia="Arial" w:hAnsi="Open Sans" w:cs="Open Sans"/>
                        <w:b/>
                        <w:bCs/>
                        <w:color w:val="00497C"/>
                        <w:sz w:val="28"/>
                        <w:szCs w:val="28"/>
                      </w:rPr>
                    </w:pPr>
                  </w:p>
                  <w:p w14:paraId="1AEB37E8" w14:textId="77777777" w:rsidR="00E67431" w:rsidRDefault="00E67431" w:rsidP="00E67431">
                    <w:pPr>
                      <w:rPr>
                        <w:rFonts w:ascii="Open Sans" w:eastAsia="Arial" w:hAnsi="Open Sans" w:cs="Open Sans"/>
                        <w:b/>
                        <w:bCs/>
                        <w:color w:val="00497C"/>
                        <w:sz w:val="28"/>
                        <w:szCs w:val="28"/>
                      </w:rPr>
                    </w:pPr>
                  </w:p>
                  <w:p w14:paraId="4CCC79A6"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5B63C240" w14:textId="7A75943E"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511906">
                      <w:t>1. August 2024</w:t>
                    </w:r>
                    <w:r w:rsidRPr="003C10CD">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5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D9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0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4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D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A2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EC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EC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6D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61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71B67"/>
    <w:multiLevelType w:val="hybridMultilevel"/>
    <w:tmpl w:val="6CC6400A"/>
    <w:lvl w:ilvl="0" w:tplc="858842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736232"/>
    <w:multiLevelType w:val="multilevel"/>
    <w:tmpl w:val="DF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643A"/>
    <w:multiLevelType w:val="hybridMultilevel"/>
    <w:tmpl w:val="80BA015E"/>
    <w:lvl w:ilvl="0" w:tplc="BABC3774">
      <w:start w:val="1"/>
      <w:numFmt w:val="bullet"/>
      <w:pStyle w:val="Odstavecseseznamem"/>
      <w:lvlText w:val=""/>
      <w:lvlJc w:val="left"/>
      <w:pPr>
        <w:ind w:left="36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7E34BE"/>
    <w:multiLevelType w:val="hybridMultilevel"/>
    <w:tmpl w:val="B1C45F4E"/>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200" w:hanging="360"/>
      </w:pPr>
      <w:rPr>
        <w:rFonts w:ascii="Courier New" w:hAnsi="Courier New" w:cs="Courier New" w:hint="default"/>
      </w:rPr>
    </w:lvl>
    <w:lvl w:ilvl="2" w:tplc="0C070005" w:tentative="1">
      <w:start w:val="1"/>
      <w:numFmt w:val="bullet"/>
      <w:lvlText w:val=""/>
      <w:lvlJc w:val="left"/>
      <w:pPr>
        <w:ind w:left="1920" w:hanging="360"/>
      </w:pPr>
      <w:rPr>
        <w:rFonts w:ascii="Wingdings" w:hAnsi="Wingdings" w:hint="default"/>
      </w:rPr>
    </w:lvl>
    <w:lvl w:ilvl="3" w:tplc="0C070001" w:tentative="1">
      <w:start w:val="1"/>
      <w:numFmt w:val="bullet"/>
      <w:lvlText w:val=""/>
      <w:lvlJc w:val="left"/>
      <w:pPr>
        <w:ind w:left="2640" w:hanging="360"/>
      </w:pPr>
      <w:rPr>
        <w:rFonts w:ascii="Symbol" w:hAnsi="Symbol" w:hint="default"/>
      </w:rPr>
    </w:lvl>
    <w:lvl w:ilvl="4" w:tplc="0C070003" w:tentative="1">
      <w:start w:val="1"/>
      <w:numFmt w:val="bullet"/>
      <w:lvlText w:val="o"/>
      <w:lvlJc w:val="left"/>
      <w:pPr>
        <w:ind w:left="3360" w:hanging="360"/>
      </w:pPr>
      <w:rPr>
        <w:rFonts w:ascii="Courier New" w:hAnsi="Courier New" w:cs="Courier New" w:hint="default"/>
      </w:rPr>
    </w:lvl>
    <w:lvl w:ilvl="5" w:tplc="0C070005" w:tentative="1">
      <w:start w:val="1"/>
      <w:numFmt w:val="bullet"/>
      <w:lvlText w:val=""/>
      <w:lvlJc w:val="left"/>
      <w:pPr>
        <w:ind w:left="4080" w:hanging="360"/>
      </w:pPr>
      <w:rPr>
        <w:rFonts w:ascii="Wingdings" w:hAnsi="Wingdings" w:hint="default"/>
      </w:rPr>
    </w:lvl>
    <w:lvl w:ilvl="6" w:tplc="0C070001" w:tentative="1">
      <w:start w:val="1"/>
      <w:numFmt w:val="bullet"/>
      <w:lvlText w:val=""/>
      <w:lvlJc w:val="left"/>
      <w:pPr>
        <w:ind w:left="4800" w:hanging="360"/>
      </w:pPr>
      <w:rPr>
        <w:rFonts w:ascii="Symbol" w:hAnsi="Symbol" w:hint="default"/>
      </w:rPr>
    </w:lvl>
    <w:lvl w:ilvl="7" w:tplc="0C070003" w:tentative="1">
      <w:start w:val="1"/>
      <w:numFmt w:val="bullet"/>
      <w:lvlText w:val="o"/>
      <w:lvlJc w:val="left"/>
      <w:pPr>
        <w:ind w:left="5520" w:hanging="360"/>
      </w:pPr>
      <w:rPr>
        <w:rFonts w:ascii="Courier New" w:hAnsi="Courier New" w:cs="Courier New" w:hint="default"/>
      </w:rPr>
    </w:lvl>
    <w:lvl w:ilvl="8" w:tplc="0C070005" w:tentative="1">
      <w:start w:val="1"/>
      <w:numFmt w:val="bullet"/>
      <w:lvlText w:val=""/>
      <w:lvlJc w:val="left"/>
      <w:pPr>
        <w:ind w:left="6240" w:hanging="360"/>
      </w:pPr>
      <w:rPr>
        <w:rFonts w:ascii="Wingdings" w:hAnsi="Wingdings" w:hint="default"/>
      </w:rPr>
    </w:lvl>
  </w:abstractNum>
  <w:abstractNum w:abstractNumId="14" w15:restartNumberingAfterBreak="0">
    <w:nsid w:val="5D3B6693"/>
    <w:multiLevelType w:val="hybridMultilevel"/>
    <w:tmpl w:val="139499B8"/>
    <w:lvl w:ilvl="0" w:tplc="192053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5B587E"/>
    <w:multiLevelType w:val="multilevel"/>
    <w:tmpl w:val="57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C7D64"/>
    <w:multiLevelType w:val="multilevel"/>
    <w:tmpl w:val="538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785675">
    <w:abstractNumId w:val="10"/>
  </w:num>
  <w:num w:numId="2" w16cid:durableId="1860122392">
    <w:abstractNumId w:val="13"/>
  </w:num>
  <w:num w:numId="3" w16cid:durableId="1735354434">
    <w:abstractNumId w:val="0"/>
  </w:num>
  <w:num w:numId="4" w16cid:durableId="508643064">
    <w:abstractNumId w:val="1"/>
  </w:num>
  <w:num w:numId="5" w16cid:durableId="418527854">
    <w:abstractNumId w:val="2"/>
  </w:num>
  <w:num w:numId="6" w16cid:durableId="1965647766">
    <w:abstractNumId w:val="3"/>
  </w:num>
  <w:num w:numId="7" w16cid:durableId="1981376145">
    <w:abstractNumId w:val="8"/>
  </w:num>
  <w:num w:numId="8" w16cid:durableId="1782987482">
    <w:abstractNumId w:val="4"/>
  </w:num>
  <w:num w:numId="9" w16cid:durableId="853035032">
    <w:abstractNumId w:val="5"/>
  </w:num>
  <w:num w:numId="10" w16cid:durableId="1113014336">
    <w:abstractNumId w:val="6"/>
  </w:num>
  <w:num w:numId="11" w16cid:durableId="777916835">
    <w:abstractNumId w:val="7"/>
  </w:num>
  <w:num w:numId="12" w16cid:durableId="64883177">
    <w:abstractNumId w:val="9"/>
  </w:num>
  <w:num w:numId="13" w16cid:durableId="1041590433">
    <w:abstractNumId w:val="12"/>
  </w:num>
  <w:num w:numId="14" w16cid:durableId="677580120">
    <w:abstractNumId w:val="14"/>
  </w:num>
  <w:num w:numId="15" w16cid:durableId="238491641">
    <w:abstractNumId w:val="12"/>
    <w:lvlOverride w:ilvl="0">
      <w:startOverride w:val="1"/>
    </w:lvlOverride>
  </w:num>
  <w:num w:numId="16" w16cid:durableId="426997840">
    <w:abstractNumId w:val="12"/>
    <w:lvlOverride w:ilvl="0">
      <w:startOverride w:val="1"/>
    </w:lvlOverride>
  </w:num>
  <w:num w:numId="17" w16cid:durableId="1815221451">
    <w:abstractNumId w:val="12"/>
    <w:lvlOverride w:ilvl="0">
      <w:startOverride w:val="1"/>
    </w:lvlOverride>
  </w:num>
  <w:num w:numId="18" w16cid:durableId="1296914770">
    <w:abstractNumId w:val="16"/>
  </w:num>
  <w:num w:numId="19" w16cid:durableId="461581737">
    <w:abstractNumId w:val="11"/>
  </w:num>
  <w:num w:numId="20" w16cid:durableId="601033376">
    <w:abstractNumId w:val="15"/>
  </w:num>
  <w:num w:numId="21" w16cid:durableId="1003095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A3"/>
    <w:rsid w:val="00016CF0"/>
    <w:rsid w:val="0005601E"/>
    <w:rsid w:val="0005724A"/>
    <w:rsid w:val="00067770"/>
    <w:rsid w:val="00073981"/>
    <w:rsid w:val="00080652"/>
    <w:rsid w:val="0008090D"/>
    <w:rsid w:val="000E3361"/>
    <w:rsid w:val="000F23A3"/>
    <w:rsid w:val="000F6A09"/>
    <w:rsid w:val="00113355"/>
    <w:rsid w:val="00113A78"/>
    <w:rsid w:val="00117959"/>
    <w:rsid w:val="00117C4A"/>
    <w:rsid w:val="00117FB4"/>
    <w:rsid w:val="00131718"/>
    <w:rsid w:val="00167E7A"/>
    <w:rsid w:val="00191778"/>
    <w:rsid w:val="0019748B"/>
    <w:rsid w:val="001A074A"/>
    <w:rsid w:val="001C5B42"/>
    <w:rsid w:val="001D07BC"/>
    <w:rsid w:val="001D730C"/>
    <w:rsid w:val="001E5EB6"/>
    <w:rsid w:val="002048A3"/>
    <w:rsid w:val="002136BC"/>
    <w:rsid w:val="00224C8A"/>
    <w:rsid w:val="00236915"/>
    <w:rsid w:val="002539DD"/>
    <w:rsid w:val="00260790"/>
    <w:rsid w:val="002661DB"/>
    <w:rsid w:val="002707A8"/>
    <w:rsid w:val="002A0D59"/>
    <w:rsid w:val="002A1155"/>
    <w:rsid w:val="002A220D"/>
    <w:rsid w:val="002B2187"/>
    <w:rsid w:val="002B44FF"/>
    <w:rsid w:val="002B4BAC"/>
    <w:rsid w:val="002B7D0C"/>
    <w:rsid w:val="002C6F93"/>
    <w:rsid w:val="002D04EE"/>
    <w:rsid w:val="002D5D4F"/>
    <w:rsid w:val="002D7FCF"/>
    <w:rsid w:val="002E162A"/>
    <w:rsid w:val="002F1CBD"/>
    <w:rsid w:val="002F3D38"/>
    <w:rsid w:val="002F5DE7"/>
    <w:rsid w:val="002F71C4"/>
    <w:rsid w:val="00302879"/>
    <w:rsid w:val="00307D30"/>
    <w:rsid w:val="00325158"/>
    <w:rsid w:val="0033172B"/>
    <w:rsid w:val="003443AD"/>
    <w:rsid w:val="00345A10"/>
    <w:rsid w:val="00350818"/>
    <w:rsid w:val="00371542"/>
    <w:rsid w:val="00380EDD"/>
    <w:rsid w:val="003B2A0B"/>
    <w:rsid w:val="003B3C0A"/>
    <w:rsid w:val="003C10CD"/>
    <w:rsid w:val="003E7F90"/>
    <w:rsid w:val="00403B33"/>
    <w:rsid w:val="004138A9"/>
    <w:rsid w:val="0041679E"/>
    <w:rsid w:val="00422422"/>
    <w:rsid w:val="00431C8D"/>
    <w:rsid w:val="00451611"/>
    <w:rsid w:val="00454508"/>
    <w:rsid w:val="00455E1D"/>
    <w:rsid w:val="00495EFD"/>
    <w:rsid w:val="004B3CEB"/>
    <w:rsid w:val="004D135C"/>
    <w:rsid w:val="004F16CD"/>
    <w:rsid w:val="004F1AB5"/>
    <w:rsid w:val="00506C14"/>
    <w:rsid w:val="00511906"/>
    <w:rsid w:val="00512320"/>
    <w:rsid w:val="00537097"/>
    <w:rsid w:val="005503D9"/>
    <w:rsid w:val="00550881"/>
    <w:rsid w:val="005530C3"/>
    <w:rsid w:val="00553944"/>
    <w:rsid w:val="00553F90"/>
    <w:rsid w:val="0056412E"/>
    <w:rsid w:val="005840AD"/>
    <w:rsid w:val="00584B98"/>
    <w:rsid w:val="00597A2D"/>
    <w:rsid w:val="005A1FC2"/>
    <w:rsid w:val="005A4A85"/>
    <w:rsid w:val="005C34A1"/>
    <w:rsid w:val="005D155B"/>
    <w:rsid w:val="005D2D7A"/>
    <w:rsid w:val="005E1A12"/>
    <w:rsid w:val="005F23F4"/>
    <w:rsid w:val="00607AA1"/>
    <w:rsid w:val="006352C4"/>
    <w:rsid w:val="00636FC3"/>
    <w:rsid w:val="00644CC0"/>
    <w:rsid w:val="0064757E"/>
    <w:rsid w:val="00657BA2"/>
    <w:rsid w:val="0066165B"/>
    <w:rsid w:val="00664280"/>
    <w:rsid w:val="006905AC"/>
    <w:rsid w:val="00695D0A"/>
    <w:rsid w:val="0069608C"/>
    <w:rsid w:val="006B3960"/>
    <w:rsid w:val="006E1C17"/>
    <w:rsid w:val="006E5BEE"/>
    <w:rsid w:val="00711920"/>
    <w:rsid w:val="00711D5D"/>
    <w:rsid w:val="00723997"/>
    <w:rsid w:val="00724B50"/>
    <w:rsid w:val="007263E4"/>
    <w:rsid w:val="00745D18"/>
    <w:rsid w:val="007501E3"/>
    <w:rsid w:val="00751C88"/>
    <w:rsid w:val="00753B25"/>
    <w:rsid w:val="007571EA"/>
    <w:rsid w:val="00757CC0"/>
    <w:rsid w:val="007711B0"/>
    <w:rsid w:val="00774E0D"/>
    <w:rsid w:val="00781C80"/>
    <w:rsid w:val="007852CD"/>
    <w:rsid w:val="00785CBB"/>
    <w:rsid w:val="007A12A6"/>
    <w:rsid w:val="007B3D66"/>
    <w:rsid w:val="007E7419"/>
    <w:rsid w:val="00803EBA"/>
    <w:rsid w:val="00822496"/>
    <w:rsid w:val="008468C7"/>
    <w:rsid w:val="008568D5"/>
    <w:rsid w:val="00897B52"/>
    <w:rsid w:val="008A4E98"/>
    <w:rsid w:val="008A539B"/>
    <w:rsid w:val="008B0F20"/>
    <w:rsid w:val="008C3156"/>
    <w:rsid w:val="008E3278"/>
    <w:rsid w:val="008F4334"/>
    <w:rsid w:val="009227F6"/>
    <w:rsid w:val="009238C5"/>
    <w:rsid w:val="009247A0"/>
    <w:rsid w:val="00931082"/>
    <w:rsid w:val="00932B53"/>
    <w:rsid w:val="00951C91"/>
    <w:rsid w:val="00962EBC"/>
    <w:rsid w:val="009844F9"/>
    <w:rsid w:val="009A20AB"/>
    <w:rsid w:val="009B24C6"/>
    <w:rsid w:val="009C7387"/>
    <w:rsid w:val="009C7D32"/>
    <w:rsid w:val="009E0111"/>
    <w:rsid w:val="009F7391"/>
    <w:rsid w:val="00A00816"/>
    <w:rsid w:val="00A23F87"/>
    <w:rsid w:val="00A24A9B"/>
    <w:rsid w:val="00A24B0B"/>
    <w:rsid w:val="00A25DAA"/>
    <w:rsid w:val="00A315E1"/>
    <w:rsid w:val="00A37363"/>
    <w:rsid w:val="00A3785C"/>
    <w:rsid w:val="00A54412"/>
    <w:rsid w:val="00A6002A"/>
    <w:rsid w:val="00A85FA9"/>
    <w:rsid w:val="00A924DE"/>
    <w:rsid w:val="00AA6E35"/>
    <w:rsid w:val="00AC08A6"/>
    <w:rsid w:val="00AC3985"/>
    <w:rsid w:val="00AD6212"/>
    <w:rsid w:val="00AF1580"/>
    <w:rsid w:val="00B03F1E"/>
    <w:rsid w:val="00B05701"/>
    <w:rsid w:val="00B16D68"/>
    <w:rsid w:val="00B4639A"/>
    <w:rsid w:val="00B80EC1"/>
    <w:rsid w:val="00B908A9"/>
    <w:rsid w:val="00B9112D"/>
    <w:rsid w:val="00B92C4F"/>
    <w:rsid w:val="00BA17ED"/>
    <w:rsid w:val="00BA2B75"/>
    <w:rsid w:val="00BC5E2E"/>
    <w:rsid w:val="00BD4CE9"/>
    <w:rsid w:val="00C058E5"/>
    <w:rsid w:val="00C248D9"/>
    <w:rsid w:val="00C71EFA"/>
    <w:rsid w:val="00C76836"/>
    <w:rsid w:val="00C80246"/>
    <w:rsid w:val="00C9568D"/>
    <w:rsid w:val="00CB72AF"/>
    <w:rsid w:val="00CC18B8"/>
    <w:rsid w:val="00CC3F85"/>
    <w:rsid w:val="00CF58BD"/>
    <w:rsid w:val="00CF67B6"/>
    <w:rsid w:val="00CF7AA4"/>
    <w:rsid w:val="00D052DF"/>
    <w:rsid w:val="00D078AC"/>
    <w:rsid w:val="00D136CF"/>
    <w:rsid w:val="00D2011A"/>
    <w:rsid w:val="00D2183A"/>
    <w:rsid w:val="00D3103F"/>
    <w:rsid w:val="00D31119"/>
    <w:rsid w:val="00D35C6D"/>
    <w:rsid w:val="00D5643A"/>
    <w:rsid w:val="00D71087"/>
    <w:rsid w:val="00D77402"/>
    <w:rsid w:val="00D86268"/>
    <w:rsid w:val="00D9183B"/>
    <w:rsid w:val="00D9633B"/>
    <w:rsid w:val="00D975B2"/>
    <w:rsid w:val="00DB4AFD"/>
    <w:rsid w:val="00DC6F1B"/>
    <w:rsid w:val="00E015C9"/>
    <w:rsid w:val="00E271CE"/>
    <w:rsid w:val="00E3363E"/>
    <w:rsid w:val="00E5507D"/>
    <w:rsid w:val="00E57665"/>
    <w:rsid w:val="00E630E9"/>
    <w:rsid w:val="00E66A76"/>
    <w:rsid w:val="00E67431"/>
    <w:rsid w:val="00E75D06"/>
    <w:rsid w:val="00E837D9"/>
    <w:rsid w:val="00EA32B7"/>
    <w:rsid w:val="00ED59B1"/>
    <w:rsid w:val="00ED7681"/>
    <w:rsid w:val="00EF2588"/>
    <w:rsid w:val="00F047C7"/>
    <w:rsid w:val="00F064B6"/>
    <w:rsid w:val="00F171F2"/>
    <w:rsid w:val="00F30F1D"/>
    <w:rsid w:val="00F46438"/>
    <w:rsid w:val="00F56C8E"/>
    <w:rsid w:val="00F56F60"/>
    <w:rsid w:val="00F65DD2"/>
    <w:rsid w:val="00F734F9"/>
    <w:rsid w:val="00F7399E"/>
    <w:rsid w:val="00FB1D73"/>
    <w:rsid w:val="00FB3B2E"/>
    <w:rsid w:val="00FB6F12"/>
    <w:rsid w:val="00FB6F87"/>
    <w:rsid w:val="00FC1F9B"/>
    <w:rsid w:val="00FC41A3"/>
    <w:rsid w:val="00FD2BB2"/>
    <w:rsid w:val="00FD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9CB46"/>
  <w15:chartTrackingRefBased/>
  <w15:docId w15:val="{25C7307B-6A85-D940-BE2A-37645CC4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9844F9"/>
    <w:pPr>
      <w:spacing w:line="288" w:lineRule="auto"/>
    </w:pPr>
    <w:rPr>
      <w:rFonts w:ascii="Arial" w:hAnsi="Arial" w:cs="Arial"/>
      <w:noProof/>
      <w:sz w:val="20"/>
      <w:szCs w:val="20"/>
      <w:shd w:val="clear" w:color="auto" w:fill="FFFFFF"/>
      <w:lang w:val="de-AT" w:eastAsia="de-DE"/>
    </w:rPr>
  </w:style>
  <w:style w:type="paragraph" w:styleId="Nadpis1">
    <w:name w:val="heading 1"/>
    <w:basedOn w:val="Nzev"/>
    <w:next w:val="Normln"/>
    <w:link w:val="Nadpis1Char"/>
    <w:uiPriority w:val="9"/>
    <w:qFormat/>
    <w:rsid w:val="002B7D0C"/>
    <w:pPr>
      <w:outlineLvl w:val="0"/>
    </w:pPr>
    <w:rPr>
      <w:sz w:val="56"/>
      <w:szCs w:val="56"/>
    </w:rPr>
  </w:style>
  <w:style w:type="paragraph" w:styleId="Nadpis2">
    <w:name w:val="heading 2"/>
    <w:basedOn w:val="Normln"/>
    <w:next w:val="Normln"/>
    <w:link w:val="Nadpis2Char"/>
    <w:uiPriority w:val="9"/>
    <w:unhideWhenUsed/>
    <w:qFormat/>
    <w:rsid w:val="002B7D0C"/>
    <w:pPr>
      <w:keepNext/>
      <w:keepLines/>
      <w:spacing w:before="40" w:after="120"/>
      <w:outlineLvl w:val="1"/>
    </w:pPr>
    <w:rPr>
      <w:rFonts w:eastAsiaTheme="majorEastAsia" w:cstheme="majorBidi"/>
      <w:b/>
      <w:bCs/>
      <w:color w:val="00497B"/>
      <w:sz w:val="40"/>
      <w:szCs w:val="40"/>
    </w:rPr>
  </w:style>
  <w:style w:type="paragraph" w:styleId="Nadpis3">
    <w:name w:val="heading 3"/>
    <w:basedOn w:val="Nadpis2"/>
    <w:next w:val="Normln"/>
    <w:link w:val="Nadpis3Char"/>
    <w:uiPriority w:val="9"/>
    <w:unhideWhenUsed/>
    <w:qFormat/>
    <w:rsid w:val="002B7D0C"/>
    <w:pPr>
      <w:outlineLvl w:val="2"/>
    </w:pPr>
    <w:rPr>
      <w:sz w:val="32"/>
      <w:szCs w:val="32"/>
    </w:rPr>
  </w:style>
  <w:style w:type="paragraph" w:styleId="Nadpis4">
    <w:name w:val="heading 4"/>
    <w:basedOn w:val="Nadpis3"/>
    <w:next w:val="Normln"/>
    <w:link w:val="Nadpis4Char"/>
    <w:uiPriority w:val="9"/>
    <w:unhideWhenUsed/>
    <w:qFormat/>
    <w:rsid w:val="002B7D0C"/>
    <w:p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qFormat/>
    <w:rsid w:val="00553F90"/>
    <w:rPr>
      <w:rFonts w:eastAsia="Arial"/>
      <w:color w:val="00497C"/>
      <w:sz w:val="14"/>
      <w:szCs w:val="14"/>
      <w:u w:val="single"/>
      <w:shd w:val="clear" w:color="auto" w:fill="auto"/>
    </w:rPr>
  </w:style>
  <w:style w:type="paragraph" w:styleId="Zhlav">
    <w:name w:val="header"/>
    <w:basedOn w:val="Normln"/>
    <w:link w:val="ZhlavChar"/>
    <w:uiPriority w:val="99"/>
    <w:unhideWhenUsed/>
    <w:rsid w:val="00897B52"/>
    <w:pPr>
      <w:tabs>
        <w:tab w:val="center" w:pos="4536"/>
        <w:tab w:val="right" w:pos="9072"/>
      </w:tabs>
    </w:pPr>
  </w:style>
  <w:style w:type="character" w:customStyle="1" w:styleId="ZhlavChar">
    <w:name w:val="Záhlaví Char"/>
    <w:basedOn w:val="Standardnpsmoodstavce"/>
    <w:link w:val="Zhlav"/>
    <w:uiPriority w:val="99"/>
    <w:rsid w:val="00897B52"/>
    <w:rPr>
      <w:noProof/>
      <w:lang w:val="de-AT"/>
    </w:rPr>
  </w:style>
  <w:style w:type="paragraph" w:styleId="Zpat">
    <w:name w:val="footer"/>
    <w:basedOn w:val="Normln"/>
    <w:link w:val="ZpatChar"/>
    <w:uiPriority w:val="99"/>
    <w:unhideWhenUsed/>
    <w:rsid w:val="00897B52"/>
    <w:pPr>
      <w:tabs>
        <w:tab w:val="center" w:pos="4536"/>
        <w:tab w:val="right" w:pos="9072"/>
      </w:tabs>
    </w:pPr>
  </w:style>
  <w:style w:type="character" w:customStyle="1" w:styleId="ZpatChar">
    <w:name w:val="Zápatí Char"/>
    <w:basedOn w:val="Standardnpsmoodstavce"/>
    <w:link w:val="Zpat"/>
    <w:uiPriority w:val="99"/>
    <w:rsid w:val="00897B52"/>
    <w:rPr>
      <w:noProof/>
      <w:lang w:val="de-AT"/>
    </w:rPr>
  </w:style>
  <w:style w:type="paragraph" w:styleId="Nzev">
    <w:name w:val="Title"/>
    <w:basedOn w:val="Normln"/>
    <w:next w:val="Normln"/>
    <w:link w:val="NzevChar"/>
    <w:uiPriority w:val="10"/>
    <w:qFormat/>
    <w:rsid w:val="00224C8A"/>
    <w:pPr>
      <w:tabs>
        <w:tab w:val="left" w:pos="4067"/>
      </w:tabs>
    </w:pPr>
    <w:rPr>
      <w:b/>
      <w:bCs/>
      <w:color w:val="00497B"/>
      <w:sz w:val="50"/>
      <w:szCs w:val="50"/>
    </w:rPr>
  </w:style>
  <w:style w:type="character" w:customStyle="1" w:styleId="NzevChar">
    <w:name w:val="Název Char"/>
    <w:basedOn w:val="Standardnpsmoodstavce"/>
    <w:link w:val="Nzev"/>
    <w:uiPriority w:val="10"/>
    <w:rsid w:val="00224C8A"/>
    <w:rPr>
      <w:rFonts w:ascii="Arial" w:hAnsi="Arial" w:cs="Arial"/>
      <w:b/>
      <w:bCs/>
      <w:noProof/>
      <w:color w:val="00497B"/>
      <w:sz w:val="50"/>
      <w:szCs w:val="50"/>
      <w:lang w:val="de-AT"/>
    </w:rPr>
  </w:style>
  <w:style w:type="character" w:customStyle="1" w:styleId="Nadpis2Char">
    <w:name w:val="Nadpis 2 Char"/>
    <w:basedOn w:val="Standardnpsmoodstavce"/>
    <w:link w:val="Nadpis2"/>
    <w:uiPriority w:val="9"/>
    <w:rsid w:val="002B7D0C"/>
    <w:rPr>
      <w:rFonts w:ascii="Arial" w:eastAsiaTheme="majorEastAsia" w:hAnsi="Arial" w:cstheme="majorBidi"/>
      <w:b/>
      <w:bCs/>
      <w:noProof/>
      <w:color w:val="00497B"/>
      <w:sz w:val="40"/>
      <w:szCs w:val="40"/>
      <w:lang w:val="de-AT" w:eastAsia="de-DE"/>
    </w:rPr>
  </w:style>
  <w:style w:type="character" w:customStyle="1" w:styleId="Nadpis1Char">
    <w:name w:val="Nadpis 1 Char"/>
    <w:basedOn w:val="Standardnpsmoodstavce"/>
    <w:link w:val="Nadpis1"/>
    <w:uiPriority w:val="9"/>
    <w:rsid w:val="002B7D0C"/>
    <w:rPr>
      <w:rFonts w:ascii="Arial" w:hAnsi="Arial" w:cs="Arial"/>
      <w:b/>
      <w:bCs/>
      <w:noProof/>
      <w:color w:val="00497B"/>
      <w:sz w:val="56"/>
      <w:szCs w:val="56"/>
      <w:lang w:val="de-AT" w:eastAsia="de-DE"/>
    </w:rPr>
  </w:style>
  <w:style w:type="character" w:customStyle="1" w:styleId="Nadpis3Char">
    <w:name w:val="Nadpis 3 Char"/>
    <w:basedOn w:val="Standardnpsmoodstavce"/>
    <w:link w:val="Nadpis3"/>
    <w:uiPriority w:val="9"/>
    <w:rsid w:val="002B7D0C"/>
    <w:rPr>
      <w:rFonts w:ascii="Arial" w:eastAsiaTheme="majorEastAsia" w:hAnsi="Arial" w:cstheme="majorBidi"/>
      <w:b/>
      <w:bCs/>
      <w:noProof/>
      <w:color w:val="00497B"/>
      <w:sz w:val="32"/>
      <w:szCs w:val="32"/>
      <w:lang w:val="de-AT" w:eastAsia="de-DE"/>
    </w:rPr>
  </w:style>
  <w:style w:type="paragraph" w:customStyle="1" w:styleId="berschrift3mitHintergrund">
    <w:name w:val="Überschrift 3 mit Hintergrund"/>
    <w:basedOn w:val="Nadpis3"/>
    <w:qFormat/>
    <w:rsid w:val="00E57665"/>
    <w:pPr>
      <w:shd w:val="clear" w:color="auto" w:fill="A3C0D7"/>
    </w:pPr>
  </w:style>
  <w:style w:type="paragraph" w:styleId="Vrazncitt">
    <w:name w:val="Intense Quote"/>
    <w:basedOn w:val="Normln"/>
    <w:next w:val="Normln"/>
    <w:link w:val="VrazncittChar"/>
    <w:uiPriority w:val="30"/>
    <w:qFormat/>
    <w:rsid w:val="00E576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E57665"/>
    <w:rPr>
      <w:rFonts w:ascii="Arial" w:hAnsi="Arial" w:cs="Arial"/>
      <w:i/>
      <w:iCs/>
      <w:noProof/>
      <w:color w:val="4472C4" w:themeColor="accent1"/>
      <w:sz w:val="20"/>
      <w:szCs w:val="20"/>
      <w:lang w:val="de-AT" w:eastAsia="de-DE"/>
    </w:rPr>
  </w:style>
  <w:style w:type="paragraph" w:styleId="Odstavecseseznamem">
    <w:name w:val="List Paragraph"/>
    <w:basedOn w:val="Normln"/>
    <w:uiPriority w:val="34"/>
    <w:qFormat/>
    <w:rsid w:val="00AC3985"/>
    <w:pPr>
      <w:numPr>
        <w:numId w:val="13"/>
      </w:numPr>
      <w:ind w:right="986"/>
      <w:contextualSpacing/>
    </w:pPr>
    <w:rPr>
      <w:sz w:val="24"/>
      <w:szCs w:val="24"/>
    </w:rPr>
  </w:style>
  <w:style w:type="table" w:styleId="Mkatabulky">
    <w:name w:val="Table Grid"/>
    <w:basedOn w:val="Normlntabulka"/>
    <w:uiPriority w:val="39"/>
    <w:rsid w:val="002B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B7D0C"/>
    <w:rPr>
      <w:rFonts w:ascii="Arial" w:eastAsiaTheme="majorEastAsia" w:hAnsi="Arial" w:cstheme="majorBidi"/>
      <w:b/>
      <w:bCs/>
      <w:noProof/>
      <w:color w:val="00497B"/>
      <w:lang w:val="de-AT" w:eastAsia="de-DE"/>
    </w:rPr>
  </w:style>
  <w:style w:type="character" w:styleId="Nevyeenzmnka">
    <w:name w:val="Unresolved Mention"/>
    <w:basedOn w:val="Standardnpsmoodstavce"/>
    <w:uiPriority w:val="99"/>
    <w:rsid w:val="005A4A85"/>
    <w:rPr>
      <w:color w:val="605E5C"/>
      <w:shd w:val="clear" w:color="auto" w:fill="E1DFDD"/>
    </w:rPr>
  </w:style>
  <w:style w:type="paragraph" w:customStyle="1" w:styleId="Aufzhlung">
    <w:name w:val="Aufzählung"/>
    <w:basedOn w:val="Normln"/>
    <w:uiPriority w:val="1"/>
    <w:qFormat/>
    <w:rsid w:val="00E67431"/>
    <w:pPr>
      <w:spacing w:line="320" w:lineRule="atLeast"/>
      <w:jc w:val="both"/>
    </w:pPr>
    <w:rPr>
      <w:rFonts w:ascii="Helvetica" w:eastAsia="Helvetica" w:hAnsi="Helvetica" w:cs="Helvetica"/>
      <w:noProof w:val="0"/>
      <w:sz w:val="24"/>
      <w:szCs w:val="24"/>
      <w:shd w:val="clear" w:color="auto" w:fill="auto"/>
      <w:lang w:eastAsia="de-AT" w:bidi="de-AT"/>
      <w14:ligatures w14:val="standardContextual"/>
    </w:rPr>
  </w:style>
  <w:style w:type="paragraph" w:styleId="Textkomente">
    <w:name w:val="annotation text"/>
    <w:basedOn w:val="Normln"/>
    <w:link w:val="TextkomenteChar"/>
    <w:uiPriority w:val="99"/>
    <w:semiHidden/>
    <w:unhideWhenUsed/>
    <w:rsid w:val="00E67431"/>
    <w:pPr>
      <w:spacing w:line="240" w:lineRule="auto"/>
    </w:pPr>
    <w:rPr>
      <w:rFonts w:eastAsia="Calibri" w:cs="Times New Roman"/>
      <w:noProof w:val="0"/>
      <w:shd w:val="clear" w:color="auto" w:fill="auto"/>
      <w:lang w:eastAsia="en-US"/>
    </w:rPr>
  </w:style>
  <w:style w:type="character" w:customStyle="1" w:styleId="TextkomenteChar">
    <w:name w:val="Text komentáře Char"/>
    <w:basedOn w:val="Standardnpsmoodstavce"/>
    <w:link w:val="Textkomente"/>
    <w:uiPriority w:val="99"/>
    <w:semiHidden/>
    <w:rsid w:val="00E67431"/>
    <w:rPr>
      <w:rFonts w:ascii="Arial" w:eastAsia="Calibri" w:hAnsi="Arial" w:cs="Times New Roman"/>
      <w:sz w:val="20"/>
      <w:szCs w:val="20"/>
      <w:lang w:val="de-AT"/>
    </w:rPr>
  </w:style>
  <w:style w:type="character" w:styleId="Siln">
    <w:name w:val="Strong"/>
    <w:basedOn w:val="Standardnpsmoodstavce"/>
    <w:uiPriority w:val="22"/>
    <w:qFormat/>
    <w:rsid w:val="0069608C"/>
    <w:rPr>
      <w:b/>
      <w:bCs/>
    </w:rPr>
  </w:style>
  <w:style w:type="character" w:styleId="Sledovanodkaz">
    <w:name w:val="FollowedHyperlink"/>
    <w:basedOn w:val="Hypertextovodkaz"/>
    <w:uiPriority w:val="99"/>
    <w:unhideWhenUsed/>
    <w:rsid w:val="00553F90"/>
    <w:rPr>
      <w:rFonts w:eastAsia="Arial"/>
      <w:color w:val="00497C"/>
      <w:sz w:val="14"/>
      <w:szCs w:val="14"/>
      <w:u w:val="single"/>
      <w:shd w:val="clear" w:color="auto" w:fill="auto"/>
    </w:rPr>
  </w:style>
  <w:style w:type="character" w:styleId="Odkaznakoment">
    <w:name w:val="annotation reference"/>
    <w:basedOn w:val="Standardnpsmoodstavce"/>
    <w:uiPriority w:val="99"/>
    <w:semiHidden/>
    <w:unhideWhenUsed/>
    <w:rsid w:val="00553F90"/>
    <w:rPr>
      <w:sz w:val="16"/>
      <w:szCs w:val="16"/>
    </w:rPr>
  </w:style>
  <w:style w:type="paragraph" w:styleId="Datum">
    <w:name w:val="Date"/>
    <w:basedOn w:val="Normln"/>
    <w:next w:val="Normln"/>
    <w:link w:val="DatumChar"/>
    <w:autoRedefine/>
    <w:uiPriority w:val="99"/>
    <w:unhideWhenUsed/>
    <w:rsid w:val="00711920"/>
    <w:pPr>
      <w:ind w:left="567"/>
    </w:pPr>
    <w:rPr>
      <w:color w:val="00497B"/>
      <w:shd w:val="clear" w:color="auto" w:fill="auto"/>
    </w:rPr>
  </w:style>
  <w:style w:type="character" w:customStyle="1" w:styleId="DatumChar">
    <w:name w:val="Datum Char"/>
    <w:basedOn w:val="Standardnpsmoodstavce"/>
    <w:link w:val="Datum"/>
    <w:uiPriority w:val="99"/>
    <w:rsid w:val="00711920"/>
    <w:rPr>
      <w:rFonts w:ascii="Arial" w:hAnsi="Arial" w:cs="Arial"/>
      <w:noProof/>
      <w:color w:val="00497B"/>
      <w:sz w:val="20"/>
      <w:szCs w:val="20"/>
      <w:lang w:val="de-AT" w:eastAsia="de-DE"/>
    </w:rPr>
  </w:style>
  <w:style w:type="paragraph" w:customStyle="1" w:styleId="Zitat1">
    <w:name w:val="Zitat1"/>
    <w:basedOn w:val="Normln"/>
    <w:qFormat/>
    <w:rsid w:val="00745D18"/>
    <w:pPr>
      <w:spacing w:line="312" w:lineRule="auto"/>
      <w:ind w:left="459" w:right="312"/>
    </w:pPr>
    <w:rPr>
      <w:i/>
      <w:iCs/>
      <w:color w:val="00497C"/>
      <w:shd w:val="clear" w:color="auto" w:fill="auto"/>
    </w:rPr>
  </w:style>
  <w:style w:type="paragraph" w:customStyle="1" w:styleId="QuoteIn-Text">
    <w:name w:val="Quote In-Text"/>
    <w:basedOn w:val="Normln"/>
    <w:next w:val="Normln"/>
    <w:link w:val="QuoteIn-TextZchn"/>
    <w:qFormat/>
    <w:rsid w:val="00AC3985"/>
    <w:rPr>
      <w:i/>
      <w:iCs/>
      <w:color w:val="000000" w:themeColor="text1"/>
      <w:shd w:val="clear" w:color="auto" w:fill="auto"/>
    </w:rPr>
  </w:style>
  <w:style w:type="character" w:customStyle="1" w:styleId="QuoteIn-TextZchn">
    <w:name w:val="Quote In-Text Zchn"/>
    <w:basedOn w:val="Standardnpsmoodstavce"/>
    <w:link w:val="QuoteIn-Text"/>
    <w:rsid w:val="00AC3985"/>
    <w:rPr>
      <w:rFonts w:ascii="Arial" w:hAnsi="Arial" w:cs="Arial"/>
      <w:i/>
      <w:iCs/>
      <w:noProof/>
      <w:color w:val="000000" w:themeColor="text1"/>
      <w:sz w:val="20"/>
      <w:szCs w:val="20"/>
      <w:lang w:val="de-AT" w:eastAsia="de-DE"/>
    </w:rPr>
  </w:style>
  <w:style w:type="paragraph" w:customStyle="1" w:styleId="Default">
    <w:name w:val="Default"/>
    <w:rsid w:val="005503D9"/>
    <w:pPr>
      <w:autoSpaceDE w:val="0"/>
      <w:autoSpaceDN w:val="0"/>
      <w:adjustRightInd w:val="0"/>
    </w:pPr>
    <w:rPr>
      <w:rFonts w:ascii="Arial" w:hAnsi="Arial" w:cs="Arial"/>
      <w:color w:val="000000"/>
    </w:rPr>
  </w:style>
  <w:style w:type="paragraph" w:customStyle="1" w:styleId="Externer-Hyperlink">
    <w:name w:val="Externer-Hyperlink"/>
    <w:basedOn w:val="Normln"/>
    <w:qFormat/>
    <w:rsid w:val="005C34A1"/>
    <w:rPr>
      <w:b/>
      <w:bCs/>
      <w:color w:val="00497C"/>
      <w:u w:val="single"/>
    </w:rPr>
  </w:style>
  <w:style w:type="paragraph" w:customStyle="1" w:styleId="Credits">
    <w:name w:val="Credits"/>
    <w:basedOn w:val="Normln"/>
    <w:qFormat/>
    <w:rsid w:val="005C34A1"/>
    <w:rPr>
      <w:sz w:val="16"/>
      <w:szCs w:val="16"/>
    </w:rPr>
  </w:style>
  <w:style w:type="paragraph" w:customStyle="1" w:styleId="berschrift-Kopfzeile">
    <w:name w:val="Überschrift-Kopfzeile"/>
    <w:basedOn w:val="Nadpis3"/>
    <w:qFormat/>
    <w:rsid w:val="00584B98"/>
    <w:pPr>
      <w:spacing w:after="40"/>
      <w:ind w:left="567" w:right="556"/>
    </w:pPr>
    <w:rPr>
      <w:shd w:val="clear" w:color="auto" w:fill="auto"/>
    </w:rPr>
  </w:style>
  <w:style w:type="paragraph" w:customStyle="1" w:styleId="ListenabsatzFliesstext">
    <w:name w:val="Listenabsatz Fliesstext"/>
    <w:basedOn w:val="Odstavecseseznamem"/>
    <w:qFormat/>
    <w:rsid w:val="00AC3985"/>
    <w:rPr>
      <w:sz w:val="20"/>
      <w:szCs w:val="20"/>
    </w:rPr>
  </w:style>
  <w:style w:type="paragraph" w:styleId="Bezmezer">
    <w:name w:val="No Spacing"/>
    <w:uiPriority w:val="1"/>
    <w:qFormat/>
    <w:rsid w:val="00A23F87"/>
    <w:rPr>
      <w:rFonts w:ascii="Arial" w:eastAsia="Calibri" w:hAnsi="Arial" w:cs="Times New Roman"/>
      <w:sz w:val="22"/>
      <w:szCs w:val="22"/>
      <w:lang w:val="de-AT"/>
    </w:rPr>
  </w:style>
  <w:style w:type="paragraph" w:customStyle="1" w:styleId="Info">
    <w:name w:val="Info"/>
    <w:basedOn w:val="Normln"/>
    <w:uiPriority w:val="11"/>
    <w:qFormat/>
    <w:rsid w:val="001D07BC"/>
    <w:pPr>
      <w:spacing w:line="169" w:lineRule="exact"/>
    </w:pPr>
    <w:rPr>
      <w:rFonts w:asciiTheme="minorHAnsi" w:hAnsiTheme="minorHAnsi" w:cstheme="minorBidi"/>
      <w:noProof w:val="0"/>
      <w:color w:val="000000" w:themeColor="text1"/>
      <w:sz w:val="13"/>
      <w:szCs w:val="22"/>
      <w:shd w:val="clear" w:color="auto" w:fill="auto"/>
      <w:lang w:val="en-GB" w:eastAsia="en-US"/>
    </w:rPr>
  </w:style>
  <w:style w:type="character" w:customStyle="1" w:styleId="FettimText">
    <w:name w:val="Fett im Text"/>
    <w:uiPriority w:val="1"/>
    <w:qFormat/>
    <w:rsid w:val="00C248D9"/>
    <w:rPr>
      <w:rFonts w:ascii="STIX Two Text" w:hAnsi="STIX Two Text"/>
      <w:b/>
    </w:rPr>
  </w:style>
  <w:style w:type="paragraph" w:styleId="Revize">
    <w:name w:val="Revision"/>
    <w:hidden/>
    <w:uiPriority w:val="99"/>
    <w:semiHidden/>
    <w:rsid w:val="002707A8"/>
    <w:rPr>
      <w:rFonts w:ascii="Arial" w:hAnsi="Arial" w:cs="Arial"/>
      <w:noProof/>
      <w:sz w:val="20"/>
      <w:szCs w:val="20"/>
      <w:shd w:val="clear" w:color="auto" w:fill="FFFFFF"/>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482">
      <w:bodyDiv w:val="1"/>
      <w:marLeft w:val="0"/>
      <w:marRight w:val="0"/>
      <w:marTop w:val="0"/>
      <w:marBottom w:val="0"/>
      <w:divBdr>
        <w:top w:val="none" w:sz="0" w:space="0" w:color="auto"/>
        <w:left w:val="none" w:sz="0" w:space="0" w:color="auto"/>
        <w:bottom w:val="none" w:sz="0" w:space="0" w:color="auto"/>
        <w:right w:val="none" w:sz="0" w:space="0" w:color="auto"/>
      </w:divBdr>
    </w:div>
    <w:div w:id="129716910">
      <w:bodyDiv w:val="1"/>
      <w:marLeft w:val="0"/>
      <w:marRight w:val="0"/>
      <w:marTop w:val="0"/>
      <w:marBottom w:val="0"/>
      <w:divBdr>
        <w:top w:val="none" w:sz="0" w:space="0" w:color="auto"/>
        <w:left w:val="none" w:sz="0" w:space="0" w:color="auto"/>
        <w:bottom w:val="none" w:sz="0" w:space="0" w:color="auto"/>
        <w:right w:val="none" w:sz="0" w:space="0" w:color="auto"/>
      </w:divBdr>
    </w:div>
    <w:div w:id="158086030">
      <w:bodyDiv w:val="1"/>
      <w:marLeft w:val="0"/>
      <w:marRight w:val="0"/>
      <w:marTop w:val="0"/>
      <w:marBottom w:val="0"/>
      <w:divBdr>
        <w:top w:val="none" w:sz="0" w:space="0" w:color="auto"/>
        <w:left w:val="none" w:sz="0" w:space="0" w:color="auto"/>
        <w:bottom w:val="none" w:sz="0" w:space="0" w:color="auto"/>
        <w:right w:val="none" w:sz="0" w:space="0" w:color="auto"/>
      </w:divBdr>
    </w:div>
    <w:div w:id="174882318">
      <w:bodyDiv w:val="1"/>
      <w:marLeft w:val="0"/>
      <w:marRight w:val="0"/>
      <w:marTop w:val="0"/>
      <w:marBottom w:val="0"/>
      <w:divBdr>
        <w:top w:val="none" w:sz="0" w:space="0" w:color="auto"/>
        <w:left w:val="none" w:sz="0" w:space="0" w:color="auto"/>
        <w:bottom w:val="none" w:sz="0" w:space="0" w:color="auto"/>
        <w:right w:val="none" w:sz="0" w:space="0" w:color="auto"/>
      </w:divBdr>
      <w:divsChild>
        <w:div w:id="1659383571">
          <w:marLeft w:val="0"/>
          <w:marRight w:val="0"/>
          <w:marTop w:val="0"/>
          <w:marBottom w:val="0"/>
          <w:divBdr>
            <w:top w:val="none" w:sz="0" w:space="0" w:color="auto"/>
            <w:left w:val="none" w:sz="0" w:space="0" w:color="auto"/>
            <w:bottom w:val="none" w:sz="0" w:space="0" w:color="auto"/>
            <w:right w:val="none" w:sz="0" w:space="0" w:color="auto"/>
          </w:divBdr>
        </w:div>
      </w:divsChild>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446706568">
      <w:bodyDiv w:val="1"/>
      <w:marLeft w:val="0"/>
      <w:marRight w:val="0"/>
      <w:marTop w:val="0"/>
      <w:marBottom w:val="0"/>
      <w:divBdr>
        <w:top w:val="none" w:sz="0" w:space="0" w:color="auto"/>
        <w:left w:val="none" w:sz="0" w:space="0" w:color="auto"/>
        <w:bottom w:val="none" w:sz="0" w:space="0" w:color="auto"/>
        <w:right w:val="none" w:sz="0" w:space="0" w:color="auto"/>
      </w:divBdr>
    </w:div>
    <w:div w:id="532963368">
      <w:bodyDiv w:val="1"/>
      <w:marLeft w:val="0"/>
      <w:marRight w:val="0"/>
      <w:marTop w:val="0"/>
      <w:marBottom w:val="0"/>
      <w:divBdr>
        <w:top w:val="none" w:sz="0" w:space="0" w:color="auto"/>
        <w:left w:val="none" w:sz="0" w:space="0" w:color="auto"/>
        <w:bottom w:val="none" w:sz="0" w:space="0" w:color="auto"/>
        <w:right w:val="none" w:sz="0" w:space="0" w:color="auto"/>
      </w:divBdr>
    </w:div>
    <w:div w:id="579875465">
      <w:bodyDiv w:val="1"/>
      <w:marLeft w:val="0"/>
      <w:marRight w:val="0"/>
      <w:marTop w:val="0"/>
      <w:marBottom w:val="0"/>
      <w:divBdr>
        <w:top w:val="none" w:sz="0" w:space="0" w:color="auto"/>
        <w:left w:val="none" w:sz="0" w:space="0" w:color="auto"/>
        <w:bottom w:val="none" w:sz="0" w:space="0" w:color="auto"/>
        <w:right w:val="none" w:sz="0" w:space="0" w:color="auto"/>
      </w:divBdr>
    </w:div>
    <w:div w:id="810901684">
      <w:bodyDiv w:val="1"/>
      <w:marLeft w:val="0"/>
      <w:marRight w:val="0"/>
      <w:marTop w:val="0"/>
      <w:marBottom w:val="0"/>
      <w:divBdr>
        <w:top w:val="none" w:sz="0" w:space="0" w:color="auto"/>
        <w:left w:val="none" w:sz="0" w:space="0" w:color="auto"/>
        <w:bottom w:val="none" w:sz="0" w:space="0" w:color="auto"/>
        <w:right w:val="none" w:sz="0" w:space="0" w:color="auto"/>
      </w:divBdr>
    </w:div>
    <w:div w:id="833105308">
      <w:bodyDiv w:val="1"/>
      <w:marLeft w:val="0"/>
      <w:marRight w:val="0"/>
      <w:marTop w:val="0"/>
      <w:marBottom w:val="0"/>
      <w:divBdr>
        <w:top w:val="none" w:sz="0" w:space="0" w:color="auto"/>
        <w:left w:val="none" w:sz="0" w:space="0" w:color="auto"/>
        <w:bottom w:val="none" w:sz="0" w:space="0" w:color="auto"/>
        <w:right w:val="none" w:sz="0" w:space="0" w:color="auto"/>
      </w:divBdr>
    </w:div>
    <w:div w:id="850293339">
      <w:bodyDiv w:val="1"/>
      <w:marLeft w:val="0"/>
      <w:marRight w:val="0"/>
      <w:marTop w:val="0"/>
      <w:marBottom w:val="0"/>
      <w:divBdr>
        <w:top w:val="none" w:sz="0" w:space="0" w:color="auto"/>
        <w:left w:val="none" w:sz="0" w:space="0" w:color="auto"/>
        <w:bottom w:val="none" w:sz="0" w:space="0" w:color="auto"/>
        <w:right w:val="none" w:sz="0" w:space="0" w:color="auto"/>
      </w:divBdr>
    </w:div>
    <w:div w:id="870607147">
      <w:bodyDiv w:val="1"/>
      <w:marLeft w:val="0"/>
      <w:marRight w:val="0"/>
      <w:marTop w:val="0"/>
      <w:marBottom w:val="0"/>
      <w:divBdr>
        <w:top w:val="none" w:sz="0" w:space="0" w:color="auto"/>
        <w:left w:val="none" w:sz="0" w:space="0" w:color="auto"/>
        <w:bottom w:val="none" w:sz="0" w:space="0" w:color="auto"/>
        <w:right w:val="none" w:sz="0" w:space="0" w:color="auto"/>
      </w:divBdr>
    </w:div>
    <w:div w:id="885874511">
      <w:bodyDiv w:val="1"/>
      <w:marLeft w:val="0"/>
      <w:marRight w:val="0"/>
      <w:marTop w:val="0"/>
      <w:marBottom w:val="0"/>
      <w:divBdr>
        <w:top w:val="none" w:sz="0" w:space="0" w:color="auto"/>
        <w:left w:val="none" w:sz="0" w:space="0" w:color="auto"/>
        <w:bottom w:val="none" w:sz="0" w:space="0" w:color="auto"/>
        <w:right w:val="none" w:sz="0" w:space="0" w:color="auto"/>
      </w:divBdr>
    </w:div>
    <w:div w:id="998004098">
      <w:bodyDiv w:val="1"/>
      <w:marLeft w:val="0"/>
      <w:marRight w:val="0"/>
      <w:marTop w:val="0"/>
      <w:marBottom w:val="0"/>
      <w:divBdr>
        <w:top w:val="none" w:sz="0" w:space="0" w:color="auto"/>
        <w:left w:val="none" w:sz="0" w:space="0" w:color="auto"/>
        <w:bottom w:val="none" w:sz="0" w:space="0" w:color="auto"/>
        <w:right w:val="none" w:sz="0" w:space="0" w:color="auto"/>
      </w:divBdr>
    </w:div>
    <w:div w:id="1025444768">
      <w:bodyDiv w:val="1"/>
      <w:marLeft w:val="0"/>
      <w:marRight w:val="0"/>
      <w:marTop w:val="0"/>
      <w:marBottom w:val="0"/>
      <w:divBdr>
        <w:top w:val="none" w:sz="0" w:space="0" w:color="auto"/>
        <w:left w:val="none" w:sz="0" w:space="0" w:color="auto"/>
        <w:bottom w:val="none" w:sz="0" w:space="0" w:color="auto"/>
        <w:right w:val="none" w:sz="0" w:space="0" w:color="auto"/>
      </w:divBdr>
    </w:div>
    <w:div w:id="1027756082">
      <w:bodyDiv w:val="1"/>
      <w:marLeft w:val="0"/>
      <w:marRight w:val="0"/>
      <w:marTop w:val="0"/>
      <w:marBottom w:val="0"/>
      <w:divBdr>
        <w:top w:val="none" w:sz="0" w:space="0" w:color="auto"/>
        <w:left w:val="none" w:sz="0" w:space="0" w:color="auto"/>
        <w:bottom w:val="none" w:sz="0" w:space="0" w:color="auto"/>
        <w:right w:val="none" w:sz="0" w:space="0" w:color="auto"/>
      </w:divBdr>
    </w:div>
    <w:div w:id="1034888608">
      <w:bodyDiv w:val="1"/>
      <w:marLeft w:val="0"/>
      <w:marRight w:val="0"/>
      <w:marTop w:val="0"/>
      <w:marBottom w:val="0"/>
      <w:divBdr>
        <w:top w:val="none" w:sz="0" w:space="0" w:color="auto"/>
        <w:left w:val="none" w:sz="0" w:space="0" w:color="auto"/>
        <w:bottom w:val="none" w:sz="0" w:space="0" w:color="auto"/>
        <w:right w:val="none" w:sz="0" w:space="0" w:color="auto"/>
      </w:divBdr>
    </w:div>
    <w:div w:id="1082991499">
      <w:bodyDiv w:val="1"/>
      <w:marLeft w:val="0"/>
      <w:marRight w:val="0"/>
      <w:marTop w:val="0"/>
      <w:marBottom w:val="0"/>
      <w:divBdr>
        <w:top w:val="none" w:sz="0" w:space="0" w:color="auto"/>
        <w:left w:val="none" w:sz="0" w:space="0" w:color="auto"/>
        <w:bottom w:val="none" w:sz="0" w:space="0" w:color="auto"/>
        <w:right w:val="none" w:sz="0" w:space="0" w:color="auto"/>
      </w:divBdr>
    </w:div>
    <w:div w:id="1147553574">
      <w:bodyDiv w:val="1"/>
      <w:marLeft w:val="0"/>
      <w:marRight w:val="0"/>
      <w:marTop w:val="0"/>
      <w:marBottom w:val="0"/>
      <w:divBdr>
        <w:top w:val="none" w:sz="0" w:space="0" w:color="auto"/>
        <w:left w:val="none" w:sz="0" w:space="0" w:color="auto"/>
        <w:bottom w:val="none" w:sz="0" w:space="0" w:color="auto"/>
        <w:right w:val="none" w:sz="0" w:space="0" w:color="auto"/>
      </w:divBdr>
    </w:div>
    <w:div w:id="1155293602">
      <w:bodyDiv w:val="1"/>
      <w:marLeft w:val="0"/>
      <w:marRight w:val="0"/>
      <w:marTop w:val="0"/>
      <w:marBottom w:val="0"/>
      <w:divBdr>
        <w:top w:val="none" w:sz="0" w:space="0" w:color="auto"/>
        <w:left w:val="none" w:sz="0" w:space="0" w:color="auto"/>
        <w:bottom w:val="none" w:sz="0" w:space="0" w:color="auto"/>
        <w:right w:val="none" w:sz="0" w:space="0" w:color="auto"/>
      </w:divBdr>
    </w:div>
    <w:div w:id="1156724760">
      <w:bodyDiv w:val="1"/>
      <w:marLeft w:val="0"/>
      <w:marRight w:val="0"/>
      <w:marTop w:val="0"/>
      <w:marBottom w:val="0"/>
      <w:divBdr>
        <w:top w:val="none" w:sz="0" w:space="0" w:color="auto"/>
        <w:left w:val="none" w:sz="0" w:space="0" w:color="auto"/>
        <w:bottom w:val="none" w:sz="0" w:space="0" w:color="auto"/>
        <w:right w:val="none" w:sz="0" w:space="0" w:color="auto"/>
      </w:divBdr>
    </w:div>
    <w:div w:id="1157378452">
      <w:bodyDiv w:val="1"/>
      <w:marLeft w:val="0"/>
      <w:marRight w:val="0"/>
      <w:marTop w:val="0"/>
      <w:marBottom w:val="0"/>
      <w:divBdr>
        <w:top w:val="none" w:sz="0" w:space="0" w:color="auto"/>
        <w:left w:val="none" w:sz="0" w:space="0" w:color="auto"/>
        <w:bottom w:val="none" w:sz="0" w:space="0" w:color="auto"/>
        <w:right w:val="none" w:sz="0" w:space="0" w:color="auto"/>
      </w:divBdr>
    </w:div>
    <w:div w:id="1225675191">
      <w:bodyDiv w:val="1"/>
      <w:marLeft w:val="0"/>
      <w:marRight w:val="0"/>
      <w:marTop w:val="0"/>
      <w:marBottom w:val="0"/>
      <w:divBdr>
        <w:top w:val="none" w:sz="0" w:space="0" w:color="auto"/>
        <w:left w:val="none" w:sz="0" w:space="0" w:color="auto"/>
        <w:bottom w:val="none" w:sz="0" w:space="0" w:color="auto"/>
        <w:right w:val="none" w:sz="0" w:space="0" w:color="auto"/>
      </w:divBdr>
    </w:div>
    <w:div w:id="1241603192">
      <w:bodyDiv w:val="1"/>
      <w:marLeft w:val="0"/>
      <w:marRight w:val="0"/>
      <w:marTop w:val="0"/>
      <w:marBottom w:val="0"/>
      <w:divBdr>
        <w:top w:val="none" w:sz="0" w:space="0" w:color="auto"/>
        <w:left w:val="none" w:sz="0" w:space="0" w:color="auto"/>
        <w:bottom w:val="none" w:sz="0" w:space="0" w:color="auto"/>
        <w:right w:val="none" w:sz="0" w:space="0" w:color="auto"/>
      </w:divBdr>
    </w:div>
    <w:div w:id="1245266072">
      <w:bodyDiv w:val="1"/>
      <w:marLeft w:val="0"/>
      <w:marRight w:val="0"/>
      <w:marTop w:val="0"/>
      <w:marBottom w:val="0"/>
      <w:divBdr>
        <w:top w:val="none" w:sz="0" w:space="0" w:color="auto"/>
        <w:left w:val="none" w:sz="0" w:space="0" w:color="auto"/>
        <w:bottom w:val="none" w:sz="0" w:space="0" w:color="auto"/>
        <w:right w:val="none" w:sz="0" w:space="0" w:color="auto"/>
      </w:divBdr>
    </w:div>
    <w:div w:id="1249652756">
      <w:bodyDiv w:val="1"/>
      <w:marLeft w:val="0"/>
      <w:marRight w:val="0"/>
      <w:marTop w:val="0"/>
      <w:marBottom w:val="0"/>
      <w:divBdr>
        <w:top w:val="none" w:sz="0" w:space="0" w:color="auto"/>
        <w:left w:val="none" w:sz="0" w:space="0" w:color="auto"/>
        <w:bottom w:val="none" w:sz="0" w:space="0" w:color="auto"/>
        <w:right w:val="none" w:sz="0" w:space="0" w:color="auto"/>
      </w:divBdr>
    </w:div>
    <w:div w:id="1280338018">
      <w:bodyDiv w:val="1"/>
      <w:marLeft w:val="0"/>
      <w:marRight w:val="0"/>
      <w:marTop w:val="0"/>
      <w:marBottom w:val="0"/>
      <w:divBdr>
        <w:top w:val="none" w:sz="0" w:space="0" w:color="auto"/>
        <w:left w:val="none" w:sz="0" w:space="0" w:color="auto"/>
        <w:bottom w:val="none" w:sz="0" w:space="0" w:color="auto"/>
        <w:right w:val="none" w:sz="0" w:space="0" w:color="auto"/>
      </w:divBdr>
    </w:div>
    <w:div w:id="1348021163">
      <w:bodyDiv w:val="1"/>
      <w:marLeft w:val="0"/>
      <w:marRight w:val="0"/>
      <w:marTop w:val="0"/>
      <w:marBottom w:val="0"/>
      <w:divBdr>
        <w:top w:val="none" w:sz="0" w:space="0" w:color="auto"/>
        <w:left w:val="none" w:sz="0" w:space="0" w:color="auto"/>
        <w:bottom w:val="none" w:sz="0" w:space="0" w:color="auto"/>
        <w:right w:val="none" w:sz="0" w:space="0" w:color="auto"/>
      </w:divBdr>
    </w:div>
    <w:div w:id="1387997230">
      <w:bodyDiv w:val="1"/>
      <w:marLeft w:val="0"/>
      <w:marRight w:val="0"/>
      <w:marTop w:val="0"/>
      <w:marBottom w:val="0"/>
      <w:divBdr>
        <w:top w:val="none" w:sz="0" w:space="0" w:color="auto"/>
        <w:left w:val="none" w:sz="0" w:space="0" w:color="auto"/>
        <w:bottom w:val="none" w:sz="0" w:space="0" w:color="auto"/>
        <w:right w:val="none" w:sz="0" w:space="0" w:color="auto"/>
      </w:divBdr>
    </w:div>
    <w:div w:id="1494223197">
      <w:bodyDiv w:val="1"/>
      <w:marLeft w:val="0"/>
      <w:marRight w:val="0"/>
      <w:marTop w:val="0"/>
      <w:marBottom w:val="0"/>
      <w:divBdr>
        <w:top w:val="none" w:sz="0" w:space="0" w:color="auto"/>
        <w:left w:val="none" w:sz="0" w:space="0" w:color="auto"/>
        <w:bottom w:val="none" w:sz="0" w:space="0" w:color="auto"/>
        <w:right w:val="none" w:sz="0" w:space="0" w:color="auto"/>
      </w:divBdr>
    </w:div>
    <w:div w:id="1510944110">
      <w:bodyDiv w:val="1"/>
      <w:marLeft w:val="0"/>
      <w:marRight w:val="0"/>
      <w:marTop w:val="0"/>
      <w:marBottom w:val="0"/>
      <w:divBdr>
        <w:top w:val="none" w:sz="0" w:space="0" w:color="auto"/>
        <w:left w:val="none" w:sz="0" w:space="0" w:color="auto"/>
        <w:bottom w:val="none" w:sz="0" w:space="0" w:color="auto"/>
        <w:right w:val="none" w:sz="0" w:space="0" w:color="auto"/>
      </w:divBdr>
    </w:div>
    <w:div w:id="1524636067">
      <w:bodyDiv w:val="1"/>
      <w:marLeft w:val="0"/>
      <w:marRight w:val="0"/>
      <w:marTop w:val="0"/>
      <w:marBottom w:val="0"/>
      <w:divBdr>
        <w:top w:val="none" w:sz="0" w:space="0" w:color="auto"/>
        <w:left w:val="none" w:sz="0" w:space="0" w:color="auto"/>
        <w:bottom w:val="none" w:sz="0" w:space="0" w:color="auto"/>
        <w:right w:val="none" w:sz="0" w:space="0" w:color="auto"/>
      </w:divBdr>
    </w:div>
    <w:div w:id="1586764372">
      <w:bodyDiv w:val="1"/>
      <w:marLeft w:val="0"/>
      <w:marRight w:val="0"/>
      <w:marTop w:val="0"/>
      <w:marBottom w:val="0"/>
      <w:divBdr>
        <w:top w:val="none" w:sz="0" w:space="0" w:color="auto"/>
        <w:left w:val="none" w:sz="0" w:space="0" w:color="auto"/>
        <w:bottom w:val="none" w:sz="0" w:space="0" w:color="auto"/>
        <w:right w:val="none" w:sz="0" w:space="0" w:color="auto"/>
      </w:divBdr>
    </w:div>
    <w:div w:id="1601833889">
      <w:bodyDiv w:val="1"/>
      <w:marLeft w:val="0"/>
      <w:marRight w:val="0"/>
      <w:marTop w:val="0"/>
      <w:marBottom w:val="0"/>
      <w:divBdr>
        <w:top w:val="none" w:sz="0" w:space="0" w:color="auto"/>
        <w:left w:val="none" w:sz="0" w:space="0" w:color="auto"/>
        <w:bottom w:val="none" w:sz="0" w:space="0" w:color="auto"/>
        <w:right w:val="none" w:sz="0" w:space="0" w:color="auto"/>
      </w:divBdr>
    </w:div>
    <w:div w:id="1636642320">
      <w:bodyDiv w:val="1"/>
      <w:marLeft w:val="0"/>
      <w:marRight w:val="0"/>
      <w:marTop w:val="0"/>
      <w:marBottom w:val="0"/>
      <w:divBdr>
        <w:top w:val="none" w:sz="0" w:space="0" w:color="auto"/>
        <w:left w:val="none" w:sz="0" w:space="0" w:color="auto"/>
        <w:bottom w:val="none" w:sz="0" w:space="0" w:color="auto"/>
        <w:right w:val="none" w:sz="0" w:space="0" w:color="auto"/>
      </w:divBdr>
    </w:div>
    <w:div w:id="1654792353">
      <w:bodyDiv w:val="1"/>
      <w:marLeft w:val="0"/>
      <w:marRight w:val="0"/>
      <w:marTop w:val="0"/>
      <w:marBottom w:val="0"/>
      <w:divBdr>
        <w:top w:val="none" w:sz="0" w:space="0" w:color="auto"/>
        <w:left w:val="none" w:sz="0" w:space="0" w:color="auto"/>
        <w:bottom w:val="none" w:sz="0" w:space="0" w:color="auto"/>
        <w:right w:val="none" w:sz="0" w:space="0" w:color="auto"/>
      </w:divBdr>
    </w:div>
    <w:div w:id="1686402383">
      <w:bodyDiv w:val="1"/>
      <w:marLeft w:val="0"/>
      <w:marRight w:val="0"/>
      <w:marTop w:val="0"/>
      <w:marBottom w:val="0"/>
      <w:divBdr>
        <w:top w:val="none" w:sz="0" w:space="0" w:color="auto"/>
        <w:left w:val="none" w:sz="0" w:space="0" w:color="auto"/>
        <w:bottom w:val="none" w:sz="0" w:space="0" w:color="auto"/>
        <w:right w:val="none" w:sz="0" w:space="0" w:color="auto"/>
      </w:divBdr>
    </w:div>
    <w:div w:id="1701978243">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32533104">
      <w:bodyDiv w:val="1"/>
      <w:marLeft w:val="0"/>
      <w:marRight w:val="0"/>
      <w:marTop w:val="0"/>
      <w:marBottom w:val="0"/>
      <w:divBdr>
        <w:top w:val="none" w:sz="0" w:space="0" w:color="auto"/>
        <w:left w:val="none" w:sz="0" w:space="0" w:color="auto"/>
        <w:bottom w:val="none" w:sz="0" w:space="0" w:color="auto"/>
        <w:right w:val="none" w:sz="0" w:space="0" w:color="auto"/>
      </w:divBdr>
    </w:div>
    <w:div w:id="1754550903">
      <w:bodyDiv w:val="1"/>
      <w:marLeft w:val="0"/>
      <w:marRight w:val="0"/>
      <w:marTop w:val="0"/>
      <w:marBottom w:val="0"/>
      <w:divBdr>
        <w:top w:val="none" w:sz="0" w:space="0" w:color="auto"/>
        <w:left w:val="none" w:sz="0" w:space="0" w:color="auto"/>
        <w:bottom w:val="none" w:sz="0" w:space="0" w:color="auto"/>
        <w:right w:val="none" w:sz="0" w:space="0" w:color="auto"/>
      </w:divBdr>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
    <w:div w:id="1841315077">
      <w:bodyDiv w:val="1"/>
      <w:marLeft w:val="0"/>
      <w:marRight w:val="0"/>
      <w:marTop w:val="0"/>
      <w:marBottom w:val="0"/>
      <w:divBdr>
        <w:top w:val="none" w:sz="0" w:space="0" w:color="auto"/>
        <w:left w:val="none" w:sz="0" w:space="0" w:color="auto"/>
        <w:bottom w:val="none" w:sz="0" w:space="0" w:color="auto"/>
        <w:right w:val="none" w:sz="0" w:space="0" w:color="auto"/>
      </w:divBdr>
    </w:div>
    <w:div w:id="1953975443">
      <w:bodyDiv w:val="1"/>
      <w:marLeft w:val="0"/>
      <w:marRight w:val="0"/>
      <w:marTop w:val="0"/>
      <w:marBottom w:val="0"/>
      <w:divBdr>
        <w:top w:val="none" w:sz="0" w:space="0" w:color="auto"/>
        <w:left w:val="none" w:sz="0" w:space="0" w:color="auto"/>
        <w:bottom w:val="none" w:sz="0" w:space="0" w:color="auto"/>
        <w:right w:val="none" w:sz="0" w:space="0" w:color="auto"/>
      </w:divBdr>
    </w:div>
    <w:div w:id="1964531514">
      <w:bodyDiv w:val="1"/>
      <w:marLeft w:val="0"/>
      <w:marRight w:val="0"/>
      <w:marTop w:val="0"/>
      <w:marBottom w:val="0"/>
      <w:divBdr>
        <w:top w:val="none" w:sz="0" w:space="0" w:color="auto"/>
        <w:left w:val="none" w:sz="0" w:space="0" w:color="auto"/>
        <w:bottom w:val="none" w:sz="0" w:space="0" w:color="auto"/>
        <w:right w:val="none" w:sz="0" w:space="0" w:color="auto"/>
      </w:divBdr>
    </w:div>
    <w:div w:id="2045476201">
      <w:bodyDiv w:val="1"/>
      <w:marLeft w:val="0"/>
      <w:marRight w:val="0"/>
      <w:marTop w:val="0"/>
      <w:marBottom w:val="0"/>
      <w:divBdr>
        <w:top w:val="none" w:sz="0" w:space="0" w:color="auto"/>
        <w:left w:val="none" w:sz="0" w:space="0" w:color="auto"/>
        <w:bottom w:val="none" w:sz="0" w:space="0" w:color="auto"/>
        <w:right w:val="none" w:sz="0" w:space="0" w:color="auto"/>
      </w:divBdr>
    </w:div>
    <w:div w:id="2083873206">
      <w:bodyDiv w:val="1"/>
      <w:marLeft w:val="0"/>
      <w:marRight w:val="0"/>
      <w:marTop w:val="0"/>
      <w:marBottom w:val="0"/>
      <w:divBdr>
        <w:top w:val="none" w:sz="0" w:space="0" w:color="auto"/>
        <w:left w:val="none" w:sz="0" w:space="0" w:color="auto"/>
        <w:bottom w:val="none" w:sz="0" w:space="0" w:color="auto"/>
        <w:right w:val="none" w:sz="0" w:space="0" w:color="auto"/>
      </w:divBdr>
    </w:div>
    <w:div w:id="21193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EF6D673F6C444A56AD1A69ED879D5" ma:contentTypeVersion="23" ma:contentTypeDescription="Create a new document." ma:contentTypeScope="" ma:versionID="aee4b662b451dda9edb976b4b66d6d82">
  <xsd:schema xmlns:xsd="http://www.w3.org/2001/XMLSchema" xmlns:xs="http://www.w3.org/2001/XMLSchema" xmlns:p="http://schemas.microsoft.com/office/2006/metadata/properties" xmlns:ns1="http://schemas.microsoft.com/sharepoint/v3" xmlns:ns2="4fbe574a-ea71-4a7a-8b6c-7f8379c27a3b" xmlns:ns3="c2323869-9312-41a6-b73b-7b8186d7ec70" xmlns:ns4="http://schemas.microsoft.com/sharepoint/v4" targetNamespace="http://schemas.microsoft.com/office/2006/metadata/properties" ma:root="true" ma:fieldsID="9063190ef233f063088c850a926bd204" ns1:_="" ns2:_="" ns3:_="" ns4:_="">
    <xsd:import namespace="http://schemas.microsoft.com/sharepoint/v3"/>
    <xsd:import namespace="4fbe574a-ea71-4a7a-8b6c-7f8379c27a3b"/>
    <xsd:import namespace="c2323869-9312-41a6-b73b-7b8186d7ec7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IconOverlay"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574a-ea71-4a7a-8b6c-7f8379c2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23869-9312-41a6-b73b-7b8186d7ec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8366b5-4854-423f-9ece-b76b9890fd11}" ma:internalName="TaxCatchAll" ma:showField="CatchAllData" ma:web="c2323869-9312-41a6-b73b-7b8186d7e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TaxCatchAll xmlns="c2323869-9312-41a6-b73b-7b8186d7ec70" xsi:nil="true"/>
    <lcf76f155ced4ddcb4097134ff3c332f xmlns="4fbe574a-ea71-4a7a-8b6c-7f8379c27a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C5707-1DCB-4AAC-9DE9-802E974CD6A8}">
  <ds:schemaRefs>
    <ds:schemaRef ds:uri="http://schemas.microsoft.com/sharepoint/v3/contenttype/forms"/>
  </ds:schemaRefs>
</ds:datastoreItem>
</file>

<file path=customXml/itemProps2.xml><?xml version="1.0" encoding="utf-8"?>
<ds:datastoreItem xmlns:ds="http://schemas.openxmlformats.org/officeDocument/2006/customXml" ds:itemID="{5E23CB3D-9C4E-4AB5-A8CE-5E7AE659F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e574a-ea71-4a7a-8b6c-7f8379c27a3b"/>
    <ds:schemaRef ds:uri="c2323869-9312-41a6-b73b-7b8186d7ec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F4E33-DEAC-4DAA-9AD4-412F9ADAD9CC}">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c2323869-9312-41a6-b73b-7b8186d7ec70"/>
    <ds:schemaRef ds:uri="4fbe574a-ea71-4a7a-8b6c-7f8379c27a3b"/>
  </ds:schemaRefs>
</ds:datastoreItem>
</file>

<file path=customXml/itemProps4.xml><?xml version="1.0" encoding="utf-8"?>
<ds:datastoreItem xmlns:ds="http://schemas.openxmlformats.org/officeDocument/2006/customXml" ds:itemID="{DB57B6C5-9615-D344-958A-8002CE0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1327</Words>
  <Characters>7953</Characters>
  <Application>Microsoft Office Word</Application>
  <DocSecurity>0</DocSecurity>
  <Lines>134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Klopf</dc:creator>
  <cp:keywords/>
  <dc:description/>
  <cp:lastModifiedBy>Bouc František</cp:lastModifiedBy>
  <cp:revision>2</cp:revision>
  <dcterms:created xsi:type="dcterms:W3CDTF">2024-08-01T15:01:00Z</dcterms:created>
  <dcterms:modified xsi:type="dcterms:W3CDTF">2024-08-01T15:01:00Z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0x010100409EF6D673F6C444A56AD1A69ED879D5</vt:lpwstr>
  </property>
  <property fmtid="{D5CDD505-2E9C-101B-9397-08002B2CF9AE}" pid="3" name="MediaServiceImageTags">
    <vt:lpwstr/>
  </property>
  <property fmtid="{D5CDD505-2E9C-101B-9397-08002B2CF9AE}" pid="4" name="MSIP_Label_38939b85-7e40-4a1d-91e1-0e84c3b219d7_Enabled">
    <vt:lpwstr>true</vt:lpwstr>
  </property>
  <property fmtid="{D5CDD505-2E9C-101B-9397-08002B2CF9AE}" pid="5" name="MSIP_Label_38939b85-7e40-4a1d-91e1-0e84c3b219d7_SetDate">
    <vt:lpwstr>2024-07-29T13:52:05Z</vt:lpwstr>
  </property>
  <property fmtid="{D5CDD505-2E9C-101B-9397-08002B2CF9AE}" pid="6" name="MSIP_Label_38939b85-7e40-4a1d-91e1-0e84c3b219d7_Method">
    <vt:lpwstr>Privileged</vt:lpwstr>
  </property>
  <property fmtid="{D5CDD505-2E9C-101B-9397-08002B2CF9AE}" pid="7" name="MSIP_Label_38939b85-7e40-4a1d-91e1-0e84c3b219d7_Name">
    <vt:lpwstr>38939b85-7e40-4a1d-91e1-0e84c3b219d7</vt:lpwstr>
  </property>
  <property fmtid="{D5CDD505-2E9C-101B-9397-08002B2CF9AE}" pid="8" name="MSIP_Label_38939b85-7e40-4a1d-91e1-0e84c3b219d7_SiteId">
    <vt:lpwstr>3ad0376a-54d3-49a6-9e20-52de0a92fc89</vt:lpwstr>
  </property>
  <property fmtid="{D5CDD505-2E9C-101B-9397-08002B2CF9AE}" pid="9" name="MSIP_Label_38939b85-7e40-4a1d-91e1-0e84c3b219d7_ActionId">
    <vt:lpwstr>4ea7e129-8015-4c13-8b39-d95537ec838d</vt:lpwstr>
  </property>
  <property fmtid="{D5CDD505-2E9C-101B-9397-08002B2CF9AE}" pid="10" name="MSIP_Label_38939b85-7e40-4a1d-91e1-0e84c3b219d7_ContentBits">
    <vt:lpwstr>0</vt:lpwstr>
  </property>
</Properties>
</file>