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BC" w:rsidRPr="00F26B0E" w:rsidRDefault="00D146BC" w:rsidP="00D146BC">
      <w:pPr>
        <w:pStyle w:val="berschrift2"/>
        <w:spacing w:line="360" w:lineRule="auto"/>
        <w:rPr>
          <w:smallCaps/>
          <w:kern w:val="28"/>
          <w:sz w:val="32"/>
          <w:szCs w:val="32"/>
          <w:u w:val="single"/>
        </w:rPr>
      </w:pPr>
      <w:r w:rsidRPr="00E75644">
        <w:rPr>
          <w:smallCaps/>
          <w:kern w:val="28"/>
          <w:sz w:val="32"/>
          <w:szCs w:val="32"/>
          <w:u w:val="single"/>
        </w:rPr>
        <w:t>s Wohnbaubank zieht Bilanz über das Geschäftsjahr 20</w:t>
      </w:r>
      <w:r>
        <w:rPr>
          <w:smallCaps/>
          <w:kern w:val="28"/>
          <w:sz w:val="32"/>
          <w:szCs w:val="32"/>
          <w:u w:val="single"/>
        </w:rPr>
        <w:t>16</w:t>
      </w:r>
    </w:p>
    <w:p w:rsidR="00D146BC" w:rsidRDefault="00D146BC" w:rsidP="00D146BC">
      <w:pPr>
        <w:rPr>
          <w:b/>
          <w:smallCaps/>
          <w:sz w:val="24"/>
          <w:highlight w:val="yellow"/>
          <w:lang w:val="de-DE"/>
        </w:rPr>
      </w:pPr>
    </w:p>
    <w:p w:rsidR="00D146BC" w:rsidRPr="001E2EDC" w:rsidRDefault="00D146BC" w:rsidP="00D146BC">
      <w:pPr>
        <w:rPr>
          <w:b/>
          <w:smallCaps/>
          <w:sz w:val="24"/>
          <w:highlight w:val="yellow"/>
          <w:lang w:val="de-DE"/>
        </w:rPr>
      </w:pPr>
    </w:p>
    <w:p w:rsidR="00D146BC" w:rsidRPr="002822D7" w:rsidRDefault="00D146BC" w:rsidP="00D146BC">
      <w:pPr>
        <w:numPr>
          <w:ilvl w:val="0"/>
          <w:numId w:val="1"/>
        </w:numPr>
        <w:rPr>
          <w:b/>
          <w:sz w:val="24"/>
        </w:rPr>
      </w:pPr>
      <w:r w:rsidRPr="002822D7">
        <w:rPr>
          <w:b/>
          <w:smallCaps/>
          <w:sz w:val="24"/>
          <w:lang w:val="de-DE"/>
        </w:rPr>
        <w:t xml:space="preserve">sehr gute Emissionsleistung bringt Plus von sechzig Prozent </w:t>
      </w:r>
    </w:p>
    <w:p w:rsidR="00D146BC" w:rsidRPr="00B944B6" w:rsidRDefault="00D146BC" w:rsidP="00D146BC">
      <w:pPr>
        <w:ind w:left="720"/>
        <w:rPr>
          <w:b/>
          <w:sz w:val="24"/>
          <w:highlight w:val="yellow"/>
        </w:rPr>
      </w:pPr>
    </w:p>
    <w:p w:rsidR="00D146BC" w:rsidRPr="00693C30" w:rsidRDefault="00D146BC" w:rsidP="00D146BC">
      <w:pPr>
        <w:numPr>
          <w:ilvl w:val="0"/>
          <w:numId w:val="1"/>
        </w:numPr>
        <w:rPr>
          <w:b/>
          <w:sz w:val="24"/>
        </w:rPr>
      </w:pPr>
      <w:r w:rsidRPr="00693C30">
        <w:rPr>
          <w:b/>
          <w:smallCaps/>
          <w:sz w:val="24"/>
          <w:lang w:val="de-DE"/>
        </w:rPr>
        <w:t>KMU s Wohnbauanleihe stellt die Hälfte aller Emissionen</w:t>
      </w:r>
    </w:p>
    <w:p w:rsidR="00D146BC" w:rsidRPr="00B944B6" w:rsidRDefault="00D146BC" w:rsidP="00D146BC">
      <w:pPr>
        <w:rPr>
          <w:b/>
          <w:sz w:val="24"/>
          <w:highlight w:val="yellow"/>
        </w:rPr>
      </w:pPr>
    </w:p>
    <w:p w:rsidR="00D146BC" w:rsidRPr="00693C30" w:rsidRDefault="00D146BC" w:rsidP="00D146BC">
      <w:pPr>
        <w:numPr>
          <w:ilvl w:val="0"/>
          <w:numId w:val="1"/>
        </w:numPr>
        <w:rPr>
          <w:b/>
          <w:smallCaps/>
          <w:sz w:val="24"/>
        </w:rPr>
      </w:pPr>
      <w:r w:rsidRPr="00693C30">
        <w:rPr>
          <w:b/>
          <w:smallCaps/>
          <w:sz w:val="24"/>
        </w:rPr>
        <w:t>Wohnbaubank nach ethisch-nachhaltigen Kriterien zertifiziert</w:t>
      </w:r>
    </w:p>
    <w:p w:rsidR="00D146BC" w:rsidRDefault="00D146BC" w:rsidP="00D146BC">
      <w:pPr>
        <w:rPr>
          <w:sz w:val="22"/>
          <w:szCs w:val="22"/>
          <w:lang w:val="de-DE"/>
        </w:rPr>
      </w:pPr>
    </w:p>
    <w:p w:rsidR="00D146BC" w:rsidRPr="00746797" w:rsidRDefault="00D146BC" w:rsidP="00D146BC">
      <w:pPr>
        <w:rPr>
          <w:sz w:val="22"/>
          <w:szCs w:val="22"/>
          <w:lang w:val="de-DE"/>
        </w:rPr>
      </w:pPr>
    </w:p>
    <w:p w:rsidR="00D146BC" w:rsidRDefault="00D146BC" w:rsidP="00D146BC">
      <w:pPr>
        <w:spacing w:line="360" w:lineRule="auto"/>
        <w:rPr>
          <w:bCs/>
          <w:sz w:val="22"/>
          <w:szCs w:val="22"/>
        </w:rPr>
      </w:pPr>
      <w:r w:rsidRPr="00B944B6">
        <w:rPr>
          <w:bCs/>
          <w:sz w:val="22"/>
          <w:szCs w:val="22"/>
        </w:rPr>
        <w:t>Die Befunde zum österreichischen Immobilienmarkt – und hier speziell zur Entwicklung in den Ba</w:t>
      </w:r>
      <w:r w:rsidRPr="00B944B6">
        <w:rPr>
          <w:bCs/>
          <w:sz w:val="22"/>
          <w:szCs w:val="22"/>
        </w:rPr>
        <w:t>l</w:t>
      </w:r>
      <w:r w:rsidRPr="00B944B6">
        <w:rPr>
          <w:bCs/>
          <w:sz w:val="22"/>
          <w:szCs w:val="22"/>
        </w:rPr>
        <w:t xml:space="preserve">lungsräumen </w:t>
      </w:r>
      <w:r>
        <w:rPr>
          <w:bCs/>
          <w:sz w:val="22"/>
          <w:szCs w:val="22"/>
        </w:rPr>
        <w:t>–</w:t>
      </w:r>
      <w:r w:rsidRPr="00B944B6">
        <w:rPr>
          <w:bCs/>
          <w:sz w:val="22"/>
          <w:szCs w:val="22"/>
        </w:rPr>
        <w:t xml:space="preserve"> </w:t>
      </w:r>
      <w:r>
        <w:rPr>
          <w:bCs/>
          <w:sz w:val="22"/>
          <w:szCs w:val="22"/>
        </w:rPr>
        <w:t xml:space="preserve">ist nach wie vor ernüchternd. Es fehlen in den Ballungsräumen und hier vor allem in der Bundeshauptstadt </w:t>
      </w:r>
      <w:proofErr w:type="spellStart"/>
      <w:r>
        <w:rPr>
          <w:bCs/>
          <w:sz w:val="22"/>
          <w:szCs w:val="22"/>
        </w:rPr>
        <w:t>leistbare</w:t>
      </w:r>
      <w:proofErr w:type="spellEnd"/>
      <w:r>
        <w:rPr>
          <w:bCs/>
          <w:sz w:val="22"/>
          <w:szCs w:val="22"/>
        </w:rPr>
        <w:t xml:space="preserve"> Wohnungen. Allein in Wien stieg die Einwohnerzahl im Vorjahr um 28.000 Personen. Die Lücke beträgt hier ca. 8.000 Wohneinheiten pro Jahr. </w:t>
      </w:r>
    </w:p>
    <w:p w:rsidR="00D146BC" w:rsidRDefault="00D146BC" w:rsidP="00D146BC">
      <w:pPr>
        <w:spacing w:line="360" w:lineRule="auto"/>
        <w:rPr>
          <w:sz w:val="22"/>
          <w:szCs w:val="22"/>
          <w:lang w:val="de-DE"/>
        </w:rPr>
      </w:pPr>
    </w:p>
    <w:p w:rsidR="00D146BC" w:rsidRDefault="00D146BC" w:rsidP="00D146BC">
      <w:pPr>
        <w:spacing w:line="360" w:lineRule="auto"/>
        <w:rPr>
          <w:sz w:val="22"/>
          <w:szCs w:val="22"/>
          <w:lang w:val="de-DE"/>
        </w:rPr>
      </w:pPr>
      <w:r>
        <w:rPr>
          <w:sz w:val="22"/>
          <w:szCs w:val="22"/>
        </w:rPr>
        <w:t xml:space="preserve">Darüber hinaus </w:t>
      </w:r>
      <w:r w:rsidRPr="0076407B">
        <w:rPr>
          <w:sz w:val="22"/>
          <w:szCs w:val="22"/>
        </w:rPr>
        <w:t xml:space="preserve">weist </w:t>
      </w:r>
      <w:r>
        <w:rPr>
          <w:sz w:val="22"/>
          <w:szCs w:val="22"/>
        </w:rPr>
        <w:t>d</w:t>
      </w:r>
      <w:r w:rsidRPr="0076407B">
        <w:rPr>
          <w:sz w:val="22"/>
          <w:szCs w:val="22"/>
        </w:rPr>
        <w:t>er Häuserpreisindex (HPI) für das Jahr 2016 eine Preissteigerung von 8,5</w:t>
      </w:r>
      <w:r>
        <w:rPr>
          <w:sz w:val="22"/>
          <w:szCs w:val="22"/>
        </w:rPr>
        <w:t xml:space="preserve"> </w:t>
      </w:r>
      <w:r w:rsidRPr="0076407B">
        <w:rPr>
          <w:sz w:val="22"/>
          <w:szCs w:val="22"/>
        </w:rPr>
        <w:t>% im Vergleich zum Vorjahr auf. Laut Berechnungen von Statistik Austria war die Preisdynamik im Jahr 2016 deutlich höher als in den Jahren davor (2015: +4,9</w:t>
      </w:r>
      <w:r>
        <w:rPr>
          <w:sz w:val="22"/>
          <w:szCs w:val="22"/>
        </w:rPr>
        <w:t xml:space="preserve"> </w:t>
      </w:r>
      <w:r w:rsidRPr="0076407B">
        <w:rPr>
          <w:sz w:val="22"/>
          <w:szCs w:val="22"/>
        </w:rPr>
        <w:t>%, 2014: +3,5</w:t>
      </w:r>
      <w:r>
        <w:rPr>
          <w:sz w:val="22"/>
          <w:szCs w:val="22"/>
        </w:rPr>
        <w:t xml:space="preserve"> </w:t>
      </w:r>
      <w:r w:rsidRPr="0076407B">
        <w:rPr>
          <w:sz w:val="22"/>
          <w:szCs w:val="22"/>
        </w:rPr>
        <w:t>%). Der Kauf von bestehendem Wohnraum wurde mit einem Plus von 9,4% deutlich teurer als jener des neu gebauten Wohnraums (+3,8</w:t>
      </w:r>
      <w:r>
        <w:rPr>
          <w:sz w:val="22"/>
          <w:szCs w:val="22"/>
        </w:rPr>
        <w:t xml:space="preserve"> </w:t>
      </w:r>
      <w:r w:rsidRPr="0076407B">
        <w:rPr>
          <w:sz w:val="22"/>
          <w:szCs w:val="22"/>
        </w:rPr>
        <w:t xml:space="preserve">%). </w:t>
      </w:r>
      <w:r>
        <w:rPr>
          <w:sz w:val="22"/>
          <w:szCs w:val="22"/>
        </w:rPr>
        <w:t xml:space="preserve">Diese Entwicklungen, einerseits der Bedarf an Wohnungen in den Städten, vorzugsweise im Osten und die deutlichen Preissteigerung bei Immobilienkäufen verlangt mehr denn je </w:t>
      </w:r>
      <w:r w:rsidRPr="00701943">
        <w:rPr>
          <w:sz w:val="22"/>
          <w:szCs w:val="22"/>
        </w:rPr>
        <w:t>Mittel zur Förd</w:t>
      </w:r>
      <w:r w:rsidRPr="00701943">
        <w:rPr>
          <w:sz w:val="22"/>
          <w:szCs w:val="22"/>
        </w:rPr>
        <w:t>e</w:t>
      </w:r>
      <w:r w:rsidRPr="00701943">
        <w:rPr>
          <w:sz w:val="22"/>
          <w:szCs w:val="22"/>
        </w:rPr>
        <w:t xml:space="preserve">rung </w:t>
      </w:r>
      <w:proofErr w:type="spellStart"/>
      <w:r w:rsidRPr="00701943">
        <w:rPr>
          <w:sz w:val="22"/>
          <w:szCs w:val="22"/>
        </w:rPr>
        <w:t>leistbaren</w:t>
      </w:r>
      <w:proofErr w:type="spellEnd"/>
      <w:r w:rsidRPr="00701943">
        <w:rPr>
          <w:sz w:val="22"/>
          <w:szCs w:val="22"/>
        </w:rPr>
        <w:t xml:space="preserve"> Wohnens zu aktivieren, um dem gestiegenen Bedarf an Wohnraum gerecht werden zu können</w:t>
      </w:r>
      <w:r>
        <w:rPr>
          <w:sz w:val="22"/>
          <w:szCs w:val="22"/>
        </w:rPr>
        <w:t>.</w:t>
      </w:r>
    </w:p>
    <w:p w:rsidR="00D146BC" w:rsidRDefault="00D146BC" w:rsidP="00D146BC">
      <w:pPr>
        <w:spacing w:line="360" w:lineRule="auto"/>
        <w:rPr>
          <w:sz w:val="22"/>
          <w:szCs w:val="22"/>
          <w:lang w:val="de-DE"/>
        </w:rPr>
      </w:pPr>
    </w:p>
    <w:p w:rsidR="00D146BC" w:rsidRDefault="00D146BC" w:rsidP="00D146BC">
      <w:pPr>
        <w:spacing w:line="360" w:lineRule="auto"/>
        <w:rPr>
          <w:sz w:val="22"/>
          <w:szCs w:val="22"/>
          <w:lang w:val="de-DE"/>
        </w:rPr>
      </w:pPr>
      <w:r w:rsidRPr="0035137F">
        <w:rPr>
          <w:sz w:val="22"/>
          <w:szCs w:val="22"/>
          <w:lang w:val="de-DE"/>
        </w:rPr>
        <w:t>Als Spezialinstitute der Wohnbaufinanzierung haben die Wohnbaubanken</w:t>
      </w:r>
      <w:r>
        <w:rPr>
          <w:sz w:val="22"/>
          <w:szCs w:val="22"/>
          <w:lang w:val="de-DE"/>
        </w:rPr>
        <w:t>,</w:t>
      </w:r>
      <w:r w:rsidRPr="0035137F">
        <w:rPr>
          <w:sz w:val="22"/>
          <w:szCs w:val="22"/>
          <w:lang w:val="de-DE"/>
        </w:rPr>
        <w:t xml:space="preserve"> seit ihrer gesetzlichen Ve</w:t>
      </w:r>
      <w:r w:rsidRPr="0035137F">
        <w:rPr>
          <w:sz w:val="22"/>
          <w:szCs w:val="22"/>
          <w:lang w:val="de-DE"/>
        </w:rPr>
        <w:t>r</w:t>
      </w:r>
      <w:r w:rsidRPr="0035137F">
        <w:rPr>
          <w:sz w:val="22"/>
          <w:szCs w:val="22"/>
          <w:lang w:val="de-DE"/>
        </w:rPr>
        <w:t>ankerung 1993</w:t>
      </w:r>
      <w:r>
        <w:rPr>
          <w:sz w:val="22"/>
          <w:szCs w:val="22"/>
          <w:lang w:val="de-DE"/>
        </w:rPr>
        <w:t>,</w:t>
      </w:r>
      <w:r w:rsidRPr="0035137F">
        <w:rPr>
          <w:sz w:val="22"/>
          <w:szCs w:val="22"/>
          <w:lang w:val="de-DE"/>
        </w:rPr>
        <w:t xml:space="preserve"> immer mehr die Rolle des Sekundanten zur Wohnbauförderung übernommen. </w:t>
      </w:r>
    </w:p>
    <w:p w:rsidR="00D146BC" w:rsidRPr="0035137F" w:rsidRDefault="00D146BC" w:rsidP="00D146BC">
      <w:pPr>
        <w:spacing w:line="360" w:lineRule="auto"/>
        <w:rPr>
          <w:sz w:val="22"/>
          <w:szCs w:val="22"/>
          <w:lang w:val="de-DE"/>
        </w:rPr>
      </w:pPr>
      <w:r>
        <w:rPr>
          <w:sz w:val="22"/>
          <w:szCs w:val="22"/>
          <w:lang w:val="de-DE"/>
        </w:rPr>
        <w:t xml:space="preserve">Derzeit </w:t>
      </w:r>
      <w:r w:rsidRPr="0035137F">
        <w:rPr>
          <w:sz w:val="22"/>
          <w:szCs w:val="22"/>
          <w:lang w:val="de-DE"/>
        </w:rPr>
        <w:t xml:space="preserve">verliert </w:t>
      </w:r>
      <w:r>
        <w:rPr>
          <w:sz w:val="22"/>
          <w:szCs w:val="22"/>
          <w:lang w:val="de-DE"/>
        </w:rPr>
        <w:t>d</w:t>
      </w:r>
      <w:r w:rsidRPr="0035137F">
        <w:rPr>
          <w:sz w:val="22"/>
          <w:szCs w:val="22"/>
          <w:lang w:val="de-DE"/>
        </w:rPr>
        <w:t xml:space="preserve">ie Pfandbrieffinanzierung durch die Gegebenheiten der Kapitalmärkte ebenso an Bedeutung wie die Wohnbauförderung. Allerdings muss ganz klar festgehalten werden, dass diese Instrumente bei steigenden Zinsen sofort wieder in den Fokus der </w:t>
      </w:r>
      <w:proofErr w:type="spellStart"/>
      <w:r w:rsidRPr="0035137F">
        <w:rPr>
          <w:sz w:val="22"/>
          <w:szCs w:val="22"/>
          <w:lang w:val="de-DE"/>
        </w:rPr>
        <w:t>leistbaren</w:t>
      </w:r>
      <w:proofErr w:type="spellEnd"/>
      <w:r w:rsidRPr="0035137F">
        <w:rPr>
          <w:sz w:val="22"/>
          <w:szCs w:val="22"/>
          <w:lang w:val="de-DE"/>
        </w:rPr>
        <w:t xml:space="preserve"> Finanzierungsmodelle r</w:t>
      </w:r>
      <w:r w:rsidRPr="0035137F">
        <w:rPr>
          <w:sz w:val="22"/>
          <w:szCs w:val="22"/>
          <w:lang w:val="de-DE"/>
        </w:rPr>
        <w:t>ü</w:t>
      </w:r>
      <w:r w:rsidRPr="0035137F">
        <w:rPr>
          <w:sz w:val="22"/>
          <w:szCs w:val="22"/>
          <w:lang w:val="de-DE"/>
        </w:rPr>
        <w:t>cken.</w:t>
      </w:r>
      <w:r>
        <w:rPr>
          <w:sz w:val="22"/>
          <w:szCs w:val="22"/>
          <w:lang w:val="de-DE"/>
        </w:rPr>
        <w:t xml:space="preserve"> Im Hinblick auf langfristige Finanzierungsmodelle übernehmen die Mittel der Wohnbaubanken aber eine stabilisierende Rolle.</w:t>
      </w:r>
      <w:r w:rsidRPr="0035137F">
        <w:rPr>
          <w:sz w:val="22"/>
          <w:szCs w:val="22"/>
          <w:lang w:val="de-DE"/>
        </w:rPr>
        <w:t xml:space="preserve"> </w:t>
      </w:r>
    </w:p>
    <w:p w:rsidR="00D146BC" w:rsidRDefault="00D146BC" w:rsidP="00D146BC">
      <w:pPr>
        <w:spacing w:line="360" w:lineRule="auto"/>
        <w:rPr>
          <w:sz w:val="22"/>
          <w:szCs w:val="22"/>
          <w:lang w:val="de-DE"/>
        </w:rPr>
      </w:pPr>
    </w:p>
    <w:p w:rsidR="00D146BC" w:rsidRDefault="00D146BC" w:rsidP="00D146BC">
      <w:pPr>
        <w:spacing w:line="360" w:lineRule="auto"/>
        <w:rPr>
          <w:sz w:val="22"/>
          <w:szCs w:val="22"/>
          <w:lang w:val="de-DE"/>
        </w:rPr>
      </w:pPr>
      <w:r w:rsidRPr="0035137F">
        <w:rPr>
          <w:sz w:val="22"/>
          <w:szCs w:val="22"/>
          <w:lang w:val="de-DE"/>
        </w:rPr>
        <w:t xml:space="preserve">Die Wohnbaubankmittel für </w:t>
      </w:r>
      <w:proofErr w:type="spellStart"/>
      <w:r w:rsidRPr="0035137F">
        <w:rPr>
          <w:sz w:val="22"/>
          <w:szCs w:val="22"/>
          <w:lang w:val="de-DE"/>
        </w:rPr>
        <w:t>leistbares</w:t>
      </w:r>
      <w:proofErr w:type="spellEnd"/>
      <w:r w:rsidRPr="0035137F">
        <w:rPr>
          <w:sz w:val="22"/>
          <w:szCs w:val="22"/>
          <w:lang w:val="de-DE"/>
        </w:rPr>
        <w:t xml:space="preserve"> Wohnen sind einerseits durch eine gesetzliche Zweckwidmung gesichert und andererseits müssen die finanzierten Mietwohnungen zur Preisbasis des geförderten Wohnbaus angeboten werden. Die Mittelaufbringung der Wohnbaubanken für den Wohnbau ist damit immer mehr zum „</w:t>
      </w:r>
      <w:proofErr w:type="spellStart"/>
      <w:r w:rsidRPr="0035137F">
        <w:rPr>
          <w:sz w:val="22"/>
          <w:szCs w:val="22"/>
          <w:lang w:val="de-DE"/>
        </w:rPr>
        <w:t>Crowdfunding</w:t>
      </w:r>
      <w:proofErr w:type="spellEnd"/>
      <w:r w:rsidRPr="0035137F">
        <w:rPr>
          <w:sz w:val="22"/>
          <w:szCs w:val="22"/>
          <w:lang w:val="de-DE"/>
        </w:rPr>
        <w:t xml:space="preserve"> für </w:t>
      </w:r>
      <w:proofErr w:type="spellStart"/>
      <w:r w:rsidRPr="0035137F">
        <w:rPr>
          <w:sz w:val="22"/>
          <w:szCs w:val="22"/>
          <w:lang w:val="de-DE"/>
        </w:rPr>
        <w:t>leistbares</w:t>
      </w:r>
      <w:proofErr w:type="spellEnd"/>
      <w:r w:rsidRPr="0035137F">
        <w:rPr>
          <w:sz w:val="22"/>
          <w:szCs w:val="22"/>
          <w:lang w:val="de-DE"/>
        </w:rPr>
        <w:t xml:space="preserve"> Wohnen in Österreich“ mit klar</w:t>
      </w:r>
      <w:r>
        <w:rPr>
          <w:sz w:val="22"/>
          <w:szCs w:val="22"/>
          <w:lang w:val="de-DE"/>
        </w:rPr>
        <w:t>en,</w:t>
      </w:r>
      <w:r w:rsidRPr="0035137F">
        <w:rPr>
          <w:sz w:val="22"/>
          <w:szCs w:val="22"/>
          <w:lang w:val="de-DE"/>
        </w:rPr>
        <w:t xml:space="preserve"> gesetzlich definierten Spielregeln geworden. Darum konnte z.B. die s Wohnbaubank 2014 auch das Rating für ethische </w:t>
      </w:r>
    </w:p>
    <w:p w:rsidR="00D146BC" w:rsidRPr="0035137F" w:rsidRDefault="00D146BC" w:rsidP="00D146BC">
      <w:pPr>
        <w:spacing w:line="360" w:lineRule="auto"/>
        <w:rPr>
          <w:sz w:val="22"/>
          <w:szCs w:val="22"/>
          <w:lang w:val="de-DE"/>
        </w:rPr>
      </w:pPr>
      <w:r w:rsidRPr="0035137F">
        <w:rPr>
          <w:sz w:val="22"/>
          <w:szCs w:val="22"/>
          <w:lang w:val="de-DE"/>
        </w:rPr>
        <w:t>Kap</w:t>
      </w:r>
      <w:r w:rsidRPr="0035137F">
        <w:rPr>
          <w:sz w:val="22"/>
          <w:szCs w:val="22"/>
          <w:lang w:val="de-DE"/>
        </w:rPr>
        <w:t>i</w:t>
      </w:r>
      <w:r w:rsidRPr="0035137F">
        <w:rPr>
          <w:sz w:val="22"/>
          <w:szCs w:val="22"/>
          <w:lang w:val="de-DE"/>
        </w:rPr>
        <w:t>talanlagen erlangen.</w:t>
      </w:r>
    </w:p>
    <w:p w:rsidR="00D146BC" w:rsidRDefault="00D146BC" w:rsidP="00D146BC">
      <w:pPr>
        <w:spacing w:line="360" w:lineRule="auto"/>
        <w:rPr>
          <w:rFonts w:cs="Arial"/>
          <w:sz w:val="22"/>
        </w:rPr>
      </w:pPr>
    </w:p>
    <w:p w:rsidR="00D146BC" w:rsidRDefault="00D146BC" w:rsidP="00D146BC">
      <w:pPr>
        <w:spacing w:line="360" w:lineRule="auto"/>
        <w:rPr>
          <w:rFonts w:cs="Arial"/>
          <w:sz w:val="22"/>
        </w:rPr>
      </w:pPr>
      <w:r>
        <w:rPr>
          <w:rFonts w:cs="Arial"/>
          <w:sz w:val="22"/>
        </w:rPr>
        <w:t xml:space="preserve">Seit nunmehr 23 Jahren agiert die s Wohnbaubank </w:t>
      </w:r>
      <w:r w:rsidRPr="006A568E">
        <w:rPr>
          <w:rFonts w:cs="Arial"/>
          <w:sz w:val="22"/>
        </w:rPr>
        <w:t xml:space="preserve">als Spezialbank zur Finanzierung des Wohnbaus in Österreich. Dahinter steht die Idee einer soliden Veranlagung im Inland verbunden mit der Finanzierung von </w:t>
      </w:r>
      <w:proofErr w:type="spellStart"/>
      <w:r w:rsidRPr="006A568E">
        <w:rPr>
          <w:rFonts w:cs="Arial"/>
          <w:sz w:val="22"/>
        </w:rPr>
        <w:t>leis</w:t>
      </w:r>
      <w:r w:rsidRPr="006A568E">
        <w:rPr>
          <w:rFonts w:cs="Arial"/>
          <w:sz w:val="22"/>
        </w:rPr>
        <w:t>t</w:t>
      </w:r>
      <w:r w:rsidRPr="006A568E">
        <w:rPr>
          <w:rFonts w:cs="Arial"/>
          <w:sz w:val="22"/>
        </w:rPr>
        <w:t>bare</w:t>
      </w:r>
      <w:r>
        <w:rPr>
          <w:rFonts w:cs="Arial"/>
          <w:sz w:val="22"/>
        </w:rPr>
        <w:t>m</w:t>
      </w:r>
      <w:proofErr w:type="spellEnd"/>
      <w:r w:rsidRPr="006A568E">
        <w:rPr>
          <w:rFonts w:cs="Arial"/>
          <w:sz w:val="22"/>
        </w:rPr>
        <w:t xml:space="preserve"> Wohnraum. </w:t>
      </w:r>
    </w:p>
    <w:p w:rsidR="00D146BC" w:rsidRDefault="00D146BC" w:rsidP="00D146BC">
      <w:pPr>
        <w:spacing w:line="360" w:lineRule="auto"/>
        <w:rPr>
          <w:rFonts w:cs="Arial"/>
          <w:sz w:val="22"/>
        </w:rPr>
      </w:pPr>
    </w:p>
    <w:p w:rsidR="00D146BC" w:rsidRDefault="00D146BC" w:rsidP="00D146BC">
      <w:pPr>
        <w:spacing w:line="360" w:lineRule="auto"/>
        <w:rPr>
          <w:rFonts w:cs="Arial"/>
          <w:sz w:val="22"/>
        </w:rPr>
      </w:pPr>
      <w:r w:rsidRPr="006A568E">
        <w:rPr>
          <w:rFonts w:cs="Arial"/>
          <w:sz w:val="22"/>
        </w:rPr>
        <w:t>Hinter ihren Ausleihungen stehen mehr als 50.000 vermietete Wohneinheiten mit einer Durchschnitt</w:t>
      </w:r>
      <w:r w:rsidRPr="006A568E">
        <w:rPr>
          <w:rFonts w:cs="Arial"/>
          <w:sz w:val="22"/>
        </w:rPr>
        <w:t>s</w:t>
      </w:r>
      <w:r w:rsidRPr="006A568E">
        <w:rPr>
          <w:rFonts w:cs="Arial"/>
          <w:sz w:val="22"/>
        </w:rPr>
        <w:t>miete von etwa 6</w:t>
      </w:r>
      <w:r>
        <w:rPr>
          <w:rFonts w:cs="Arial"/>
          <w:sz w:val="22"/>
        </w:rPr>
        <w:t xml:space="preserve">,- </w:t>
      </w:r>
      <w:r w:rsidRPr="006A568E">
        <w:rPr>
          <w:rFonts w:cs="Arial"/>
          <w:sz w:val="22"/>
        </w:rPr>
        <w:t>Euro pro m</w:t>
      </w:r>
      <w:r w:rsidRPr="00746797">
        <w:rPr>
          <w:rFonts w:cs="Arial"/>
          <w:sz w:val="22"/>
          <w:vertAlign w:val="superscript"/>
        </w:rPr>
        <w:t>2</w:t>
      </w:r>
      <w:r w:rsidRPr="006A568E">
        <w:rPr>
          <w:rFonts w:cs="Arial"/>
          <w:sz w:val="22"/>
        </w:rPr>
        <w:t>, was deutlich unter den Marktpreisen liegt. Diese Wohnungen sind auch für Jungfamilien sowie Menschen mit geringe</w:t>
      </w:r>
      <w:r>
        <w:rPr>
          <w:rFonts w:cs="Arial"/>
          <w:sz w:val="22"/>
        </w:rPr>
        <w:t>re</w:t>
      </w:r>
      <w:r w:rsidRPr="006A568E">
        <w:rPr>
          <w:rFonts w:cs="Arial"/>
          <w:sz w:val="22"/>
        </w:rPr>
        <w:t xml:space="preserve">m Einkommen erschwinglich. Den Bewohnern </w:t>
      </w:r>
    </w:p>
    <w:p w:rsidR="00D146BC" w:rsidRDefault="00D146BC" w:rsidP="00D146BC">
      <w:pPr>
        <w:spacing w:line="360" w:lineRule="auto"/>
        <w:rPr>
          <w:rFonts w:cs="Arial"/>
          <w:sz w:val="22"/>
        </w:rPr>
      </w:pPr>
      <w:r w:rsidRPr="006A568E">
        <w:rPr>
          <w:rFonts w:cs="Arial"/>
          <w:sz w:val="22"/>
        </w:rPr>
        <w:t xml:space="preserve">wird somit langfristig günstiges Wohnen und der </w:t>
      </w:r>
      <w:r>
        <w:rPr>
          <w:rFonts w:cs="Arial"/>
          <w:sz w:val="22"/>
        </w:rPr>
        <w:t xml:space="preserve">s </w:t>
      </w:r>
      <w:r w:rsidRPr="006A568E">
        <w:rPr>
          <w:rFonts w:cs="Arial"/>
          <w:sz w:val="22"/>
        </w:rPr>
        <w:t>Wohnbaubank die Rückführung der Finanzierung</w:t>
      </w:r>
      <w:r>
        <w:rPr>
          <w:rFonts w:cs="Arial"/>
          <w:sz w:val="22"/>
        </w:rPr>
        <w:t xml:space="preserve"> ermöglicht</w:t>
      </w:r>
      <w:r w:rsidRPr="006A568E">
        <w:rPr>
          <w:rFonts w:cs="Arial"/>
          <w:sz w:val="22"/>
        </w:rPr>
        <w:t xml:space="preserve">. </w:t>
      </w:r>
    </w:p>
    <w:p w:rsidR="00D146BC" w:rsidRDefault="00D146BC" w:rsidP="00D146BC">
      <w:pPr>
        <w:spacing w:line="360" w:lineRule="auto"/>
        <w:rPr>
          <w:rFonts w:cs="Arial"/>
          <w:sz w:val="22"/>
        </w:rPr>
      </w:pPr>
    </w:p>
    <w:p w:rsidR="00D146BC" w:rsidRPr="00740BC9" w:rsidRDefault="00D146BC" w:rsidP="00D146BC">
      <w:pPr>
        <w:spacing w:line="360" w:lineRule="auto"/>
        <w:rPr>
          <w:rFonts w:cs="Arial"/>
          <w:sz w:val="22"/>
        </w:rPr>
      </w:pPr>
      <w:r w:rsidRPr="00D10CCE">
        <w:rPr>
          <w:rFonts w:cs="Arial"/>
          <w:sz w:val="22"/>
        </w:rPr>
        <w:t>Die s Wohnbaubank emittierte im 2</w:t>
      </w:r>
      <w:r>
        <w:rPr>
          <w:rFonts w:cs="Arial"/>
          <w:sz w:val="22"/>
        </w:rPr>
        <w:t>3</w:t>
      </w:r>
      <w:r w:rsidRPr="00D10CCE">
        <w:rPr>
          <w:rFonts w:cs="Arial"/>
          <w:sz w:val="22"/>
        </w:rPr>
        <w:t xml:space="preserve">. Jahr ihres Bestehens gemeinsam mit </w:t>
      </w:r>
      <w:r>
        <w:rPr>
          <w:rFonts w:cs="Arial"/>
          <w:sz w:val="22"/>
        </w:rPr>
        <w:t>i</w:t>
      </w:r>
      <w:r w:rsidRPr="00D10CCE">
        <w:rPr>
          <w:rFonts w:cs="Arial"/>
          <w:sz w:val="22"/>
        </w:rPr>
        <w:t xml:space="preserve">hren Partnerinstituten </w:t>
      </w:r>
      <w:r>
        <w:rPr>
          <w:rFonts w:cs="Arial"/>
          <w:sz w:val="22"/>
        </w:rPr>
        <w:t>131,6</w:t>
      </w:r>
      <w:r w:rsidRPr="00D10CCE">
        <w:rPr>
          <w:rFonts w:cs="Arial"/>
          <w:sz w:val="22"/>
        </w:rPr>
        <w:t xml:space="preserve"> Mio. Euro</w:t>
      </w:r>
      <w:r>
        <w:rPr>
          <w:rFonts w:cs="Arial"/>
          <w:sz w:val="22"/>
        </w:rPr>
        <w:t>.</w:t>
      </w:r>
      <w:r w:rsidRPr="00D10CCE">
        <w:rPr>
          <w:rFonts w:cs="Arial"/>
          <w:sz w:val="22"/>
        </w:rPr>
        <w:t xml:space="preserve"> </w:t>
      </w:r>
      <w:r>
        <w:rPr>
          <w:rFonts w:cs="Arial"/>
          <w:sz w:val="22"/>
        </w:rPr>
        <w:t xml:space="preserve">Das ist eine Steigerung von über 60 % gegenüber 2015 und bedeutet einen Marktanteil von 27 %. </w:t>
      </w:r>
      <w:r w:rsidRPr="00740BC9">
        <w:rPr>
          <w:rFonts w:cs="Arial"/>
          <w:sz w:val="22"/>
        </w:rPr>
        <w:t>Der größte A</w:t>
      </w:r>
      <w:r w:rsidRPr="00740BC9">
        <w:rPr>
          <w:rFonts w:cs="Arial"/>
          <w:sz w:val="22"/>
        </w:rPr>
        <w:t>n</w:t>
      </w:r>
      <w:r w:rsidRPr="00740BC9">
        <w:rPr>
          <w:rFonts w:cs="Arial"/>
          <w:sz w:val="22"/>
        </w:rPr>
        <w:t>teil, nämlich 4</w:t>
      </w:r>
      <w:r>
        <w:rPr>
          <w:rFonts w:cs="Arial"/>
          <w:sz w:val="22"/>
        </w:rPr>
        <w:t>3</w:t>
      </w:r>
      <w:r w:rsidRPr="00740BC9">
        <w:rPr>
          <w:rFonts w:cs="Arial"/>
          <w:sz w:val="22"/>
        </w:rPr>
        <w:t xml:space="preserve"> % der Emissionsleistung (</w:t>
      </w:r>
      <w:r>
        <w:rPr>
          <w:rFonts w:cs="Arial"/>
          <w:sz w:val="22"/>
        </w:rPr>
        <w:t>5</w:t>
      </w:r>
      <w:r w:rsidRPr="00740BC9">
        <w:rPr>
          <w:rFonts w:cs="Arial"/>
          <w:sz w:val="22"/>
        </w:rPr>
        <w:t>6</w:t>
      </w:r>
      <w:r>
        <w:rPr>
          <w:rFonts w:cs="Arial"/>
          <w:sz w:val="22"/>
        </w:rPr>
        <w:t>,2</w:t>
      </w:r>
      <w:r w:rsidRPr="00740BC9">
        <w:rPr>
          <w:rFonts w:cs="Arial"/>
          <w:sz w:val="22"/>
        </w:rPr>
        <w:t xml:space="preserve"> Mio. Euro) entfiel dabei auf die fix verzinsten Tranchen, 4</w:t>
      </w:r>
      <w:r>
        <w:rPr>
          <w:rFonts w:cs="Arial"/>
          <w:sz w:val="22"/>
        </w:rPr>
        <w:t>9</w:t>
      </w:r>
      <w:r w:rsidRPr="00740BC9">
        <w:rPr>
          <w:rFonts w:cs="Arial"/>
          <w:sz w:val="22"/>
        </w:rPr>
        <w:t xml:space="preserve"> % </w:t>
      </w:r>
      <w:r>
        <w:rPr>
          <w:rFonts w:cs="Arial"/>
          <w:sz w:val="22"/>
        </w:rPr>
        <w:t>sind der KMU s Wohnbauanleihe (</w:t>
      </w:r>
      <w:r w:rsidRPr="00740BC9">
        <w:rPr>
          <w:rFonts w:cs="Arial"/>
          <w:sz w:val="22"/>
        </w:rPr>
        <w:t>6</w:t>
      </w:r>
      <w:r>
        <w:rPr>
          <w:rFonts w:cs="Arial"/>
          <w:sz w:val="22"/>
        </w:rPr>
        <w:t>4,5</w:t>
      </w:r>
      <w:r w:rsidRPr="00740BC9">
        <w:rPr>
          <w:rFonts w:cs="Arial"/>
          <w:sz w:val="22"/>
        </w:rPr>
        <w:t xml:space="preserve"> Mio. Euro) zuzuordnen, die speziell zur Nutzung des Gewinnfreib</w:t>
      </w:r>
      <w:r w:rsidRPr="00740BC9">
        <w:rPr>
          <w:rFonts w:cs="Arial"/>
          <w:sz w:val="22"/>
        </w:rPr>
        <w:t>e</w:t>
      </w:r>
      <w:r w:rsidRPr="00740BC9">
        <w:rPr>
          <w:rFonts w:cs="Arial"/>
          <w:sz w:val="22"/>
        </w:rPr>
        <w:t xml:space="preserve">trags gezeichnet wurde. Die verbleibenden 8 % waren variabel verzinste Anleihen (10,9 Mio. Euro). </w:t>
      </w:r>
    </w:p>
    <w:p w:rsidR="00D146BC" w:rsidRDefault="00D146BC" w:rsidP="00D146BC">
      <w:pPr>
        <w:spacing w:line="360" w:lineRule="auto"/>
        <w:rPr>
          <w:rFonts w:cs="Arial"/>
          <w:sz w:val="22"/>
        </w:rPr>
      </w:pPr>
    </w:p>
    <w:p w:rsidR="00D146BC" w:rsidRPr="002267CA" w:rsidRDefault="00D146BC" w:rsidP="00D146BC">
      <w:pPr>
        <w:spacing w:line="360" w:lineRule="auto"/>
        <w:rPr>
          <w:rFonts w:cs="Arial"/>
          <w:sz w:val="22"/>
        </w:rPr>
      </w:pPr>
      <w:r w:rsidRPr="00740BC9">
        <w:rPr>
          <w:rFonts w:cs="Arial"/>
          <w:sz w:val="22"/>
        </w:rPr>
        <w:t>Das Kapital von Wohnbauanleihen wird überwiegend für die Finanzierung des gemeinnützigen Woh</w:t>
      </w:r>
      <w:r w:rsidRPr="00740BC9">
        <w:rPr>
          <w:rFonts w:cs="Arial"/>
          <w:sz w:val="22"/>
        </w:rPr>
        <w:t>n</w:t>
      </w:r>
      <w:r w:rsidRPr="00740BC9">
        <w:rPr>
          <w:rFonts w:cs="Arial"/>
          <w:sz w:val="22"/>
        </w:rPr>
        <w:t xml:space="preserve">baus genutzt. Mit der Gewinnfreibetrags-Regelung will die Regierung den Bau von </w:t>
      </w:r>
      <w:proofErr w:type="spellStart"/>
      <w:r w:rsidRPr="00740BC9">
        <w:rPr>
          <w:rFonts w:cs="Arial"/>
          <w:sz w:val="22"/>
        </w:rPr>
        <w:t>leistbaren</w:t>
      </w:r>
      <w:proofErr w:type="spellEnd"/>
      <w:r w:rsidRPr="00740BC9">
        <w:rPr>
          <w:rFonts w:cs="Arial"/>
          <w:sz w:val="22"/>
        </w:rPr>
        <w:t xml:space="preserve"> Wohnu</w:t>
      </w:r>
      <w:r w:rsidRPr="00740BC9">
        <w:rPr>
          <w:rFonts w:cs="Arial"/>
          <w:sz w:val="22"/>
        </w:rPr>
        <w:t>n</w:t>
      </w:r>
      <w:r w:rsidRPr="00740BC9">
        <w:rPr>
          <w:rFonts w:cs="Arial"/>
          <w:sz w:val="22"/>
        </w:rPr>
        <w:t>gen unterstützen und gleichzeitig die Realwirtschaft ankurbeln. Das entspricht dem Gründungsgeda</w:t>
      </w:r>
      <w:r w:rsidRPr="00740BC9">
        <w:rPr>
          <w:rFonts w:cs="Arial"/>
          <w:sz w:val="22"/>
        </w:rPr>
        <w:t>n</w:t>
      </w:r>
      <w:r w:rsidRPr="00740BC9">
        <w:rPr>
          <w:rFonts w:cs="Arial"/>
          <w:sz w:val="22"/>
        </w:rPr>
        <w:t>ken und der Idee hinter dem Wohnbaubankensystem in Österreich</w:t>
      </w:r>
      <w:r w:rsidRPr="003A11C4">
        <w:rPr>
          <w:rFonts w:cs="Arial"/>
          <w:i/>
          <w:sz w:val="22"/>
        </w:rPr>
        <w:t>.</w:t>
      </w:r>
      <w:r>
        <w:rPr>
          <w:rFonts w:cs="Arial"/>
          <w:sz w:val="22"/>
        </w:rPr>
        <w:t xml:space="preserve"> </w:t>
      </w:r>
    </w:p>
    <w:p w:rsidR="00D146BC" w:rsidRDefault="00D146BC" w:rsidP="00D146BC">
      <w:pPr>
        <w:rPr>
          <w:rFonts w:cs="Arial"/>
          <w:sz w:val="22"/>
        </w:rPr>
      </w:pPr>
    </w:p>
    <w:p w:rsidR="00D146BC" w:rsidRDefault="00D146BC" w:rsidP="00D146BC">
      <w:pPr>
        <w:spacing w:line="360" w:lineRule="auto"/>
        <w:rPr>
          <w:rFonts w:cs="Arial"/>
          <w:sz w:val="22"/>
        </w:rPr>
      </w:pPr>
      <w:r w:rsidRPr="002267CA">
        <w:rPr>
          <w:rFonts w:cs="Arial"/>
          <w:sz w:val="22"/>
        </w:rPr>
        <w:t>Ende 201</w:t>
      </w:r>
      <w:r>
        <w:rPr>
          <w:rFonts w:cs="Arial"/>
          <w:sz w:val="22"/>
        </w:rPr>
        <w:t>6</w:t>
      </w:r>
      <w:r w:rsidRPr="002267CA">
        <w:rPr>
          <w:rFonts w:cs="Arial"/>
          <w:sz w:val="22"/>
        </w:rPr>
        <w:t xml:space="preserve"> befinden sich 1.</w:t>
      </w:r>
      <w:r>
        <w:rPr>
          <w:rFonts w:cs="Arial"/>
          <w:sz w:val="22"/>
        </w:rPr>
        <w:t>802</w:t>
      </w:r>
      <w:r w:rsidRPr="002267CA">
        <w:rPr>
          <w:rFonts w:cs="Arial"/>
          <w:sz w:val="22"/>
        </w:rPr>
        <w:t xml:space="preserve"> Mio. Euro an </w:t>
      </w:r>
      <w:r>
        <w:rPr>
          <w:rFonts w:cs="Arial"/>
          <w:sz w:val="22"/>
        </w:rPr>
        <w:t>A</w:t>
      </w:r>
      <w:r w:rsidRPr="002267CA">
        <w:rPr>
          <w:rFonts w:cs="Arial"/>
          <w:sz w:val="22"/>
        </w:rPr>
        <w:t>nleihen der s Wohnbaubank im U</w:t>
      </w:r>
      <w:r w:rsidRPr="002267CA">
        <w:rPr>
          <w:rFonts w:cs="Arial"/>
          <w:sz w:val="22"/>
        </w:rPr>
        <w:t>m</w:t>
      </w:r>
      <w:r>
        <w:rPr>
          <w:rFonts w:cs="Arial"/>
          <w:sz w:val="22"/>
        </w:rPr>
        <w:t>lauf.</w:t>
      </w:r>
      <w:r w:rsidRPr="002267CA">
        <w:rPr>
          <w:rFonts w:cs="Arial"/>
          <w:sz w:val="22"/>
        </w:rPr>
        <w:t xml:space="preserve"> </w:t>
      </w:r>
      <w:r>
        <w:rPr>
          <w:rFonts w:cs="Arial"/>
          <w:sz w:val="22"/>
        </w:rPr>
        <w:t>D</w:t>
      </w:r>
      <w:r w:rsidRPr="002267CA">
        <w:rPr>
          <w:rFonts w:cs="Arial"/>
          <w:sz w:val="22"/>
        </w:rPr>
        <w:t>a</w:t>
      </w:r>
      <w:r>
        <w:rPr>
          <w:rFonts w:cs="Arial"/>
          <w:sz w:val="22"/>
        </w:rPr>
        <w:t>mit bleibt der Bestand auf Vorjahresniveau.</w:t>
      </w:r>
      <w:r w:rsidRPr="002267CA">
        <w:rPr>
          <w:rFonts w:cs="Arial"/>
          <w:sz w:val="22"/>
        </w:rPr>
        <w:t xml:space="preserve"> </w:t>
      </w:r>
    </w:p>
    <w:p w:rsidR="00D146BC" w:rsidRDefault="00D146BC" w:rsidP="00D146BC">
      <w:pPr>
        <w:spacing w:line="360" w:lineRule="auto"/>
        <w:rPr>
          <w:rFonts w:cs="Arial"/>
          <w:sz w:val="22"/>
        </w:rPr>
      </w:pPr>
    </w:p>
    <w:p w:rsidR="00D146BC" w:rsidRDefault="00D146BC" w:rsidP="00D146BC">
      <w:pPr>
        <w:spacing w:line="360" w:lineRule="auto"/>
        <w:rPr>
          <w:rFonts w:cs="Arial"/>
          <w:sz w:val="22"/>
        </w:rPr>
      </w:pPr>
      <w:r w:rsidRPr="002267CA">
        <w:rPr>
          <w:rFonts w:cs="Arial"/>
          <w:sz w:val="22"/>
        </w:rPr>
        <w:t>Das System der</w:t>
      </w:r>
      <w:r>
        <w:rPr>
          <w:rFonts w:cs="Arial"/>
          <w:sz w:val="22"/>
        </w:rPr>
        <w:t xml:space="preserve"> Wohnbaubanken hat sich in Krisenzeiten mit hohen Volatilitäten durch seine langfrist</w:t>
      </w:r>
      <w:r>
        <w:rPr>
          <w:rFonts w:cs="Arial"/>
          <w:sz w:val="22"/>
        </w:rPr>
        <w:t>i</w:t>
      </w:r>
      <w:r>
        <w:rPr>
          <w:rFonts w:cs="Arial"/>
          <w:sz w:val="22"/>
        </w:rPr>
        <w:t>ge Refinanzierungsstruktur bewährt. Die Wohnbaubanken können dadurch kurzfristige Marktschwa</w:t>
      </w:r>
      <w:r>
        <w:rPr>
          <w:rFonts w:cs="Arial"/>
          <w:sz w:val="22"/>
        </w:rPr>
        <w:t>n</w:t>
      </w:r>
      <w:r>
        <w:rPr>
          <w:rFonts w:cs="Arial"/>
          <w:sz w:val="22"/>
        </w:rPr>
        <w:t>kungen wesentlich besser abfedern, sodass die höheren Refinanzierungskosten des Interbankenmarktes bis dato nur mit vergleichsweise geringeren Kreditaufschlägen weitergeg</w:t>
      </w:r>
      <w:r>
        <w:rPr>
          <w:rFonts w:cs="Arial"/>
          <w:sz w:val="22"/>
        </w:rPr>
        <w:t>e</w:t>
      </w:r>
      <w:r>
        <w:rPr>
          <w:rFonts w:cs="Arial"/>
          <w:sz w:val="22"/>
        </w:rPr>
        <w:t xml:space="preserve">ben werden mussten. Der </w:t>
      </w:r>
      <w:r w:rsidRPr="00573349">
        <w:rPr>
          <w:rFonts w:cs="Arial"/>
          <w:sz w:val="22"/>
        </w:rPr>
        <w:t xml:space="preserve">Ausleihungsbestand </w:t>
      </w:r>
      <w:r>
        <w:rPr>
          <w:rFonts w:cs="Arial"/>
          <w:sz w:val="22"/>
        </w:rPr>
        <w:t xml:space="preserve">der s Wohnbaubank </w:t>
      </w:r>
      <w:r w:rsidRPr="00573349">
        <w:rPr>
          <w:rFonts w:cs="Arial"/>
          <w:sz w:val="22"/>
        </w:rPr>
        <w:t xml:space="preserve">betrug Ende Dezember </w:t>
      </w:r>
      <w:r>
        <w:rPr>
          <w:rFonts w:cs="Arial"/>
          <w:sz w:val="22"/>
        </w:rPr>
        <w:t xml:space="preserve">1.828 </w:t>
      </w:r>
      <w:r w:rsidRPr="00573349">
        <w:rPr>
          <w:rFonts w:cs="Arial"/>
          <w:sz w:val="22"/>
        </w:rPr>
        <w:t>Mio. E</w:t>
      </w:r>
      <w:r w:rsidRPr="00573349">
        <w:rPr>
          <w:rFonts w:cs="Arial"/>
          <w:sz w:val="22"/>
        </w:rPr>
        <w:t>u</w:t>
      </w:r>
      <w:r w:rsidRPr="00573349">
        <w:rPr>
          <w:rFonts w:cs="Arial"/>
          <w:sz w:val="22"/>
        </w:rPr>
        <w:t>ro,</w:t>
      </w:r>
      <w:r>
        <w:rPr>
          <w:rFonts w:cs="Arial"/>
          <w:sz w:val="22"/>
        </w:rPr>
        <w:t xml:space="preserve"> liegt also etwas</w:t>
      </w:r>
    </w:p>
    <w:p w:rsidR="00D146BC" w:rsidRDefault="00D146BC" w:rsidP="00D146BC">
      <w:pPr>
        <w:spacing w:line="360" w:lineRule="auto"/>
        <w:rPr>
          <w:rFonts w:cs="Arial"/>
          <w:sz w:val="22"/>
        </w:rPr>
      </w:pPr>
      <w:r>
        <w:rPr>
          <w:rFonts w:cs="Arial"/>
          <w:sz w:val="22"/>
        </w:rPr>
        <w:t>(- 3,3 %) unter dem Niveau von 2015.</w:t>
      </w:r>
      <w:r w:rsidRPr="002F36D7">
        <w:rPr>
          <w:rFonts w:cs="Arial"/>
          <w:sz w:val="22"/>
        </w:rPr>
        <w:t xml:space="preserve"> </w:t>
      </w:r>
      <w:r>
        <w:rPr>
          <w:rFonts w:cs="Arial"/>
          <w:sz w:val="22"/>
        </w:rPr>
        <w:t>Insgesamt wurden seit Gründung rund drei Milliarden Euro dem Wohnbau in Österreich zur Verfügung gestellt. Damit konnten ca. 30.000 Wohneinheiten gebaut werden, was in etwa der Größe eines Ortes wie Wiener Neustadt</w:t>
      </w:r>
      <w:r w:rsidRPr="00567701">
        <w:rPr>
          <w:rFonts w:cs="Arial"/>
          <w:sz w:val="22"/>
        </w:rPr>
        <w:t xml:space="preserve"> </w:t>
      </w:r>
      <w:r>
        <w:rPr>
          <w:rFonts w:cs="Arial"/>
          <w:sz w:val="22"/>
        </w:rPr>
        <w:t>en</w:t>
      </w:r>
      <w:r>
        <w:rPr>
          <w:rFonts w:cs="Arial"/>
          <w:sz w:val="22"/>
        </w:rPr>
        <w:t>t</w:t>
      </w:r>
      <w:r>
        <w:rPr>
          <w:rFonts w:cs="Arial"/>
          <w:sz w:val="22"/>
        </w:rPr>
        <w:t>spricht.</w:t>
      </w:r>
    </w:p>
    <w:p w:rsidR="00D146BC" w:rsidRDefault="00D146BC" w:rsidP="00D146BC">
      <w:pPr>
        <w:spacing w:line="360" w:lineRule="auto"/>
        <w:rPr>
          <w:rFonts w:cs="Arial"/>
          <w:sz w:val="22"/>
        </w:rPr>
      </w:pPr>
    </w:p>
    <w:p w:rsidR="00D146BC" w:rsidRPr="009D10EF" w:rsidRDefault="00D146BC" w:rsidP="00D146BC">
      <w:pPr>
        <w:spacing w:line="360" w:lineRule="auto"/>
        <w:rPr>
          <w:rFonts w:cs="Arial"/>
          <w:sz w:val="22"/>
        </w:rPr>
      </w:pPr>
      <w:r w:rsidRPr="009D10EF">
        <w:rPr>
          <w:rFonts w:cs="Arial"/>
          <w:sz w:val="22"/>
        </w:rPr>
        <w:t xml:space="preserve">Die Bilanzsumme </w:t>
      </w:r>
      <w:r>
        <w:rPr>
          <w:rFonts w:cs="Arial"/>
          <w:sz w:val="22"/>
        </w:rPr>
        <w:t>pendelte sich mit 2.068 Mio. Euro bei 0,9 % über Vorjahresniveau ein. Der Nett</w:t>
      </w:r>
      <w:r>
        <w:rPr>
          <w:rFonts w:cs="Arial"/>
          <w:sz w:val="22"/>
        </w:rPr>
        <w:t>o</w:t>
      </w:r>
      <w:r>
        <w:rPr>
          <w:rFonts w:cs="Arial"/>
          <w:sz w:val="22"/>
        </w:rPr>
        <w:t>zinsertrag in Höhe von 15,3 Mio. Euro liegt deutlich über Vorjahresniveau (+ 3,2 %) und sicherte so das Ergebnis der gewöhnlichen Geschäftstätigkeit im Berichtszei</w:t>
      </w:r>
      <w:r>
        <w:rPr>
          <w:rFonts w:cs="Arial"/>
          <w:sz w:val="22"/>
        </w:rPr>
        <w:t>t</w:t>
      </w:r>
      <w:r>
        <w:rPr>
          <w:rFonts w:cs="Arial"/>
          <w:sz w:val="22"/>
        </w:rPr>
        <w:t xml:space="preserve">raum mit 10,7 Mio. Euro </w:t>
      </w:r>
      <w:r w:rsidRPr="00301C54">
        <w:rPr>
          <w:rFonts w:cs="Arial"/>
          <w:sz w:val="22"/>
        </w:rPr>
        <w:t>(-</w:t>
      </w:r>
      <w:r>
        <w:rPr>
          <w:rFonts w:cs="Arial"/>
          <w:sz w:val="22"/>
        </w:rPr>
        <w:t xml:space="preserve"> 12,2 %), was auf die aufsichtsrechtlich geforderte Risikobewertung zurückzuführen ist. Die </w:t>
      </w:r>
      <w:proofErr w:type="spellStart"/>
      <w:r>
        <w:rPr>
          <w:rFonts w:cs="Arial"/>
          <w:sz w:val="22"/>
        </w:rPr>
        <w:t>Cost</w:t>
      </w:r>
      <w:proofErr w:type="spellEnd"/>
      <w:r>
        <w:rPr>
          <w:rFonts w:cs="Arial"/>
          <w:sz w:val="22"/>
        </w:rPr>
        <w:t>-Income-Ratio b</w:t>
      </w:r>
      <w:r>
        <w:rPr>
          <w:rFonts w:cs="Arial"/>
          <w:sz w:val="22"/>
        </w:rPr>
        <w:t>e</w:t>
      </w:r>
      <w:r>
        <w:rPr>
          <w:rFonts w:cs="Arial"/>
          <w:sz w:val="22"/>
        </w:rPr>
        <w:t>trägt 15,8 %. Die Eigenmittelquote von 29,2 % gilt in Bankkreisen mehr als ausreichend.</w:t>
      </w:r>
    </w:p>
    <w:p w:rsidR="00D146BC" w:rsidRDefault="00D146BC" w:rsidP="00D146BC">
      <w:pPr>
        <w:spacing w:line="360" w:lineRule="auto"/>
        <w:rPr>
          <w:rFonts w:cs="Arial"/>
          <w:sz w:val="24"/>
        </w:rPr>
      </w:pPr>
    </w:p>
    <w:p w:rsidR="00D146BC" w:rsidRPr="009F36B9" w:rsidRDefault="00D146BC" w:rsidP="00D146BC">
      <w:pPr>
        <w:spacing w:line="360" w:lineRule="auto"/>
        <w:rPr>
          <w:rFonts w:cs="Arial"/>
          <w:b/>
          <w:smallCaps/>
          <w:sz w:val="24"/>
        </w:rPr>
      </w:pPr>
      <w:r w:rsidRPr="009F36B9">
        <w:rPr>
          <w:rFonts w:cs="Arial"/>
          <w:b/>
          <w:smallCaps/>
          <w:sz w:val="24"/>
        </w:rPr>
        <w:t>Zusammenfassung der Daten 201</w:t>
      </w:r>
      <w:r>
        <w:rPr>
          <w:rFonts w:cs="Arial"/>
          <w:b/>
          <w:smallCaps/>
          <w:sz w:val="24"/>
        </w:rPr>
        <w:t>6</w:t>
      </w:r>
    </w:p>
    <w:tbl>
      <w:tblPr>
        <w:tblW w:w="0" w:type="auto"/>
        <w:jc w:val="center"/>
        <w:tblInd w:w="-6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32"/>
        <w:gridCol w:w="2274"/>
        <w:gridCol w:w="1134"/>
      </w:tblGrid>
      <w:tr w:rsidR="00D146BC" w:rsidRPr="003A11C4" w:rsidTr="00351670">
        <w:tblPrEx>
          <w:tblCellMar>
            <w:top w:w="0" w:type="dxa"/>
            <w:bottom w:w="0" w:type="dxa"/>
          </w:tblCellMar>
        </w:tblPrEx>
        <w:trPr>
          <w:jc w:val="center"/>
        </w:trPr>
        <w:tc>
          <w:tcPr>
            <w:tcW w:w="3232"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p>
        </w:tc>
        <w:tc>
          <w:tcPr>
            <w:tcW w:w="227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b/>
                <w:sz w:val="22"/>
                <w:szCs w:val="22"/>
                <w:lang w:val="de-DE" w:eastAsia="de-AT"/>
              </w:rPr>
            </w:pPr>
            <w:r w:rsidRPr="003A11C4">
              <w:rPr>
                <w:rFonts w:cs="Arial"/>
                <w:b/>
                <w:sz w:val="22"/>
                <w:szCs w:val="22"/>
                <w:lang w:eastAsia="de-AT"/>
              </w:rPr>
              <w:t xml:space="preserve">s </w:t>
            </w:r>
            <w:r>
              <w:rPr>
                <w:rFonts w:cs="Arial"/>
                <w:b/>
                <w:sz w:val="22"/>
                <w:szCs w:val="22"/>
                <w:lang w:eastAsia="de-AT"/>
              </w:rPr>
              <w:t>Wohnbaubank</w:t>
            </w:r>
          </w:p>
        </w:tc>
        <w:tc>
          <w:tcPr>
            <w:tcW w:w="113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b/>
                <w:sz w:val="22"/>
                <w:szCs w:val="22"/>
                <w:lang w:val="de-DE" w:eastAsia="de-AT"/>
              </w:rPr>
            </w:pPr>
            <w:r w:rsidRPr="003A11C4">
              <w:rPr>
                <w:rFonts w:cs="Arial"/>
                <w:b/>
                <w:sz w:val="22"/>
                <w:szCs w:val="22"/>
                <w:lang w:eastAsia="de-AT"/>
              </w:rPr>
              <w:t>+/- in %</w:t>
            </w:r>
          </w:p>
        </w:tc>
      </w:tr>
      <w:tr w:rsidR="00D146BC" w:rsidRPr="003A11C4" w:rsidTr="00351670">
        <w:tblPrEx>
          <w:tblCellMar>
            <w:top w:w="0" w:type="dxa"/>
            <w:bottom w:w="0" w:type="dxa"/>
          </w:tblCellMar>
        </w:tblPrEx>
        <w:trPr>
          <w:jc w:val="center"/>
        </w:trPr>
        <w:tc>
          <w:tcPr>
            <w:tcW w:w="3232"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Pr>
                <w:rFonts w:cs="Arial"/>
                <w:sz w:val="22"/>
                <w:szCs w:val="22"/>
                <w:lang w:val="de-DE" w:eastAsia="de-AT"/>
              </w:rPr>
              <w:t>Neuemissionen</w:t>
            </w:r>
          </w:p>
        </w:tc>
        <w:tc>
          <w:tcPr>
            <w:tcW w:w="227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sidRPr="003A11C4">
              <w:rPr>
                <w:rFonts w:cs="Arial"/>
                <w:sz w:val="22"/>
                <w:szCs w:val="22"/>
                <w:lang w:eastAsia="de-AT"/>
              </w:rPr>
              <w:t xml:space="preserve">   </w:t>
            </w:r>
            <w:r>
              <w:rPr>
                <w:rFonts w:cs="Arial"/>
                <w:sz w:val="22"/>
                <w:szCs w:val="22"/>
                <w:lang w:eastAsia="de-AT"/>
              </w:rPr>
              <w:t xml:space="preserve">132 </w:t>
            </w:r>
            <w:r w:rsidRPr="00896E68">
              <w:rPr>
                <w:rFonts w:cs="Arial"/>
                <w:sz w:val="22"/>
                <w:szCs w:val="22"/>
                <w:lang w:eastAsia="de-AT"/>
              </w:rPr>
              <w:t>Mio. EUR</w:t>
            </w:r>
          </w:p>
        </w:tc>
        <w:tc>
          <w:tcPr>
            <w:tcW w:w="113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Pr>
                <w:rFonts w:cs="Arial"/>
                <w:sz w:val="22"/>
                <w:szCs w:val="22"/>
                <w:lang w:eastAsia="de-AT"/>
              </w:rPr>
              <w:t>+  60</w:t>
            </w:r>
            <w:r w:rsidRPr="003A11C4">
              <w:rPr>
                <w:rFonts w:cs="Arial"/>
                <w:sz w:val="22"/>
                <w:szCs w:val="22"/>
                <w:lang w:eastAsia="de-AT"/>
              </w:rPr>
              <w:t>,</w:t>
            </w:r>
            <w:r>
              <w:rPr>
                <w:rFonts w:cs="Arial"/>
                <w:sz w:val="22"/>
                <w:szCs w:val="22"/>
                <w:lang w:eastAsia="de-AT"/>
              </w:rPr>
              <w:t>9</w:t>
            </w:r>
          </w:p>
        </w:tc>
      </w:tr>
      <w:tr w:rsidR="00D146BC" w:rsidRPr="003A11C4" w:rsidTr="00351670">
        <w:tblPrEx>
          <w:tblCellMar>
            <w:top w:w="0" w:type="dxa"/>
            <w:bottom w:w="0" w:type="dxa"/>
          </w:tblCellMar>
        </w:tblPrEx>
        <w:trPr>
          <w:jc w:val="center"/>
        </w:trPr>
        <w:tc>
          <w:tcPr>
            <w:tcW w:w="3232"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Pr>
                <w:rFonts w:cs="Arial"/>
                <w:sz w:val="22"/>
                <w:szCs w:val="22"/>
                <w:lang w:val="de-DE" w:eastAsia="de-AT"/>
              </w:rPr>
              <w:t xml:space="preserve">Bestand Wohnbauanleihen </w:t>
            </w:r>
          </w:p>
        </w:tc>
        <w:tc>
          <w:tcPr>
            <w:tcW w:w="227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Pr>
                <w:rFonts w:cs="Arial"/>
                <w:sz w:val="22"/>
                <w:szCs w:val="22"/>
                <w:lang w:eastAsia="de-AT"/>
              </w:rPr>
              <w:t>1</w:t>
            </w:r>
            <w:r w:rsidRPr="003A11C4">
              <w:rPr>
                <w:rFonts w:cs="Arial"/>
                <w:sz w:val="22"/>
                <w:szCs w:val="22"/>
                <w:lang w:eastAsia="de-AT"/>
              </w:rPr>
              <w:t>.</w:t>
            </w:r>
            <w:r>
              <w:rPr>
                <w:rFonts w:cs="Arial"/>
                <w:sz w:val="22"/>
                <w:szCs w:val="22"/>
                <w:lang w:eastAsia="de-AT"/>
              </w:rPr>
              <w:t>802</w:t>
            </w:r>
            <w:r w:rsidRPr="003A11C4">
              <w:rPr>
                <w:rFonts w:cs="Arial"/>
                <w:sz w:val="22"/>
                <w:szCs w:val="22"/>
                <w:lang w:eastAsia="de-AT"/>
              </w:rPr>
              <w:t xml:space="preserve"> Mio. EUR</w:t>
            </w:r>
          </w:p>
        </w:tc>
        <w:tc>
          <w:tcPr>
            <w:tcW w:w="113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val="de-DE" w:eastAsia="de-AT"/>
              </w:rPr>
            </w:pPr>
            <w:r>
              <w:rPr>
                <w:rFonts w:cs="Arial"/>
                <w:sz w:val="22"/>
                <w:szCs w:val="22"/>
                <w:lang w:eastAsia="de-AT"/>
              </w:rPr>
              <w:t>-</w:t>
            </w:r>
            <w:r w:rsidRPr="003A11C4">
              <w:rPr>
                <w:rFonts w:cs="Arial"/>
                <w:sz w:val="22"/>
                <w:szCs w:val="22"/>
                <w:lang w:eastAsia="de-AT"/>
              </w:rPr>
              <w:t xml:space="preserve">   </w:t>
            </w:r>
            <w:r>
              <w:rPr>
                <w:rFonts w:cs="Arial"/>
                <w:sz w:val="22"/>
                <w:szCs w:val="22"/>
                <w:lang w:eastAsia="de-AT"/>
              </w:rPr>
              <w:t xml:space="preserve"> 0,9</w:t>
            </w:r>
          </w:p>
        </w:tc>
      </w:tr>
      <w:tr w:rsidR="00D146BC" w:rsidRPr="003A11C4" w:rsidTr="00351670">
        <w:tblPrEx>
          <w:tblCellMar>
            <w:top w:w="0" w:type="dxa"/>
            <w:bottom w:w="0" w:type="dxa"/>
          </w:tblCellMar>
        </w:tblPrEx>
        <w:trPr>
          <w:jc w:val="center"/>
        </w:trPr>
        <w:tc>
          <w:tcPr>
            <w:tcW w:w="3232"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Ausleihungen</w:t>
            </w:r>
          </w:p>
        </w:tc>
        <w:tc>
          <w:tcPr>
            <w:tcW w:w="227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 xml:space="preserve">1.828 </w:t>
            </w:r>
            <w:r w:rsidRPr="005E25C7">
              <w:rPr>
                <w:rFonts w:cs="Arial"/>
                <w:sz w:val="22"/>
                <w:szCs w:val="22"/>
                <w:lang w:eastAsia="de-AT"/>
              </w:rPr>
              <w:t>Mio. EUR</w:t>
            </w:r>
          </w:p>
        </w:tc>
        <w:tc>
          <w:tcPr>
            <w:tcW w:w="113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w:t>
            </w:r>
            <w:r w:rsidRPr="003A11C4">
              <w:rPr>
                <w:rFonts w:cs="Arial"/>
                <w:sz w:val="22"/>
                <w:szCs w:val="22"/>
                <w:lang w:eastAsia="de-AT"/>
              </w:rPr>
              <w:t xml:space="preserve">   </w:t>
            </w:r>
            <w:r>
              <w:rPr>
                <w:rFonts w:cs="Arial"/>
                <w:sz w:val="22"/>
                <w:szCs w:val="22"/>
                <w:lang w:eastAsia="de-AT"/>
              </w:rPr>
              <w:t xml:space="preserve"> 3</w:t>
            </w:r>
            <w:r w:rsidRPr="003A11C4">
              <w:rPr>
                <w:rFonts w:cs="Arial"/>
                <w:sz w:val="22"/>
                <w:szCs w:val="22"/>
                <w:lang w:eastAsia="de-AT"/>
              </w:rPr>
              <w:t>,</w:t>
            </w:r>
            <w:r>
              <w:rPr>
                <w:rFonts w:cs="Arial"/>
                <w:sz w:val="22"/>
                <w:szCs w:val="22"/>
                <w:lang w:eastAsia="de-AT"/>
              </w:rPr>
              <w:t>3</w:t>
            </w:r>
          </w:p>
        </w:tc>
      </w:tr>
      <w:tr w:rsidR="00D146BC" w:rsidRPr="003A11C4" w:rsidTr="00351670">
        <w:tblPrEx>
          <w:tblCellMar>
            <w:top w:w="0" w:type="dxa"/>
            <w:bottom w:w="0" w:type="dxa"/>
          </w:tblCellMar>
        </w:tblPrEx>
        <w:trPr>
          <w:jc w:val="center"/>
        </w:trPr>
        <w:tc>
          <w:tcPr>
            <w:tcW w:w="3232" w:type="dxa"/>
            <w:tcBorders>
              <w:top w:val="single" w:sz="6" w:space="0" w:color="auto"/>
              <w:left w:val="single" w:sz="6" w:space="0" w:color="auto"/>
              <w:bottom w:val="single" w:sz="6" w:space="0" w:color="auto"/>
              <w:right w:val="single" w:sz="6" w:space="0" w:color="auto"/>
            </w:tcBorders>
          </w:tcPr>
          <w:p w:rsidR="00D146BC"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EGT</w:t>
            </w:r>
          </w:p>
        </w:tc>
        <w:tc>
          <w:tcPr>
            <w:tcW w:w="2274" w:type="dxa"/>
            <w:tcBorders>
              <w:top w:val="single" w:sz="6" w:space="0" w:color="auto"/>
              <w:left w:val="single" w:sz="6" w:space="0" w:color="auto"/>
              <w:bottom w:val="single" w:sz="6" w:space="0" w:color="auto"/>
              <w:right w:val="single" w:sz="6" w:space="0" w:color="auto"/>
            </w:tcBorders>
          </w:tcPr>
          <w:p w:rsidR="00D146BC"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 xml:space="preserve">    10,7 </w:t>
            </w:r>
            <w:r w:rsidRPr="00BA2084">
              <w:rPr>
                <w:rFonts w:cs="Arial"/>
                <w:sz w:val="22"/>
                <w:szCs w:val="22"/>
                <w:lang w:eastAsia="de-AT"/>
              </w:rPr>
              <w:t>Mio. EUR</w:t>
            </w:r>
          </w:p>
        </w:tc>
        <w:tc>
          <w:tcPr>
            <w:tcW w:w="1134" w:type="dxa"/>
            <w:tcBorders>
              <w:top w:val="single" w:sz="6" w:space="0" w:color="auto"/>
              <w:left w:val="single" w:sz="6" w:space="0" w:color="auto"/>
              <w:bottom w:val="single" w:sz="6" w:space="0" w:color="auto"/>
              <w:right w:val="single" w:sz="6" w:space="0" w:color="auto"/>
            </w:tcBorders>
          </w:tcPr>
          <w:p w:rsidR="00D146BC" w:rsidRPr="003A11C4" w:rsidRDefault="00D146BC" w:rsidP="00351670">
            <w:pPr>
              <w:overflowPunct w:val="0"/>
              <w:autoSpaceDE w:val="0"/>
              <w:autoSpaceDN w:val="0"/>
              <w:adjustRightInd w:val="0"/>
              <w:spacing w:line="360" w:lineRule="auto"/>
              <w:rPr>
                <w:rFonts w:cs="Arial"/>
                <w:sz w:val="22"/>
                <w:szCs w:val="22"/>
                <w:lang w:eastAsia="de-AT"/>
              </w:rPr>
            </w:pPr>
            <w:r>
              <w:rPr>
                <w:rFonts w:cs="Arial"/>
                <w:sz w:val="22"/>
                <w:szCs w:val="22"/>
                <w:lang w:eastAsia="de-AT"/>
              </w:rPr>
              <w:t>-  12,2</w:t>
            </w:r>
          </w:p>
        </w:tc>
      </w:tr>
    </w:tbl>
    <w:p w:rsidR="00D146BC" w:rsidRDefault="00D146BC" w:rsidP="00D146BC">
      <w:pPr>
        <w:spacing w:line="360" w:lineRule="auto"/>
        <w:rPr>
          <w:rFonts w:cs="Arial"/>
          <w:sz w:val="18"/>
          <w:szCs w:val="18"/>
        </w:rPr>
      </w:pPr>
    </w:p>
    <w:p w:rsidR="00D146BC" w:rsidRDefault="00D146BC" w:rsidP="00D146BC">
      <w:pPr>
        <w:rPr>
          <w:rFonts w:cs="Arial"/>
          <w:b/>
          <w:sz w:val="22"/>
          <w:szCs w:val="22"/>
        </w:rPr>
      </w:pPr>
    </w:p>
    <w:p w:rsidR="00D146BC" w:rsidRPr="00693C30" w:rsidRDefault="00D146BC" w:rsidP="00D146BC">
      <w:pPr>
        <w:rPr>
          <w:rFonts w:cs="Arial"/>
          <w:b/>
          <w:sz w:val="22"/>
          <w:szCs w:val="22"/>
        </w:rPr>
      </w:pPr>
      <w:r w:rsidRPr="00693C30">
        <w:rPr>
          <w:rFonts w:cs="Arial"/>
          <w:b/>
          <w:sz w:val="22"/>
          <w:szCs w:val="22"/>
        </w:rPr>
        <w:t>Zu beachtende Risiken:</w:t>
      </w:r>
    </w:p>
    <w:p w:rsidR="00D146BC" w:rsidRPr="00693C30" w:rsidRDefault="00D146BC" w:rsidP="00D146BC">
      <w:pPr>
        <w:rPr>
          <w:rFonts w:cs="Arial"/>
          <w:b/>
          <w:sz w:val="22"/>
          <w:szCs w:val="22"/>
        </w:rPr>
      </w:pPr>
    </w:p>
    <w:p w:rsidR="00D146BC" w:rsidRPr="00693C30" w:rsidRDefault="00D146BC" w:rsidP="00D146BC">
      <w:pPr>
        <w:numPr>
          <w:ilvl w:val="0"/>
          <w:numId w:val="3"/>
        </w:numPr>
        <w:rPr>
          <w:rFonts w:cs="Arial"/>
          <w:sz w:val="22"/>
          <w:szCs w:val="22"/>
        </w:rPr>
      </w:pPr>
      <w:r w:rsidRPr="00693C30">
        <w:rPr>
          <w:rFonts w:cs="Arial"/>
          <w:sz w:val="22"/>
          <w:szCs w:val="22"/>
        </w:rPr>
        <w:t>Eine Veranlagung in Wertpapiere birgt neben den geschilderten Chancen auch Risiken.</w:t>
      </w:r>
    </w:p>
    <w:p w:rsidR="00D146BC" w:rsidRPr="00693C30" w:rsidRDefault="00D146BC" w:rsidP="00D146BC">
      <w:pPr>
        <w:numPr>
          <w:ilvl w:val="0"/>
          <w:numId w:val="2"/>
        </w:numPr>
        <w:autoSpaceDE w:val="0"/>
        <w:autoSpaceDN w:val="0"/>
        <w:adjustRightInd w:val="0"/>
        <w:ind w:left="714" w:hanging="357"/>
        <w:rPr>
          <w:rFonts w:cs="Arial"/>
          <w:sz w:val="22"/>
          <w:szCs w:val="22"/>
        </w:rPr>
      </w:pPr>
      <w:r w:rsidRPr="00693C30">
        <w:rPr>
          <w:rFonts w:cs="Arial"/>
          <w:sz w:val="22"/>
          <w:szCs w:val="22"/>
        </w:rPr>
        <w:t>Änderungen des Zinsniveaus und der Bonität der s Wohnbaubank AG können zu Kursschwa</w:t>
      </w:r>
      <w:r w:rsidRPr="00693C30">
        <w:rPr>
          <w:rFonts w:cs="Arial"/>
          <w:sz w:val="22"/>
          <w:szCs w:val="22"/>
        </w:rPr>
        <w:t>n</w:t>
      </w:r>
      <w:r w:rsidRPr="00693C30">
        <w:rPr>
          <w:rFonts w:cs="Arial"/>
          <w:sz w:val="22"/>
          <w:szCs w:val="22"/>
        </w:rPr>
        <w:t xml:space="preserve">kungen und Kapitalverlusten bei Verkauf vor Laufzeitende der Anleihe führen. </w:t>
      </w:r>
    </w:p>
    <w:p w:rsidR="00D146BC" w:rsidRPr="00693C30" w:rsidRDefault="00D146BC" w:rsidP="00D146BC">
      <w:pPr>
        <w:numPr>
          <w:ilvl w:val="0"/>
          <w:numId w:val="2"/>
        </w:numPr>
        <w:ind w:left="714" w:hanging="357"/>
        <w:rPr>
          <w:rFonts w:cs="Arial"/>
          <w:sz w:val="22"/>
          <w:szCs w:val="22"/>
        </w:rPr>
      </w:pPr>
      <w:r w:rsidRPr="00693C30">
        <w:rPr>
          <w:rFonts w:cs="Arial"/>
          <w:sz w:val="22"/>
          <w:szCs w:val="22"/>
        </w:rPr>
        <w:t>Die gesetzliche Grundlage der steuerlichen Sonderbehandlung kann sich während der Laufzeit ändern.</w:t>
      </w:r>
    </w:p>
    <w:p w:rsidR="00D146BC" w:rsidRPr="00693C30" w:rsidRDefault="00D146BC" w:rsidP="00D146BC">
      <w:pPr>
        <w:numPr>
          <w:ilvl w:val="0"/>
          <w:numId w:val="2"/>
        </w:numPr>
        <w:ind w:left="714" w:hanging="357"/>
        <w:rPr>
          <w:rFonts w:cs="Arial"/>
          <w:sz w:val="22"/>
          <w:szCs w:val="22"/>
        </w:rPr>
      </w:pPr>
      <w:r w:rsidRPr="00693C30">
        <w:rPr>
          <w:rFonts w:cs="Arial"/>
          <w:sz w:val="22"/>
          <w:szCs w:val="22"/>
        </w:rPr>
        <w:t xml:space="preserve">Die Wertpapiere weisen ein Bonitäts- und Liquiditätsrisiko der </w:t>
      </w:r>
      <w:proofErr w:type="spellStart"/>
      <w:r w:rsidRPr="00693C30">
        <w:rPr>
          <w:rFonts w:cs="Arial"/>
          <w:sz w:val="22"/>
          <w:szCs w:val="22"/>
        </w:rPr>
        <w:t>Emittentin</w:t>
      </w:r>
      <w:proofErr w:type="spellEnd"/>
      <w:r w:rsidRPr="00693C30">
        <w:rPr>
          <w:rFonts w:cs="Arial"/>
          <w:sz w:val="22"/>
          <w:szCs w:val="22"/>
        </w:rPr>
        <w:t xml:space="preserve"> auf.</w:t>
      </w:r>
    </w:p>
    <w:p w:rsidR="00D146BC" w:rsidRPr="00693C30" w:rsidRDefault="00D146BC" w:rsidP="00D146BC">
      <w:pPr>
        <w:numPr>
          <w:ilvl w:val="0"/>
          <w:numId w:val="2"/>
        </w:numPr>
        <w:rPr>
          <w:rFonts w:cs="Arial"/>
          <w:sz w:val="22"/>
          <w:szCs w:val="22"/>
        </w:rPr>
      </w:pPr>
      <w:r w:rsidRPr="00693C30">
        <w:rPr>
          <w:rFonts w:cs="Arial"/>
          <w:sz w:val="22"/>
          <w:szCs w:val="22"/>
        </w:rPr>
        <w:t>Es besteht keine Einlagensicherung. Die s Wohnbaubank AG ist ggfs. nicht imstande, ihren Verpflichtungen aus dem Wertpapier im Falle einer Insolvenz od. einer behördlichen Anordnung (</w:t>
      </w:r>
      <w:proofErr w:type="spellStart"/>
      <w:r w:rsidRPr="00693C30">
        <w:rPr>
          <w:rFonts w:cs="Arial"/>
          <w:sz w:val="22"/>
          <w:szCs w:val="22"/>
        </w:rPr>
        <w:t>bail</w:t>
      </w:r>
      <w:proofErr w:type="spellEnd"/>
      <w:r w:rsidRPr="00693C30">
        <w:rPr>
          <w:rFonts w:cs="Arial"/>
          <w:sz w:val="22"/>
          <w:szCs w:val="22"/>
        </w:rPr>
        <w:t>-in Regime) nachzukommen (Risiko des Totalverlusts des eingesetzten Kapitals).</w:t>
      </w:r>
    </w:p>
    <w:p w:rsidR="00D146BC" w:rsidRPr="00693C30" w:rsidRDefault="00D146BC" w:rsidP="00D146BC">
      <w:pPr>
        <w:spacing w:line="360" w:lineRule="auto"/>
        <w:rPr>
          <w:rFonts w:cs="Arial"/>
          <w:sz w:val="22"/>
          <w:lang w:val="de-DE"/>
        </w:rPr>
      </w:pPr>
    </w:p>
    <w:p w:rsidR="00D146BC" w:rsidRPr="00693C30" w:rsidRDefault="00D146BC" w:rsidP="00D146BC">
      <w:pPr>
        <w:tabs>
          <w:tab w:val="center" w:pos="4820"/>
          <w:tab w:val="right" w:pos="9639"/>
        </w:tabs>
        <w:rPr>
          <w:rFonts w:cs="Arial"/>
          <w:b/>
          <w:sz w:val="22"/>
          <w:szCs w:val="22"/>
          <w:lang w:eastAsia="de-AT"/>
        </w:rPr>
      </w:pPr>
      <w:r w:rsidRPr="00693C30">
        <w:rPr>
          <w:rFonts w:cs="Arial"/>
          <w:b/>
          <w:sz w:val="22"/>
          <w:szCs w:val="22"/>
          <w:lang w:eastAsia="de-AT"/>
        </w:rPr>
        <w:t>Wicht</w:t>
      </w:r>
      <w:bookmarkStart w:id="0" w:name="_GoBack"/>
      <w:bookmarkEnd w:id="0"/>
      <w:r w:rsidRPr="00693C30">
        <w:rPr>
          <w:rFonts w:cs="Arial"/>
          <w:b/>
          <w:sz w:val="22"/>
          <w:szCs w:val="22"/>
          <w:lang w:eastAsia="de-AT"/>
        </w:rPr>
        <w:t>ige rechtliche Hinweise:</w:t>
      </w:r>
    </w:p>
    <w:p w:rsidR="00D146BC" w:rsidRPr="00693C30" w:rsidRDefault="00D146BC" w:rsidP="00D146BC">
      <w:pPr>
        <w:tabs>
          <w:tab w:val="center" w:pos="4820"/>
          <w:tab w:val="right" w:pos="9639"/>
        </w:tabs>
        <w:rPr>
          <w:rFonts w:cs="Arial"/>
          <w:sz w:val="22"/>
          <w:szCs w:val="22"/>
          <w:lang w:val="de-DE" w:eastAsia="de-AT"/>
        </w:rPr>
      </w:pPr>
    </w:p>
    <w:p w:rsidR="00D146BC" w:rsidRPr="00693C30" w:rsidRDefault="00D146BC" w:rsidP="00D146BC">
      <w:pPr>
        <w:spacing w:line="360" w:lineRule="auto"/>
        <w:rPr>
          <w:rFonts w:cs="Arial"/>
          <w:sz w:val="22"/>
          <w:lang w:val="de-DE"/>
        </w:rPr>
      </w:pPr>
      <w:r w:rsidRPr="00693C30">
        <w:rPr>
          <w:rFonts w:cs="Arial"/>
          <w:sz w:val="18"/>
          <w:szCs w:val="18"/>
          <w:lang w:val="de-DE" w:eastAsia="de-AT"/>
        </w:rPr>
        <w:t>Diese Finanzprodukte werden in Form einer Daueremission begeben und in Österreich öffentlich angeboten. Ausschließliche Rechtsgrundlage für diese Finanzprodukte sind die bei der österreichischen Finanzmarktaufsicht (FMA) hinterlegten Endgült</w:t>
      </w:r>
      <w:r w:rsidRPr="00693C30">
        <w:rPr>
          <w:rFonts w:cs="Arial"/>
          <w:sz w:val="18"/>
          <w:szCs w:val="18"/>
          <w:lang w:val="de-DE" w:eastAsia="de-AT"/>
        </w:rPr>
        <w:t>i</w:t>
      </w:r>
      <w:r w:rsidRPr="00693C30">
        <w:rPr>
          <w:rFonts w:cs="Arial"/>
          <w:sz w:val="18"/>
          <w:szCs w:val="18"/>
          <w:lang w:val="de-DE" w:eastAsia="de-AT"/>
        </w:rPr>
        <w:t>gen Bedingungen sowie der Basisprospekt (nebst allfälliger Nachträge), die auch auf der Website der s Wohnbaubank AG abrufbar sind. Ein Basisprospekt gemäß den Bestimmungen der Richtlinie des Europäischen Parlaments und des Rates 2003/71/EG, der Verordnung der Europäischen Kommission (EG)</w:t>
      </w:r>
    </w:p>
    <w:p w:rsidR="00D146BC" w:rsidRPr="00693C30" w:rsidRDefault="00D146BC" w:rsidP="00D146BC">
      <w:pPr>
        <w:tabs>
          <w:tab w:val="center" w:pos="4820"/>
          <w:tab w:val="right" w:pos="9639"/>
        </w:tabs>
        <w:spacing w:line="360" w:lineRule="auto"/>
        <w:rPr>
          <w:rFonts w:cs="Arial"/>
          <w:sz w:val="18"/>
          <w:szCs w:val="18"/>
          <w:lang w:val="de-DE" w:eastAsia="de-AT"/>
        </w:rPr>
      </w:pPr>
      <w:r w:rsidRPr="00693C30">
        <w:rPr>
          <w:rFonts w:cs="Arial"/>
          <w:sz w:val="18"/>
          <w:szCs w:val="18"/>
          <w:lang w:val="de-DE" w:eastAsia="de-AT"/>
        </w:rPr>
        <w:t xml:space="preserve">Nr. 809/2004 und § 7 Abs. 4 des Kapitalmarktgesetzes wurde erstellt und von der österreichischen Finanzmarktaufsicht (FMA) gebilligt. Die vollständige Information (Basisprospekt, Endgültige Bedingungen, allfällige Nachträge) zu den Finanzprodukten liegt an der Geschäftsadresse der </w:t>
      </w:r>
      <w:proofErr w:type="spellStart"/>
      <w:r w:rsidRPr="00693C30">
        <w:rPr>
          <w:rFonts w:cs="Arial"/>
          <w:sz w:val="18"/>
          <w:szCs w:val="18"/>
          <w:lang w:val="de-DE" w:eastAsia="de-AT"/>
        </w:rPr>
        <w:t>Emittentin</w:t>
      </w:r>
      <w:proofErr w:type="spellEnd"/>
      <w:r w:rsidRPr="00693C30">
        <w:rPr>
          <w:rFonts w:cs="Arial"/>
          <w:sz w:val="18"/>
          <w:szCs w:val="18"/>
          <w:lang w:val="de-DE" w:eastAsia="de-AT"/>
        </w:rPr>
        <w:t xml:space="preserve">, Am Belvedere 1, 1100 Wien während der üblichen Geschäftszeiten kostenlos auf. Eine elektronische Fassung des Basisprospekts ist ferner auf der Website der s Wohnbaubank AG www.swohnbaubank.at abrufbar. Im Zusammenhang mit dem Angebot von Wertpapieren der </w:t>
      </w:r>
      <w:proofErr w:type="spellStart"/>
      <w:r w:rsidRPr="00693C30">
        <w:rPr>
          <w:rFonts w:cs="Arial"/>
          <w:sz w:val="18"/>
          <w:szCs w:val="18"/>
          <w:lang w:val="de-DE" w:eastAsia="de-AT"/>
        </w:rPr>
        <w:t>Emittentin</w:t>
      </w:r>
      <w:proofErr w:type="spellEnd"/>
      <w:r w:rsidRPr="00693C30">
        <w:rPr>
          <w:rFonts w:cs="Arial"/>
          <w:sz w:val="18"/>
          <w:szCs w:val="18"/>
          <w:lang w:val="de-DE" w:eastAsia="de-AT"/>
        </w:rPr>
        <w:t xml:space="preserve"> sind lediglich die Angaben im Basisprospekt (zusammen mit den Endgültigen Bedingungen sowie allfälligen Nachträgen) verbindlich. Beachten Sie auch die WAG 2007 Kundeninformation Ihres Bankinstituts. Die Angaben sind unverbindlich. Hierbei handelt es sich um eine Werbemitteilung.</w:t>
      </w:r>
    </w:p>
    <w:p w:rsidR="00D146BC" w:rsidRPr="00693C30" w:rsidRDefault="00D146BC" w:rsidP="00D146BC">
      <w:pPr>
        <w:tabs>
          <w:tab w:val="center" w:pos="4820"/>
          <w:tab w:val="right" w:pos="9639"/>
        </w:tabs>
        <w:spacing w:line="360" w:lineRule="auto"/>
        <w:rPr>
          <w:rFonts w:cs="Arial"/>
          <w:sz w:val="18"/>
          <w:szCs w:val="18"/>
          <w:lang w:val="de-DE" w:eastAsia="de-AT"/>
        </w:rPr>
      </w:pPr>
    </w:p>
    <w:p w:rsidR="00D146BC" w:rsidRPr="00693C30" w:rsidRDefault="00D146BC" w:rsidP="00D146BC">
      <w:pPr>
        <w:tabs>
          <w:tab w:val="center" w:pos="4820"/>
          <w:tab w:val="right" w:pos="9639"/>
        </w:tabs>
        <w:spacing w:line="360" w:lineRule="auto"/>
        <w:rPr>
          <w:rFonts w:cs="Arial"/>
          <w:sz w:val="18"/>
          <w:szCs w:val="18"/>
          <w:lang w:val="de-DE" w:eastAsia="de-AT"/>
        </w:rPr>
      </w:pPr>
      <w:r w:rsidRPr="00693C30">
        <w:rPr>
          <w:rFonts w:cs="Arial"/>
          <w:sz w:val="18"/>
          <w:szCs w:val="18"/>
          <w:lang w:val="de-DE" w:eastAsia="de-AT"/>
        </w:rPr>
        <w:t>Diese Unterlage dient als zusätzliche Information für unsere Anleger und basiert auf dem Wissensstand der mit der Erstellung betrauten Personen zum Redaktionsschluss. Unsere Analysen und Schlussfolgerungen sind genereller Natur und berücksic</w:t>
      </w:r>
      <w:r w:rsidRPr="00693C30">
        <w:rPr>
          <w:rFonts w:cs="Arial"/>
          <w:sz w:val="18"/>
          <w:szCs w:val="18"/>
          <w:lang w:val="de-DE" w:eastAsia="de-AT"/>
        </w:rPr>
        <w:t>h</w:t>
      </w:r>
      <w:r w:rsidRPr="00693C30">
        <w:rPr>
          <w:rFonts w:cs="Arial"/>
          <w:sz w:val="18"/>
          <w:szCs w:val="18"/>
          <w:lang w:val="de-DE" w:eastAsia="de-AT"/>
        </w:rPr>
        <w:t>tigen nicht die individuellen Bedürfnisse unserer Anleger hinsichtlich Ertrags, steuerlicher Situation oder Risikobereitschaft. Sie stellen keine Anlageempfehlung dar. Die Wertentwicklung der Vergangenheit lässt keine verlässlichen Rückschlüsse auf die zukünftige Entwicklung zu.</w:t>
      </w:r>
    </w:p>
    <w:p w:rsidR="00D146BC" w:rsidRPr="00693C30" w:rsidRDefault="00D146BC" w:rsidP="00D146BC">
      <w:pPr>
        <w:tabs>
          <w:tab w:val="center" w:pos="4820"/>
          <w:tab w:val="right" w:pos="9639"/>
        </w:tabs>
        <w:spacing w:line="360" w:lineRule="auto"/>
        <w:rPr>
          <w:rFonts w:cs="Arial"/>
          <w:sz w:val="18"/>
          <w:szCs w:val="18"/>
          <w:lang w:val="de-DE" w:eastAsia="de-AT"/>
        </w:rPr>
      </w:pPr>
    </w:p>
    <w:p w:rsidR="00D146BC" w:rsidRPr="00693C30" w:rsidRDefault="00D146BC" w:rsidP="00D146BC">
      <w:pPr>
        <w:tabs>
          <w:tab w:val="center" w:pos="4820"/>
          <w:tab w:val="right" w:pos="9639"/>
        </w:tabs>
        <w:spacing w:line="360" w:lineRule="auto"/>
        <w:rPr>
          <w:rFonts w:cs="Arial"/>
          <w:b/>
          <w:sz w:val="18"/>
          <w:szCs w:val="18"/>
          <w:lang w:val="de-DE" w:eastAsia="de-AT"/>
        </w:rPr>
      </w:pPr>
      <w:r w:rsidRPr="00693C30">
        <w:rPr>
          <w:rFonts w:cs="Arial"/>
          <w:sz w:val="18"/>
          <w:szCs w:val="18"/>
          <w:lang w:val="de-DE" w:eastAsia="de-AT"/>
        </w:rPr>
        <w:t xml:space="preserve"> Das Finanzprodukt sowie die dazugehörenden Produktunterlagen dürfen weder direkt noch indirekt natürlichen bzw. jurist</w:t>
      </w:r>
      <w:r w:rsidRPr="00693C30">
        <w:rPr>
          <w:rFonts w:cs="Arial"/>
          <w:sz w:val="18"/>
          <w:szCs w:val="18"/>
          <w:lang w:val="de-DE" w:eastAsia="de-AT"/>
        </w:rPr>
        <w:t>i</w:t>
      </w:r>
      <w:r w:rsidRPr="00693C30">
        <w:rPr>
          <w:rFonts w:cs="Arial"/>
          <w:sz w:val="18"/>
          <w:szCs w:val="18"/>
          <w:lang w:val="de-DE" w:eastAsia="de-AT"/>
        </w:rPr>
        <w:t>schen Personen angeboten, verkauft, weiterverkauft oder geliefert bzw. veröffentlicht werden, die ihren Wohnsitz/Sitz in einem Land haben, in dem dies gesetzlich verboten ist. Dies gilt insbesondere für folgende Länder: Australien, Großbritannien, J</w:t>
      </w:r>
      <w:r w:rsidRPr="00693C30">
        <w:rPr>
          <w:rFonts w:cs="Arial"/>
          <w:sz w:val="18"/>
          <w:szCs w:val="18"/>
          <w:lang w:val="de-DE" w:eastAsia="de-AT"/>
        </w:rPr>
        <w:t>a</w:t>
      </w:r>
      <w:r w:rsidRPr="00693C30">
        <w:rPr>
          <w:rFonts w:cs="Arial"/>
          <w:sz w:val="18"/>
          <w:szCs w:val="18"/>
          <w:lang w:val="de-DE" w:eastAsia="de-AT"/>
        </w:rPr>
        <w:t xml:space="preserve">pan, Kanada, und die USA (einschließlich "US-Person" wie in der Regulation S unter dem Securities Act 1933 </w:t>
      </w:r>
      <w:proofErr w:type="spellStart"/>
      <w:r w:rsidRPr="00693C30">
        <w:rPr>
          <w:rFonts w:cs="Arial"/>
          <w:sz w:val="18"/>
          <w:szCs w:val="18"/>
          <w:lang w:val="de-DE" w:eastAsia="de-AT"/>
        </w:rPr>
        <w:t>idjgF</w:t>
      </w:r>
      <w:proofErr w:type="spellEnd"/>
      <w:r w:rsidRPr="00693C30">
        <w:rPr>
          <w:rFonts w:cs="Arial"/>
          <w:sz w:val="18"/>
          <w:szCs w:val="18"/>
          <w:lang w:val="de-DE" w:eastAsia="de-AT"/>
        </w:rPr>
        <w:t xml:space="preserve"> definiert). Unter diese Regelung fallen auch US amerikanische Staatsbürger mit Wohnsitz außerhalb der USA (z.B. in Österreich). Stand: </w:t>
      </w:r>
      <w:r w:rsidRPr="00693C30">
        <w:rPr>
          <w:rFonts w:cs="Arial"/>
          <w:sz w:val="18"/>
          <w:szCs w:val="18"/>
          <w:lang w:val="de-DE" w:eastAsia="de-AT"/>
        </w:rPr>
        <w:fldChar w:fldCharType="begin"/>
      </w:r>
      <w:r w:rsidRPr="00693C30">
        <w:rPr>
          <w:rFonts w:cs="Arial"/>
          <w:sz w:val="18"/>
          <w:szCs w:val="18"/>
          <w:lang w:val="de-DE" w:eastAsia="de-AT"/>
        </w:rPr>
        <w:instrText xml:space="preserve"> DATE   \* MERGEFORMAT </w:instrText>
      </w:r>
      <w:r w:rsidRPr="00693C30">
        <w:rPr>
          <w:rFonts w:cs="Arial"/>
          <w:sz w:val="18"/>
          <w:szCs w:val="18"/>
          <w:lang w:val="de-DE" w:eastAsia="de-AT"/>
        </w:rPr>
        <w:fldChar w:fldCharType="separate"/>
      </w:r>
      <w:r>
        <w:rPr>
          <w:rFonts w:cs="Arial"/>
          <w:noProof/>
          <w:sz w:val="18"/>
          <w:szCs w:val="18"/>
          <w:lang w:val="de-DE" w:eastAsia="de-AT"/>
        </w:rPr>
        <w:t>12.04.2017</w:t>
      </w:r>
      <w:r w:rsidRPr="00693C30">
        <w:rPr>
          <w:rFonts w:cs="Arial"/>
          <w:sz w:val="18"/>
          <w:szCs w:val="18"/>
          <w:lang w:eastAsia="de-AT"/>
        </w:rPr>
        <w:fldChar w:fldCharType="end"/>
      </w:r>
      <w:bookmarkStart w:id="1" w:name="SerienbriefEnde001"/>
      <w:bookmarkEnd w:id="1"/>
    </w:p>
    <w:p w:rsidR="00D146BC" w:rsidRPr="00693C30" w:rsidRDefault="00D146BC" w:rsidP="00D146BC">
      <w:pPr>
        <w:tabs>
          <w:tab w:val="center" w:pos="4820"/>
          <w:tab w:val="right" w:pos="9639"/>
        </w:tabs>
        <w:spacing w:line="360" w:lineRule="auto"/>
        <w:rPr>
          <w:rFonts w:cs="Arial"/>
          <w:sz w:val="18"/>
          <w:szCs w:val="18"/>
          <w:lang w:val="de-DE" w:eastAsia="de-AT"/>
        </w:rPr>
      </w:pPr>
    </w:p>
    <w:p w:rsidR="00D146BC" w:rsidRPr="00693C30" w:rsidRDefault="00D146BC" w:rsidP="00D146BC">
      <w:pPr>
        <w:tabs>
          <w:tab w:val="center" w:pos="4820"/>
          <w:tab w:val="right" w:pos="9639"/>
        </w:tabs>
        <w:spacing w:line="360" w:lineRule="auto"/>
        <w:rPr>
          <w:rFonts w:cs="Arial"/>
          <w:sz w:val="18"/>
          <w:szCs w:val="18"/>
          <w:lang w:val="de-DE" w:eastAsia="de-AT"/>
        </w:rPr>
      </w:pPr>
    </w:p>
    <w:p w:rsidR="00D146BC" w:rsidRPr="00693C30" w:rsidRDefault="00D146BC" w:rsidP="00D146BC">
      <w:pPr>
        <w:tabs>
          <w:tab w:val="center" w:pos="4820"/>
          <w:tab w:val="right" w:pos="9639"/>
        </w:tabs>
        <w:spacing w:line="360" w:lineRule="auto"/>
        <w:rPr>
          <w:rFonts w:cs="Arial"/>
          <w:color w:val="999999"/>
          <w:sz w:val="18"/>
          <w:szCs w:val="18"/>
          <w:lang w:val="de-DE"/>
        </w:rPr>
      </w:pPr>
    </w:p>
    <w:p w:rsidR="00D146BC" w:rsidRDefault="00D146BC" w:rsidP="00D146BC">
      <w:pPr>
        <w:rPr>
          <w:rFonts w:cs="Arial"/>
          <w:b/>
          <w:sz w:val="22"/>
          <w:szCs w:val="22"/>
        </w:rPr>
      </w:pPr>
    </w:p>
    <w:p w:rsidR="001014DC" w:rsidRDefault="001014DC" w:rsidP="00A9064C"/>
    <w:sectPr w:rsidR="001014DC" w:rsidSect="00D146BC">
      <w:headerReference w:type="default" r:id="rId8"/>
      <w:footerReference w:type="even" r:id="rId9"/>
      <w:footerReference w:type="default" r:id="rId10"/>
      <w:pgSz w:w="11906" w:h="16838" w:code="9"/>
      <w:pgMar w:top="3089" w:right="907" w:bottom="1134" w:left="907" w:header="907" w:footer="90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BC" w:rsidRDefault="00D146BC" w:rsidP="00D146BC">
      <w:r>
        <w:separator/>
      </w:r>
    </w:p>
  </w:endnote>
  <w:endnote w:type="continuationSeparator" w:id="0">
    <w:p w:rsidR="00D146BC" w:rsidRDefault="00D146BC" w:rsidP="00D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A4" w:rsidRDefault="00555646" w:rsidP="00DE6DFE">
    <w:pPr>
      <w:pStyle w:val="Fuzeile"/>
    </w:pPr>
    <w:r>
      <w:fldChar w:fldCharType="begin"/>
    </w:r>
    <w:r>
      <w:instrText xml:space="preserve">PAGE  </w:instrText>
    </w:r>
    <w:r>
      <w:fldChar w:fldCharType="end"/>
    </w:r>
  </w:p>
  <w:p w:rsidR="00A07DA4" w:rsidRDefault="00555646" w:rsidP="00DE6D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6" w:rsidRDefault="00555646">
    <w:pPr>
      <w:pStyle w:val="Fuzeile"/>
      <w:jc w:val="right"/>
    </w:pPr>
    <w:r>
      <w:rPr>
        <w:lang w:val="de-DE"/>
      </w:rPr>
      <w:t xml:space="preserve">Seite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noProof/>
      </w:rPr>
      <w:t>5</w:t>
    </w:r>
    <w:r>
      <w:rPr>
        <w:b/>
        <w:bCs/>
        <w:sz w:val="24"/>
      </w:rPr>
      <w:fldChar w:fldCharType="end"/>
    </w:r>
  </w:p>
  <w:p w:rsidR="00317706" w:rsidRPr="00E933FC" w:rsidRDefault="00555646" w:rsidP="00317706">
    <w:pPr>
      <w:pStyle w:val="Fuzeile"/>
      <w:jc w:val="center"/>
      <w:rPr>
        <w:szCs w:val="16"/>
      </w:rPr>
    </w:pPr>
    <w:r w:rsidRPr="00E933FC">
      <w:rPr>
        <w:szCs w:val="16"/>
      </w:rPr>
      <w:t>Rückfragen an:</w:t>
    </w:r>
  </w:p>
  <w:p w:rsidR="00317706" w:rsidRPr="00E933FC" w:rsidRDefault="00555646" w:rsidP="00317706">
    <w:pPr>
      <w:ind w:right="360"/>
      <w:jc w:val="center"/>
      <w:rPr>
        <w:rFonts w:cs="Arial"/>
        <w:sz w:val="16"/>
        <w:szCs w:val="16"/>
      </w:rPr>
    </w:pPr>
    <w:r w:rsidRPr="00E933FC">
      <w:rPr>
        <w:rFonts w:cs="Arial"/>
        <w:sz w:val="16"/>
        <w:szCs w:val="16"/>
      </w:rPr>
      <w:t>s Bausparkasse, Presse- und Öffentlichkeit</w:t>
    </w:r>
    <w:r w:rsidRPr="00E933FC">
      <w:rPr>
        <w:rFonts w:cs="Arial"/>
        <w:sz w:val="16"/>
        <w:szCs w:val="16"/>
      </w:rPr>
      <w:t>s</w:t>
    </w:r>
    <w:r w:rsidRPr="00E933FC">
      <w:rPr>
        <w:rFonts w:cs="Arial"/>
        <w:sz w:val="16"/>
        <w:szCs w:val="16"/>
      </w:rPr>
      <w:t>arbeit</w:t>
    </w:r>
  </w:p>
  <w:p w:rsidR="00317706" w:rsidRPr="00E933FC" w:rsidRDefault="00555646" w:rsidP="00317706">
    <w:pPr>
      <w:jc w:val="center"/>
      <w:rPr>
        <w:rFonts w:cs="Arial"/>
        <w:sz w:val="16"/>
        <w:szCs w:val="16"/>
      </w:rPr>
    </w:pPr>
    <w:r w:rsidRPr="00E933FC">
      <w:rPr>
        <w:rFonts w:cs="Arial"/>
        <w:sz w:val="16"/>
        <w:szCs w:val="16"/>
      </w:rPr>
      <w:t>Charlotte Harr</w:t>
    </w:r>
    <w:r w:rsidRPr="00E933FC">
      <w:rPr>
        <w:rFonts w:cs="Arial"/>
        <w:sz w:val="16"/>
        <w:szCs w:val="16"/>
      </w:rPr>
      <w:t>er, Tel. 050100 DW 29326, Telefax: 0501009 – 29326</w:t>
    </w:r>
  </w:p>
  <w:p w:rsidR="00317706" w:rsidRPr="008B5B6F" w:rsidRDefault="00555646" w:rsidP="00317706">
    <w:pPr>
      <w:pStyle w:val="Fuzeile"/>
      <w:jc w:val="center"/>
      <w:rPr>
        <w:rFonts w:cs="Arial"/>
        <w:szCs w:val="16"/>
        <w:lang w:val="it-IT"/>
      </w:rPr>
    </w:pPr>
    <w:r w:rsidRPr="008B5B6F">
      <w:rPr>
        <w:rFonts w:cs="Arial"/>
        <w:szCs w:val="16"/>
        <w:lang w:val="it-IT"/>
      </w:rPr>
      <w:t>E-</w:t>
    </w:r>
    <w:r>
      <w:rPr>
        <w:rFonts w:cs="Arial"/>
        <w:szCs w:val="16"/>
        <w:lang w:val="it-IT"/>
      </w:rPr>
      <w:t>Ma</w:t>
    </w:r>
    <w:r w:rsidRPr="008B5B6F">
      <w:rPr>
        <w:rFonts w:cs="Arial"/>
        <w:szCs w:val="16"/>
        <w:lang w:val="it-IT"/>
      </w:rPr>
      <w:t xml:space="preserve">il: </w:t>
    </w:r>
    <w:hyperlink r:id="rId1" w:history="1">
      <w:r w:rsidRPr="008B5B6F">
        <w:rPr>
          <w:rStyle w:val="Hyperlink"/>
          <w:rFonts w:cs="Arial"/>
          <w:szCs w:val="16"/>
          <w:lang w:val="it-IT"/>
        </w:rPr>
        <w:t>charlotte.harrer@sbausparkasse.co.at</w:t>
      </w:r>
    </w:hyperlink>
  </w:p>
  <w:p w:rsidR="00A07DA4" w:rsidRPr="00317706" w:rsidRDefault="00555646" w:rsidP="00317706">
    <w:pPr>
      <w:ind w:right="360"/>
      <w:jc w:val="center"/>
      <w:rPr>
        <w:rFonts w:cs="Arial"/>
        <w:sz w:val="16"/>
        <w:szCs w:val="16"/>
      </w:rPr>
    </w:pPr>
    <w:r w:rsidRPr="00E933FC">
      <w:rPr>
        <w:rFonts w:cs="Arial"/>
        <w:sz w:val="16"/>
        <w:szCs w:val="16"/>
      </w:rPr>
      <w:t xml:space="preserve">Diesen Text können Sie auch auf unserer Homepage unter </w:t>
    </w:r>
    <w:hyperlink r:id="rId2" w:history="1">
      <w:r w:rsidRPr="002E5D92">
        <w:rPr>
          <w:rStyle w:val="Hyperlink"/>
          <w:rFonts w:cs="Arial"/>
          <w:sz w:val="16"/>
          <w:szCs w:val="16"/>
          <w:lang w:eastAsia="de-AT"/>
        </w:rPr>
        <w:t>www.sbausparkasse.at/presse</w:t>
      </w:r>
    </w:hyperlink>
    <w:r w:rsidRPr="00E933FC">
      <w:rPr>
        <w:rFonts w:cs="Arial"/>
        <w:color w:val="0000FF"/>
        <w:sz w:val="16"/>
        <w:szCs w:val="16"/>
        <w:u w:val="single"/>
        <w:lang w:eastAsia="de-AT"/>
      </w:rPr>
      <w:t xml:space="preserve"> </w:t>
    </w:r>
    <w:r w:rsidRPr="00E933FC">
      <w:rPr>
        <w:rFonts w:cs="Arial"/>
        <w:sz w:val="16"/>
        <w:szCs w:val="16"/>
      </w:rPr>
      <w:t>abrufen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BC" w:rsidRDefault="00D146BC" w:rsidP="00D146BC">
      <w:r>
        <w:separator/>
      </w:r>
    </w:p>
  </w:footnote>
  <w:footnote w:type="continuationSeparator" w:id="0">
    <w:p w:rsidR="00D146BC" w:rsidRDefault="00D146BC" w:rsidP="00D1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A4" w:rsidRPr="00E77914" w:rsidRDefault="00D146BC" w:rsidP="00E77914">
    <w:pPr>
      <w:pStyle w:val="berschrift1"/>
      <w:jc w:val="right"/>
      <w:rPr>
        <w:sz w:val="20"/>
      </w:rPr>
    </w:pPr>
    <w:r>
      <w:rPr>
        <w:noProof/>
        <w:lang w:val="de-AT" w:eastAsia="de-AT"/>
      </w:rPr>
      <w:drawing>
        <wp:anchor distT="0" distB="0" distL="114300" distR="114300" simplePos="0" relativeHeight="251660288" behindDoc="0" locked="0" layoutInCell="1" allowOverlap="1" wp14:anchorId="475E93F6" wp14:editId="125F2A33">
          <wp:simplePos x="0" y="0"/>
          <wp:positionH relativeFrom="column">
            <wp:posOffset>3314700</wp:posOffset>
          </wp:positionH>
          <wp:positionV relativeFrom="paragraph">
            <wp:posOffset>64135</wp:posOffset>
          </wp:positionV>
          <wp:extent cx="2981325" cy="352425"/>
          <wp:effectExtent l="0" t="0" r="9525" b="9525"/>
          <wp:wrapSquare wrapText="left"/>
          <wp:docPr id="3" name="Grafik 3" descr="s Wohnbaubank_F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Wohnbaubank_Fol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DA4" w:rsidRPr="00FE42B9" w:rsidRDefault="00555646" w:rsidP="00FE42B9">
    <w:pPr>
      <w:pStyle w:val="berschrift1"/>
      <w:rPr>
        <w:sz w:val="22"/>
        <w:szCs w:val="22"/>
      </w:rPr>
    </w:pPr>
  </w:p>
  <w:p w:rsidR="00A07DA4" w:rsidRDefault="00555646" w:rsidP="00FE42B9">
    <w:pPr>
      <w:pStyle w:val="berschrift1"/>
    </w:pPr>
  </w:p>
  <w:p w:rsidR="00A07DA4" w:rsidRPr="00E77914" w:rsidRDefault="00555646" w:rsidP="00FE42B9">
    <w:pPr>
      <w:pStyle w:val="berschrift1"/>
      <w:rPr>
        <w:sz w:val="20"/>
      </w:rPr>
    </w:pPr>
    <w:r w:rsidRPr="00E77914">
      <w:t>MEDIENINFORMATION</w:t>
    </w:r>
  </w:p>
  <w:p w:rsidR="00A07DA4" w:rsidRPr="00FE42B9" w:rsidRDefault="00D146BC" w:rsidP="00FE42B9">
    <w:pPr>
      <w:pStyle w:val="berschrift1"/>
    </w:pPr>
    <w:r>
      <w:rPr>
        <w:noProof/>
        <w:lang w:val="de-AT" w:eastAsia="de-AT"/>
      </w:rPr>
      <mc:AlternateContent>
        <mc:Choice Requires="wps">
          <w:drawing>
            <wp:anchor distT="0" distB="0" distL="114300" distR="114300" simplePos="0" relativeHeight="251659264" behindDoc="1" locked="0" layoutInCell="1" allowOverlap="1" wp14:anchorId="67E2943B" wp14:editId="7A5D93FD">
              <wp:simplePos x="0" y="0"/>
              <wp:positionH relativeFrom="page">
                <wp:posOffset>575945</wp:posOffset>
              </wp:positionH>
              <wp:positionV relativeFrom="page">
                <wp:posOffset>575945</wp:posOffset>
              </wp:positionV>
              <wp:extent cx="6400800" cy="587375"/>
              <wp:effectExtent l="4445" t="4445"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87375"/>
                      </a:xfrm>
                      <a:prstGeom prst="rect">
                        <a:avLst/>
                      </a:prstGeom>
                      <a:solidFill>
                        <a:srgbClr val="CCEC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45.35pt;margin-top:45.35pt;width:7in;height:4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" fillcolor="#ccecf4" stroked="f">
              <w10:wrap anchorx="page" anchory="page"/>
            </v:rect>
          </w:pict>
        </mc:Fallback>
      </mc:AlternateContent>
    </w:r>
    <w:r w:rsidR="00555646">
      <w:rPr>
        <w:b w:val="0"/>
        <w:sz w:val="24"/>
        <w:szCs w:val="24"/>
      </w:rPr>
      <w:t>Wien, 12</w:t>
    </w:r>
    <w:r w:rsidR="00555646">
      <w:rPr>
        <w:b w:val="0"/>
        <w:sz w:val="24"/>
        <w:szCs w:val="24"/>
      </w:rPr>
      <w:t xml:space="preserve">. </w:t>
    </w:r>
    <w:r w:rsidR="00555646">
      <w:rPr>
        <w:b w:val="0"/>
        <w:sz w:val="24"/>
        <w:szCs w:val="24"/>
      </w:rPr>
      <w:t xml:space="preserve">April </w:t>
    </w:r>
    <w:r w:rsidR="00555646">
      <w:rPr>
        <w:b w:val="0"/>
        <w:sz w:val="24"/>
        <w:szCs w:val="24"/>
      </w:rPr>
      <w:t>201</w:t>
    </w:r>
    <w:r w:rsidR="00555646">
      <w:rPr>
        <w:b w:val="0"/>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5DDC"/>
    <w:multiLevelType w:val="hybridMultilevel"/>
    <w:tmpl w:val="95AEB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E0F2CDA"/>
    <w:multiLevelType w:val="hybridMultilevel"/>
    <w:tmpl w:val="55E000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4F55C1"/>
    <w:multiLevelType w:val="hybridMultilevel"/>
    <w:tmpl w:val="02FA7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BC"/>
    <w:rsid w:val="001014DC"/>
    <w:rsid w:val="00555646"/>
    <w:rsid w:val="009D2819"/>
    <w:rsid w:val="00A9064C"/>
    <w:rsid w:val="00D146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46BC"/>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qFormat/>
    <w:rsid w:val="00D146BC"/>
    <w:pPr>
      <w:keepNext/>
      <w:outlineLvl w:val="0"/>
    </w:pPr>
    <w:rPr>
      <w:b/>
      <w:kern w:val="28"/>
      <w:sz w:val="36"/>
      <w:szCs w:val="20"/>
      <w:lang w:val="de-DE"/>
    </w:rPr>
  </w:style>
  <w:style w:type="paragraph" w:styleId="berschrift2">
    <w:name w:val="heading 2"/>
    <w:basedOn w:val="Standard"/>
    <w:next w:val="Standard"/>
    <w:link w:val="berschrift2Zchn"/>
    <w:qFormat/>
    <w:rsid w:val="00D146BC"/>
    <w:pPr>
      <w:keepNext/>
      <w:outlineLvl w:val="1"/>
    </w:pPr>
    <w:rPr>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6BC"/>
    <w:pPr>
      <w:tabs>
        <w:tab w:val="center" w:pos="4536"/>
        <w:tab w:val="right" w:pos="9072"/>
      </w:tabs>
    </w:pPr>
  </w:style>
  <w:style w:type="character" w:customStyle="1" w:styleId="KopfzeileZchn">
    <w:name w:val="Kopfzeile Zchn"/>
    <w:basedOn w:val="Absatz-Standardschriftart"/>
    <w:link w:val="Kopfzeile"/>
    <w:uiPriority w:val="99"/>
    <w:rsid w:val="00D146BC"/>
    <w:rPr>
      <w:rFonts w:ascii="Arial" w:hAnsi="Arial" w:cs="Times New Roman"/>
    </w:rPr>
  </w:style>
  <w:style w:type="paragraph" w:styleId="Fuzeile">
    <w:name w:val="footer"/>
    <w:basedOn w:val="Standard"/>
    <w:link w:val="FuzeileZchn"/>
    <w:uiPriority w:val="99"/>
    <w:unhideWhenUsed/>
    <w:rsid w:val="00D146BC"/>
    <w:pPr>
      <w:tabs>
        <w:tab w:val="center" w:pos="4536"/>
        <w:tab w:val="right" w:pos="9072"/>
      </w:tabs>
    </w:pPr>
  </w:style>
  <w:style w:type="character" w:customStyle="1" w:styleId="FuzeileZchn">
    <w:name w:val="Fußzeile Zchn"/>
    <w:basedOn w:val="Absatz-Standardschriftart"/>
    <w:link w:val="Fuzeile"/>
    <w:uiPriority w:val="99"/>
    <w:rsid w:val="00D146BC"/>
    <w:rPr>
      <w:rFonts w:ascii="Arial" w:hAnsi="Arial" w:cs="Times New Roman"/>
    </w:rPr>
  </w:style>
  <w:style w:type="character" w:customStyle="1" w:styleId="berschrift1Zchn">
    <w:name w:val="Überschrift 1 Zchn"/>
    <w:basedOn w:val="Absatz-Standardschriftart"/>
    <w:link w:val="berschrift1"/>
    <w:rsid w:val="00D146BC"/>
    <w:rPr>
      <w:rFonts w:ascii="Arial" w:eastAsia="Times New Roman" w:hAnsi="Arial" w:cs="Times New Roman"/>
      <w:b/>
      <w:kern w:val="28"/>
      <w:sz w:val="36"/>
      <w:szCs w:val="20"/>
      <w:lang w:val="de-DE" w:eastAsia="de-DE"/>
    </w:rPr>
  </w:style>
  <w:style w:type="character" w:customStyle="1" w:styleId="berschrift2Zchn">
    <w:name w:val="Überschrift 2 Zchn"/>
    <w:basedOn w:val="Absatz-Standardschriftart"/>
    <w:link w:val="berschrift2"/>
    <w:rsid w:val="00D146BC"/>
    <w:rPr>
      <w:rFonts w:ascii="Arial" w:eastAsia="Times New Roman" w:hAnsi="Arial" w:cs="Times New Roman"/>
      <w:b/>
      <w:sz w:val="28"/>
      <w:szCs w:val="20"/>
      <w:lang w:val="de-DE" w:eastAsia="de-DE"/>
    </w:rPr>
  </w:style>
  <w:style w:type="character" w:styleId="Hyperlink">
    <w:name w:val="Hyperlink"/>
    <w:rsid w:val="00D146BC"/>
    <w:rPr>
      <w:color w:val="0000FF"/>
      <w:u w:val="single"/>
    </w:rPr>
  </w:style>
  <w:style w:type="paragraph" w:styleId="Sprechblasentext">
    <w:name w:val="Balloon Text"/>
    <w:basedOn w:val="Standard"/>
    <w:link w:val="SprechblasentextZchn"/>
    <w:uiPriority w:val="99"/>
    <w:semiHidden/>
    <w:unhideWhenUsed/>
    <w:rsid w:val="00D146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6B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46BC"/>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qFormat/>
    <w:rsid w:val="00D146BC"/>
    <w:pPr>
      <w:keepNext/>
      <w:outlineLvl w:val="0"/>
    </w:pPr>
    <w:rPr>
      <w:b/>
      <w:kern w:val="28"/>
      <w:sz w:val="36"/>
      <w:szCs w:val="20"/>
      <w:lang w:val="de-DE"/>
    </w:rPr>
  </w:style>
  <w:style w:type="paragraph" w:styleId="berschrift2">
    <w:name w:val="heading 2"/>
    <w:basedOn w:val="Standard"/>
    <w:next w:val="Standard"/>
    <w:link w:val="berschrift2Zchn"/>
    <w:qFormat/>
    <w:rsid w:val="00D146BC"/>
    <w:pPr>
      <w:keepNext/>
      <w:outlineLvl w:val="1"/>
    </w:pPr>
    <w:rPr>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6BC"/>
    <w:pPr>
      <w:tabs>
        <w:tab w:val="center" w:pos="4536"/>
        <w:tab w:val="right" w:pos="9072"/>
      </w:tabs>
    </w:pPr>
  </w:style>
  <w:style w:type="character" w:customStyle="1" w:styleId="KopfzeileZchn">
    <w:name w:val="Kopfzeile Zchn"/>
    <w:basedOn w:val="Absatz-Standardschriftart"/>
    <w:link w:val="Kopfzeile"/>
    <w:uiPriority w:val="99"/>
    <w:rsid w:val="00D146BC"/>
    <w:rPr>
      <w:rFonts w:ascii="Arial" w:hAnsi="Arial" w:cs="Times New Roman"/>
    </w:rPr>
  </w:style>
  <w:style w:type="paragraph" w:styleId="Fuzeile">
    <w:name w:val="footer"/>
    <w:basedOn w:val="Standard"/>
    <w:link w:val="FuzeileZchn"/>
    <w:uiPriority w:val="99"/>
    <w:unhideWhenUsed/>
    <w:rsid w:val="00D146BC"/>
    <w:pPr>
      <w:tabs>
        <w:tab w:val="center" w:pos="4536"/>
        <w:tab w:val="right" w:pos="9072"/>
      </w:tabs>
    </w:pPr>
  </w:style>
  <w:style w:type="character" w:customStyle="1" w:styleId="FuzeileZchn">
    <w:name w:val="Fußzeile Zchn"/>
    <w:basedOn w:val="Absatz-Standardschriftart"/>
    <w:link w:val="Fuzeile"/>
    <w:uiPriority w:val="99"/>
    <w:rsid w:val="00D146BC"/>
    <w:rPr>
      <w:rFonts w:ascii="Arial" w:hAnsi="Arial" w:cs="Times New Roman"/>
    </w:rPr>
  </w:style>
  <w:style w:type="character" w:customStyle="1" w:styleId="berschrift1Zchn">
    <w:name w:val="Überschrift 1 Zchn"/>
    <w:basedOn w:val="Absatz-Standardschriftart"/>
    <w:link w:val="berschrift1"/>
    <w:rsid w:val="00D146BC"/>
    <w:rPr>
      <w:rFonts w:ascii="Arial" w:eastAsia="Times New Roman" w:hAnsi="Arial" w:cs="Times New Roman"/>
      <w:b/>
      <w:kern w:val="28"/>
      <w:sz w:val="36"/>
      <w:szCs w:val="20"/>
      <w:lang w:val="de-DE" w:eastAsia="de-DE"/>
    </w:rPr>
  </w:style>
  <w:style w:type="character" w:customStyle="1" w:styleId="berschrift2Zchn">
    <w:name w:val="Überschrift 2 Zchn"/>
    <w:basedOn w:val="Absatz-Standardschriftart"/>
    <w:link w:val="berschrift2"/>
    <w:rsid w:val="00D146BC"/>
    <w:rPr>
      <w:rFonts w:ascii="Arial" w:eastAsia="Times New Roman" w:hAnsi="Arial" w:cs="Times New Roman"/>
      <w:b/>
      <w:sz w:val="28"/>
      <w:szCs w:val="20"/>
      <w:lang w:val="de-DE" w:eastAsia="de-DE"/>
    </w:rPr>
  </w:style>
  <w:style w:type="character" w:styleId="Hyperlink">
    <w:name w:val="Hyperlink"/>
    <w:rsid w:val="00D146BC"/>
    <w:rPr>
      <w:color w:val="0000FF"/>
      <w:u w:val="single"/>
    </w:rPr>
  </w:style>
  <w:style w:type="paragraph" w:styleId="Sprechblasentext">
    <w:name w:val="Balloon Text"/>
    <w:basedOn w:val="Standard"/>
    <w:link w:val="SprechblasentextZchn"/>
    <w:uiPriority w:val="99"/>
    <w:semiHidden/>
    <w:unhideWhenUsed/>
    <w:rsid w:val="00D146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6B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bausparkasse.at/presse" TargetMode="External"/><Relationship Id="rId1" Type="http://schemas.openxmlformats.org/officeDocument/2006/relationships/hyperlink" Target="mailto:charlotte.harrer@sbausparkasse.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Zimmel Katja Mag.</dc:creator>
  <cp:lastModifiedBy>Zimmel Katja Mag.</cp:lastModifiedBy>
  <cp:revision>2</cp:revision>
  <dcterms:created xsi:type="dcterms:W3CDTF">2017-04-12T08:32:00Z</dcterms:created>
  <dcterms:modified xsi:type="dcterms:W3CDTF">2017-04-12T08:32:00Z</dcterms:modified>
</cp:coreProperties>
</file>